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420" w:rightChars="200"/>
        <w:jc w:val="center"/>
        <w:rPr>
          <w:rFonts w:ascii="仿宋" w:hAnsi="仿宋" w:eastAsia="仿宋"/>
          <w:sz w:val="52"/>
          <w:szCs w:val="22"/>
        </w:rPr>
      </w:pPr>
      <w:bookmarkStart w:id="0" w:name="_Toc471324723"/>
      <w:bookmarkStart w:id="1" w:name="_Toc468886510"/>
      <w:bookmarkStart w:id="2" w:name="_Toc508279013"/>
      <w:bookmarkStart w:id="3" w:name="_Toc508277242"/>
      <w:bookmarkStart w:id="4" w:name="_Toc508197144"/>
      <w:bookmarkStart w:id="5" w:name="_Toc381859363"/>
      <w:bookmarkStart w:id="129" w:name="_GoBack"/>
      <w:bookmarkEnd w:id="129"/>
    </w:p>
    <w:p>
      <w:pPr>
        <w:spacing w:line="360" w:lineRule="auto"/>
        <w:ind w:right="420" w:rightChars="200"/>
        <w:jc w:val="center"/>
        <w:rPr>
          <w:rFonts w:ascii="仿宋" w:hAnsi="仿宋" w:eastAsia="仿宋"/>
          <w:sz w:val="52"/>
          <w:szCs w:val="22"/>
        </w:rPr>
      </w:pPr>
    </w:p>
    <w:p>
      <w:pPr>
        <w:spacing w:line="360" w:lineRule="auto"/>
        <w:ind w:right="420" w:rightChars="200"/>
        <w:jc w:val="center"/>
        <w:rPr>
          <w:rFonts w:ascii="仿宋" w:hAnsi="仿宋" w:eastAsia="仿宋"/>
          <w:sz w:val="52"/>
          <w:szCs w:val="22"/>
        </w:rPr>
      </w:pPr>
    </w:p>
    <w:p>
      <w:pPr>
        <w:spacing w:line="360" w:lineRule="auto"/>
        <w:jc w:val="center"/>
        <w:rPr>
          <w:rFonts w:ascii="仿宋" w:hAnsi="仿宋" w:eastAsia="仿宋"/>
          <w:b/>
          <w:sz w:val="44"/>
          <w:szCs w:val="22"/>
        </w:rPr>
      </w:pPr>
      <w:r>
        <w:rPr>
          <w:rFonts w:ascii="仿宋" w:hAnsi="仿宋" w:eastAsia="仿宋"/>
          <w:b/>
          <w:sz w:val="44"/>
          <w:szCs w:val="22"/>
        </w:rPr>
        <w:t>岳阳市“十四五”充电基础设施建设发展规划</w:t>
      </w:r>
    </w:p>
    <w:bookmarkEnd w:id="0"/>
    <w:bookmarkEnd w:id="1"/>
    <w:bookmarkEnd w:id="2"/>
    <w:bookmarkEnd w:id="3"/>
    <w:bookmarkEnd w:id="4"/>
    <w:bookmarkEnd w:id="5"/>
    <w:p>
      <w:pPr>
        <w:spacing w:line="360" w:lineRule="auto"/>
        <w:ind w:right="420" w:rightChars="200"/>
        <w:jc w:val="center"/>
        <w:rPr>
          <w:rFonts w:ascii="仿宋" w:hAnsi="仿宋" w:eastAsia="仿宋"/>
          <w:b/>
          <w:sz w:val="44"/>
          <w:szCs w:val="22"/>
        </w:rPr>
      </w:pPr>
      <w:r>
        <w:rPr>
          <w:rFonts w:hint="eastAsia" w:ascii="仿宋" w:hAnsi="仿宋" w:eastAsia="仿宋"/>
          <w:b/>
          <w:sz w:val="44"/>
          <w:szCs w:val="22"/>
        </w:rPr>
        <w:t>(文</w:t>
      </w:r>
      <w:r>
        <w:rPr>
          <w:rFonts w:ascii="仿宋" w:hAnsi="仿宋" w:eastAsia="仿宋"/>
          <w:b/>
          <w:sz w:val="44"/>
          <w:szCs w:val="22"/>
        </w:rPr>
        <w:t>本)</w:t>
      </w:r>
    </w:p>
    <w:p>
      <w:pPr>
        <w:spacing w:line="360" w:lineRule="auto"/>
        <w:ind w:right="420" w:rightChars="200"/>
        <w:jc w:val="center"/>
        <w:rPr>
          <w:rFonts w:ascii="仿宋" w:hAnsi="仿宋" w:eastAsia="仿宋"/>
          <w:sz w:val="52"/>
          <w:szCs w:val="22"/>
        </w:rPr>
      </w:pPr>
    </w:p>
    <w:p>
      <w:pPr>
        <w:ind w:left="420" w:leftChars="200" w:right="420" w:rightChars="200"/>
        <w:jc w:val="center"/>
        <w:rPr>
          <w:rFonts w:ascii="仿宋" w:hAnsi="仿宋" w:eastAsia="仿宋"/>
          <w:sz w:val="52"/>
        </w:rPr>
      </w:pPr>
    </w:p>
    <w:p>
      <w:pPr>
        <w:jc w:val="center"/>
        <w:rPr>
          <w:rFonts w:ascii="仿宋" w:hAnsi="仿宋" w:eastAsia="仿宋"/>
          <w:sz w:val="44"/>
        </w:rPr>
      </w:pPr>
    </w:p>
    <w:p>
      <w:pPr>
        <w:jc w:val="center"/>
        <w:rPr>
          <w:rFonts w:ascii="仿宋" w:hAnsi="仿宋" w:eastAsia="仿宋"/>
          <w:sz w:val="44"/>
        </w:rPr>
      </w:pPr>
    </w:p>
    <w:p>
      <w:pPr>
        <w:jc w:val="center"/>
        <w:rPr>
          <w:rFonts w:ascii="仿宋" w:hAnsi="仿宋" w:eastAsia="仿宋"/>
          <w:sz w:val="44"/>
        </w:rPr>
      </w:pPr>
    </w:p>
    <w:p>
      <w:pPr>
        <w:jc w:val="center"/>
        <w:rPr>
          <w:rFonts w:ascii="仿宋" w:hAnsi="仿宋" w:eastAsia="仿宋"/>
          <w:sz w:val="44"/>
        </w:rPr>
      </w:pPr>
    </w:p>
    <w:p>
      <w:pPr>
        <w:rPr>
          <w:rFonts w:ascii="仿宋" w:hAnsi="仿宋" w:eastAsia="仿宋"/>
          <w:sz w:val="44"/>
        </w:rPr>
      </w:pPr>
    </w:p>
    <w:p>
      <w:pPr>
        <w:rPr>
          <w:rFonts w:ascii="仿宋" w:hAnsi="仿宋" w:eastAsia="仿宋"/>
          <w:sz w:val="44"/>
        </w:rPr>
      </w:pPr>
    </w:p>
    <w:p>
      <w:pPr>
        <w:spacing w:line="560" w:lineRule="exact"/>
        <w:jc w:val="center"/>
        <w:rPr>
          <w:rFonts w:ascii="仿宋" w:hAnsi="仿宋" w:eastAsia="仿宋"/>
          <w:bCs/>
          <w:sz w:val="32"/>
          <w:szCs w:val="32"/>
        </w:rPr>
      </w:pPr>
      <w:r>
        <w:rPr>
          <w:rFonts w:ascii="仿宋" w:hAnsi="仿宋" w:eastAsia="仿宋"/>
          <w:bCs/>
          <w:sz w:val="32"/>
          <w:szCs w:val="32"/>
        </w:rPr>
        <w:t>岳阳市发展和改革委员会</w:t>
      </w:r>
    </w:p>
    <w:p>
      <w:pPr>
        <w:spacing w:line="560" w:lineRule="exact"/>
        <w:jc w:val="center"/>
        <w:rPr>
          <w:rFonts w:ascii="仿宋" w:hAnsi="仿宋" w:eastAsia="仿宋"/>
          <w:bCs/>
          <w:sz w:val="32"/>
          <w:szCs w:val="32"/>
        </w:rPr>
      </w:pPr>
      <w:r>
        <w:rPr>
          <w:rFonts w:ascii="仿宋" w:hAnsi="仿宋" w:eastAsia="仿宋"/>
          <w:bCs/>
          <w:sz w:val="32"/>
          <w:szCs w:val="32"/>
        </w:rPr>
        <w:t>岳阳电力勘测设计院</w:t>
      </w:r>
    </w:p>
    <w:p>
      <w:pPr>
        <w:spacing w:line="560" w:lineRule="exact"/>
        <w:jc w:val="center"/>
        <w:rPr>
          <w:rFonts w:ascii="仿宋" w:hAnsi="仿宋" w:eastAsia="仿宋"/>
          <w:bCs/>
          <w:sz w:val="32"/>
          <w:szCs w:val="32"/>
        </w:rPr>
        <w:sectPr>
          <w:headerReference r:id="rId3" w:type="default"/>
          <w:footerReference r:id="rId4" w:type="default"/>
          <w:pgSz w:w="11906" w:h="16838"/>
          <w:pgMar w:top="2098" w:right="1474" w:bottom="1984" w:left="1587" w:header="851" w:footer="992" w:gutter="0"/>
          <w:cols w:space="425" w:num="1"/>
          <w:titlePg/>
          <w:docGrid w:type="lines" w:linePitch="312" w:charSpace="0"/>
        </w:sectPr>
      </w:pPr>
      <w:r>
        <w:rPr>
          <w:rFonts w:ascii="仿宋" w:hAnsi="仿宋" w:eastAsia="仿宋"/>
          <w:bCs/>
          <w:sz w:val="32"/>
          <w:szCs w:val="32"/>
        </w:rPr>
        <w:t>二</w:t>
      </w:r>
      <w:r>
        <w:rPr>
          <w:rFonts w:hint="eastAsia" w:ascii="仿宋" w:hAnsi="仿宋" w:eastAsia="仿宋" w:cs="宋体"/>
          <w:bCs/>
          <w:sz w:val="32"/>
          <w:szCs w:val="32"/>
        </w:rPr>
        <w:t>○</w:t>
      </w:r>
      <w:r>
        <w:rPr>
          <w:rFonts w:ascii="仿宋" w:hAnsi="仿宋" w:eastAsia="仿宋"/>
          <w:bCs/>
          <w:sz w:val="32"/>
          <w:szCs w:val="32"/>
        </w:rPr>
        <w:t>二</w:t>
      </w:r>
      <w:r>
        <w:rPr>
          <w:rFonts w:hint="eastAsia" w:ascii="仿宋" w:hAnsi="仿宋" w:eastAsia="仿宋"/>
          <w:bCs/>
          <w:sz w:val="32"/>
          <w:szCs w:val="32"/>
          <w:lang w:eastAsia="zh-CN"/>
        </w:rPr>
        <w:t>三</w:t>
      </w:r>
      <w:r>
        <w:rPr>
          <w:rFonts w:ascii="仿宋" w:hAnsi="仿宋" w:eastAsia="仿宋"/>
          <w:bCs/>
          <w:sz w:val="32"/>
          <w:szCs w:val="32"/>
        </w:rPr>
        <w:t>年</w:t>
      </w:r>
      <w:r>
        <w:rPr>
          <w:rFonts w:hint="eastAsia" w:ascii="仿宋" w:hAnsi="仿宋" w:eastAsia="仿宋"/>
          <w:bCs/>
          <w:sz w:val="32"/>
          <w:szCs w:val="32"/>
          <w:lang w:eastAsia="zh-CN"/>
        </w:rPr>
        <w:t>四</w:t>
      </w:r>
      <w:r>
        <w:rPr>
          <w:rFonts w:ascii="仿宋" w:hAnsi="仿宋" w:eastAsia="仿宋"/>
          <w:bCs/>
          <w:sz w:val="32"/>
          <w:szCs w:val="32"/>
        </w:rPr>
        <w:t>月</w:t>
      </w:r>
    </w:p>
    <w:p>
      <w:pPr>
        <w:pStyle w:val="2"/>
        <w:numPr>
          <w:ilvl w:val="0"/>
          <w:numId w:val="0"/>
        </w:numPr>
        <w:rPr>
          <w:rFonts w:ascii="仿宋" w:hAnsi="仿宋" w:eastAsia="仿宋"/>
          <w:sz w:val="36"/>
          <w:szCs w:val="36"/>
        </w:rPr>
      </w:pPr>
      <w:bookmarkStart w:id="6" w:name="_Toc18622"/>
      <w:bookmarkStart w:id="7" w:name="_Toc21279"/>
      <w:bookmarkStart w:id="8" w:name="_Toc2231"/>
      <w:bookmarkStart w:id="9" w:name="_Toc7772"/>
      <w:bookmarkStart w:id="10" w:name="_Toc101299780"/>
      <w:bookmarkStart w:id="11" w:name="_Toc8561"/>
    </w:p>
    <w:p>
      <w:pPr>
        <w:pStyle w:val="2"/>
        <w:numPr>
          <w:ilvl w:val="0"/>
          <w:numId w:val="0"/>
        </w:numPr>
        <w:rPr>
          <w:rFonts w:ascii="仿宋" w:hAnsi="仿宋" w:eastAsia="仿宋"/>
          <w:sz w:val="36"/>
          <w:szCs w:val="36"/>
        </w:rPr>
      </w:pPr>
      <w:r>
        <w:rPr>
          <w:rFonts w:ascii="仿宋" w:hAnsi="仿宋" w:eastAsia="仿宋"/>
          <w:sz w:val="36"/>
          <w:szCs w:val="36"/>
        </w:rPr>
        <w:t>目 录</w:t>
      </w:r>
      <w:bookmarkEnd w:id="6"/>
      <w:bookmarkEnd w:id="7"/>
      <w:bookmarkEnd w:id="8"/>
      <w:bookmarkEnd w:id="9"/>
      <w:bookmarkEnd w:id="10"/>
      <w:bookmarkEnd w:id="11"/>
    </w:p>
    <w:p>
      <w:pPr>
        <w:pStyle w:val="21"/>
        <w:tabs>
          <w:tab w:val="right" w:leader="dot" w:pos="8787"/>
          <w:tab w:val="clear" w:pos="1260"/>
          <w:tab w:val="clear" w:pos="8296"/>
        </w:tabs>
        <w:rPr>
          <w:rFonts w:ascii="仿宋" w:hAnsi="仿宋" w:eastAsia="仿宋"/>
          <w:bCs/>
          <w:sz w:val="32"/>
          <w:szCs w:val="32"/>
        </w:rPr>
      </w:pPr>
      <w:r>
        <w:rPr>
          <w:rFonts w:ascii="仿宋" w:hAnsi="仿宋" w:eastAsia="仿宋"/>
          <w:sz w:val="28"/>
          <w:szCs w:val="28"/>
        </w:rPr>
        <w:fldChar w:fldCharType="begin"/>
      </w:r>
      <w:r>
        <w:rPr>
          <w:rFonts w:ascii="仿宋" w:hAnsi="仿宋" w:eastAsia="仿宋"/>
          <w:sz w:val="28"/>
          <w:szCs w:val="28"/>
        </w:rPr>
        <w:instrText xml:space="preserve"> TOC \o "1-1" \h \z \u </w:instrText>
      </w:r>
      <w:r>
        <w:rPr>
          <w:rFonts w:ascii="仿宋" w:hAnsi="仿宋" w:eastAsia="仿宋"/>
          <w:sz w:val="28"/>
          <w:szCs w:val="28"/>
        </w:rPr>
        <w:fldChar w:fldCharType="separate"/>
      </w:r>
      <w:r>
        <w:fldChar w:fldCharType="begin"/>
      </w:r>
      <w:r>
        <w:instrText xml:space="preserve"> HYPERLINK \l "_Toc11572" </w:instrText>
      </w:r>
      <w:r>
        <w:fldChar w:fldCharType="separate"/>
      </w:r>
      <w:r>
        <w:rPr>
          <w:rFonts w:ascii="仿宋" w:hAnsi="仿宋" w:eastAsia="仿宋"/>
          <w:bCs/>
          <w:sz w:val="32"/>
          <w:szCs w:val="32"/>
        </w:rPr>
        <w:t>第一章 总  则</w:t>
      </w:r>
      <w:r>
        <w:rPr>
          <w:rFonts w:ascii="仿宋" w:hAnsi="仿宋" w:eastAsia="仿宋"/>
          <w:sz w:val="32"/>
          <w:szCs w:val="32"/>
        </w:rPr>
        <w:tab/>
      </w:r>
      <w:r>
        <w:rPr>
          <w:rFonts w:ascii="仿宋" w:hAnsi="仿宋" w:eastAsia="仿宋"/>
          <w:sz w:val="32"/>
          <w:szCs w:val="32"/>
        </w:rPr>
        <w:t>1</w:t>
      </w:r>
      <w:r>
        <w:rPr>
          <w:rFonts w:ascii="仿宋" w:hAnsi="仿宋" w:eastAsia="仿宋"/>
          <w:sz w:val="32"/>
          <w:szCs w:val="32"/>
        </w:rPr>
        <w:fldChar w:fldCharType="end"/>
      </w:r>
    </w:p>
    <w:p>
      <w:pPr>
        <w:pStyle w:val="21"/>
        <w:tabs>
          <w:tab w:val="right" w:leader="dot" w:pos="8787"/>
          <w:tab w:val="clear" w:pos="1260"/>
          <w:tab w:val="clear" w:pos="8296"/>
        </w:tabs>
        <w:rPr>
          <w:rFonts w:ascii="仿宋" w:hAnsi="仿宋" w:eastAsia="仿宋"/>
          <w:bCs/>
          <w:sz w:val="32"/>
          <w:szCs w:val="32"/>
        </w:rPr>
      </w:pPr>
      <w:r>
        <w:fldChar w:fldCharType="begin"/>
      </w:r>
      <w:r>
        <w:instrText xml:space="preserve"> HYPERLINK \l "_Toc20183" </w:instrText>
      </w:r>
      <w:r>
        <w:fldChar w:fldCharType="separate"/>
      </w:r>
      <w:r>
        <w:rPr>
          <w:rFonts w:ascii="仿宋" w:hAnsi="仿宋" w:eastAsia="仿宋"/>
          <w:bCs/>
          <w:sz w:val="32"/>
          <w:szCs w:val="32"/>
        </w:rPr>
        <w:t>第二章 规划目标及建设原则</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_Toc20183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21"/>
        <w:tabs>
          <w:tab w:val="right" w:leader="dot" w:pos="8787"/>
          <w:tab w:val="clear" w:pos="1260"/>
          <w:tab w:val="clear" w:pos="8296"/>
        </w:tabs>
        <w:rPr>
          <w:rFonts w:ascii="仿宋" w:hAnsi="仿宋" w:eastAsia="仿宋"/>
          <w:bCs/>
          <w:sz w:val="32"/>
          <w:szCs w:val="32"/>
        </w:rPr>
      </w:pPr>
      <w:r>
        <w:fldChar w:fldCharType="begin"/>
      </w:r>
      <w:r>
        <w:instrText xml:space="preserve"> HYPERLINK \l "_Toc6375" </w:instrText>
      </w:r>
      <w:r>
        <w:fldChar w:fldCharType="separate"/>
      </w:r>
      <w:r>
        <w:rPr>
          <w:rFonts w:ascii="仿宋" w:hAnsi="仿宋" w:eastAsia="仿宋"/>
          <w:bCs/>
          <w:sz w:val="32"/>
          <w:szCs w:val="32"/>
        </w:rPr>
        <w:t>第三章 岳阳城区充电设施布局规划</w:t>
      </w:r>
      <w:r>
        <w:rPr>
          <w:rFonts w:ascii="仿宋" w:hAnsi="仿宋" w:eastAsia="仿宋"/>
          <w:sz w:val="32"/>
          <w:szCs w:val="32"/>
        </w:rPr>
        <w:tab/>
      </w:r>
      <w:r>
        <w:rPr>
          <w:rFonts w:ascii="仿宋" w:hAnsi="仿宋" w:eastAsia="仿宋"/>
          <w:sz w:val="32"/>
          <w:szCs w:val="32"/>
        </w:rPr>
        <w:t>5</w:t>
      </w:r>
      <w:r>
        <w:rPr>
          <w:rFonts w:ascii="仿宋" w:hAnsi="仿宋" w:eastAsia="仿宋"/>
          <w:sz w:val="32"/>
          <w:szCs w:val="32"/>
        </w:rPr>
        <w:fldChar w:fldCharType="end"/>
      </w:r>
    </w:p>
    <w:p>
      <w:pPr>
        <w:pStyle w:val="21"/>
        <w:tabs>
          <w:tab w:val="right" w:leader="dot" w:pos="8787"/>
          <w:tab w:val="clear" w:pos="1260"/>
          <w:tab w:val="clear" w:pos="8296"/>
        </w:tabs>
        <w:rPr>
          <w:rFonts w:ascii="仿宋" w:hAnsi="仿宋" w:eastAsia="仿宋"/>
          <w:bCs/>
          <w:sz w:val="32"/>
          <w:szCs w:val="32"/>
        </w:rPr>
      </w:pPr>
      <w:r>
        <w:fldChar w:fldCharType="begin"/>
      </w:r>
      <w:r>
        <w:instrText xml:space="preserve"> HYPERLINK \l "_Toc28930" </w:instrText>
      </w:r>
      <w:r>
        <w:fldChar w:fldCharType="separate"/>
      </w:r>
      <w:r>
        <w:rPr>
          <w:rFonts w:ascii="仿宋" w:hAnsi="仿宋" w:eastAsia="仿宋"/>
          <w:bCs/>
          <w:sz w:val="32"/>
          <w:szCs w:val="32"/>
        </w:rPr>
        <w:t>第四章 规划保障措施与实施建议</w:t>
      </w:r>
      <w:r>
        <w:rPr>
          <w:rFonts w:ascii="仿宋" w:hAnsi="仿宋" w:eastAsia="仿宋"/>
          <w:sz w:val="32"/>
          <w:szCs w:val="32"/>
        </w:rPr>
        <w:tab/>
      </w:r>
      <w:r>
        <w:rPr>
          <w:rFonts w:ascii="仿宋" w:hAnsi="仿宋" w:eastAsia="仿宋"/>
          <w:sz w:val="32"/>
          <w:szCs w:val="32"/>
        </w:rPr>
        <w:t>6</w:t>
      </w:r>
      <w:r>
        <w:rPr>
          <w:rFonts w:ascii="仿宋" w:hAnsi="仿宋" w:eastAsia="仿宋"/>
          <w:sz w:val="32"/>
          <w:szCs w:val="32"/>
        </w:rPr>
        <w:fldChar w:fldCharType="end"/>
      </w:r>
    </w:p>
    <w:p>
      <w:pPr>
        <w:pStyle w:val="21"/>
        <w:tabs>
          <w:tab w:val="right" w:leader="dot" w:pos="8787"/>
          <w:tab w:val="clear" w:pos="1260"/>
          <w:tab w:val="clear" w:pos="8296"/>
        </w:tabs>
        <w:rPr>
          <w:rFonts w:ascii="仿宋" w:hAnsi="仿宋" w:eastAsia="仿宋"/>
          <w:sz w:val="32"/>
          <w:szCs w:val="32"/>
        </w:rPr>
        <w:sectPr>
          <w:headerReference r:id="rId5" w:type="default"/>
          <w:footerReference r:id="rId6" w:type="default"/>
          <w:pgSz w:w="11906" w:h="16838"/>
          <w:pgMar w:top="1440" w:right="1800" w:bottom="1440" w:left="1800" w:header="851" w:footer="992" w:gutter="0"/>
          <w:cols w:space="720" w:num="1"/>
          <w:docGrid w:type="lines" w:linePitch="312" w:charSpace="0"/>
        </w:sectPr>
      </w:pPr>
      <w:r>
        <w:fldChar w:fldCharType="begin"/>
      </w:r>
      <w:r>
        <w:instrText xml:space="preserve"> HYPERLINK \l "_Toc15424" </w:instrText>
      </w:r>
      <w:r>
        <w:fldChar w:fldCharType="separate"/>
      </w:r>
      <w:r>
        <w:rPr>
          <w:rFonts w:ascii="仿宋" w:hAnsi="仿宋" w:eastAsia="仿宋"/>
          <w:bCs/>
          <w:sz w:val="32"/>
          <w:szCs w:val="32"/>
        </w:rPr>
        <w:t>第五章 附 则</w:t>
      </w:r>
      <w:r>
        <w:rPr>
          <w:rFonts w:ascii="仿宋" w:hAnsi="仿宋" w:eastAsia="仿宋"/>
          <w:sz w:val="32"/>
          <w:szCs w:val="32"/>
        </w:rPr>
        <w:tab/>
      </w:r>
      <w:r>
        <w:rPr>
          <w:rFonts w:ascii="仿宋" w:hAnsi="仿宋" w:eastAsia="仿宋"/>
          <w:sz w:val="32"/>
          <w:szCs w:val="32"/>
        </w:rPr>
        <w:t>7</w:t>
      </w:r>
      <w:r>
        <w:rPr>
          <w:rFonts w:ascii="仿宋" w:hAnsi="仿宋" w:eastAsia="仿宋"/>
          <w:sz w:val="32"/>
          <w:szCs w:val="32"/>
        </w:rPr>
        <w:fldChar w:fldCharType="end"/>
      </w:r>
    </w:p>
    <w:p>
      <w:pPr>
        <w:keepNext/>
        <w:keepLines/>
        <w:tabs>
          <w:tab w:val="left" w:pos="567"/>
        </w:tabs>
        <w:spacing w:before="120" w:after="120" w:line="560" w:lineRule="exact"/>
        <w:jc w:val="center"/>
        <w:outlineLvl w:val="0"/>
        <w:rPr>
          <w:rFonts w:ascii="仿宋" w:hAnsi="仿宋" w:eastAsia="仿宋"/>
          <w:b/>
          <w:sz w:val="36"/>
          <w:szCs w:val="36"/>
        </w:rPr>
      </w:pPr>
      <w:bookmarkStart w:id="12" w:name="_Toc22129"/>
      <w:bookmarkStart w:id="13" w:name="_Toc30559"/>
      <w:r>
        <w:rPr>
          <w:rFonts w:ascii="仿宋" w:hAnsi="仿宋" w:eastAsia="仿宋"/>
          <w:sz w:val="28"/>
          <w:szCs w:val="28"/>
        </w:rPr>
        <w:fldChar w:fldCharType="end"/>
      </w:r>
      <w:bookmarkStart w:id="14" w:name="_Toc101299781"/>
      <w:r>
        <w:rPr>
          <w:rFonts w:ascii="仿宋" w:hAnsi="仿宋" w:eastAsia="仿宋"/>
          <w:b/>
          <w:sz w:val="36"/>
          <w:szCs w:val="36"/>
        </w:rPr>
        <w:t>第一章  总则</w:t>
      </w:r>
      <w:bookmarkEnd w:id="12"/>
      <w:bookmarkEnd w:id="13"/>
      <w:bookmarkEnd w:id="14"/>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编制目的</w:t>
      </w:r>
    </w:p>
    <w:p>
      <w:pPr>
        <w:spacing w:line="360" w:lineRule="auto"/>
        <w:ind w:firstLine="560" w:firstLineChars="200"/>
        <w:rPr>
          <w:rFonts w:ascii="仿宋" w:hAnsi="仿宋" w:eastAsia="仿宋"/>
          <w:sz w:val="28"/>
          <w:szCs w:val="28"/>
        </w:rPr>
      </w:pPr>
      <w:r>
        <w:rPr>
          <w:rFonts w:ascii="仿宋" w:hAnsi="仿宋" w:eastAsia="仿宋"/>
          <w:sz w:val="28"/>
          <w:szCs w:val="28"/>
        </w:rPr>
        <w:t>为深入贯彻落实国家新型基础设施建设决策部署，促进新能源汽车推广应用，加快全市电动汽车充（换）电基础设施建设，根据</w:t>
      </w:r>
      <w:r>
        <w:rPr>
          <w:rFonts w:hint="eastAsia" w:ascii="仿宋" w:hAnsi="仿宋" w:eastAsia="仿宋"/>
          <w:sz w:val="28"/>
          <w:szCs w:val="28"/>
        </w:rPr>
        <w:t>2</w:t>
      </w:r>
      <w:r>
        <w:rPr>
          <w:rFonts w:ascii="仿宋" w:hAnsi="仿宋" w:eastAsia="仿宋"/>
          <w:sz w:val="28"/>
          <w:szCs w:val="28"/>
        </w:rPr>
        <w:t>021</w:t>
      </w:r>
      <w:r>
        <w:rPr>
          <w:rFonts w:hint="eastAsia" w:ascii="仿宋" w:hAnsi="仿宋" w:eastAsia="仿宋"/>
          <w:sz w:val="28"/>
          <w:szCs w:val="28"/>
        </w:rPr>
        <w:t>年</w:t>
      </w:r>
      <w:r>
        <w:rPr>
          <w:rFonts w:ascii="仿宋" w:hAnsi="仿宋" w:eastAsia="仿宋"/>
          <w:sz w:val="28"/>
          <w:szCs w:val="28"/>
        </w:rPr>
        <w:t>市政府第56次常务会议要求，岳阳市发改委组织编制《岳阳市“十四五”充电设施专项规划》，旨在促进电动汽车充（换）电基础设施（以下简称“充电设施”）有序建设。</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规划依据</w:t>
      </w:r>
    </w:p>
    <w:p>
      <w:pPr>
        <w:spacing w:line="360" w:lineRule="auto"/>
        <w:ind w:firstLine="560" w:firstLineChars="200"/>
        <w:rPr>
          <w:rFonts w:ascii="仿宋" w:hAnsi="仿宋" w:eastAsia="仿宋"/>
          <w:bCs/>
          <w:sz w:val="28"/>
          <w:szCs w:val="28"/>
        </w:rPr>
      </w:pPr>
      <w:r>
        <w:rPr>
          <w:rFonts w:ascii="仿宋" w:hAnsi="仿宋" w:eastAsia="仿宋"/>
          <w:bCs/>
          <w:sz w:val="28"/>
          <w:szCs w:val="28"/>
        </w:rPr>
        <w:t>1.国家、电力行业、国家电网公司制订的充电设施规划、设计和运行类技术导则和规范</w:t>
      </w:r>
    </w:p>
    <w:p>
      <w:pPr>
        <w:spacing w:line="360" w:lineRule="auto"/>
        <w:ind w:firstLine="560" w:firstLineChars="200"/>
        <w:rPr>
          <w:rFonts w:ascii="仿宋" w:hAnsi="仿宋" w:eastAsia="仿宋"/>
          <w:sz w:val="28"/>
          <w:szCs w:val="28"/>
        </w:rPr>
      </w:pPr>
      <w:bookmarkStart w:id="15" w:name="_Toc23039"/>
      <w:r>
        <w:rPr>
          <w:rFonts w:ascii="仿宋" w:hAnsi="仿宋" w:eastAsia="仿宋"/>
          <w:sz w:val="28"/>
          <w:szCs w:val="28"/>
        </w:rPr>
        <w:t>（1）《新能源汽车产业发展规划（2021-2035年）》，国办发〔2020〕39号；</w:t>
      </w:r>
    </w:p>
    <w:p>
      <w:pPr>
        <w:spacing w:line="360" w:lineRule="auto"/>
        <w:ind w:firstLine="560" w:firstLineChars="200"/>
        <w:rPr>
          <w:rFonts w:ascii="仿宋" w:hAnsi="仿宋" w:eastAsia="仿宋"/>
          <w:sz w:val="28"/>
          <w:szCs w:val="28"/>
        </w:rPr>
      </w:pPr>
      <w:r>
        <w:rPr>
          <w:rFonts w:ascii="仿宋" w:hAnsi="仿宋" w:eastAsia="仿宋"/>
          <w:sz w:val="28"/>
          <w:szCs w:val="28"/>
        </w:rPr>
        <w:t>（2）《关于完善新能源汽车推广应用财政补贴政策的通知》（财建〔2020〕86号）；</w:t>
      </w:r>
    </w:p>
    <w:p>
      <w:pPr>
        <w:spacing w:line="360" w:lineRule="auto"/>
        <w:ind w:firstLine="560" w:firstLineChars="200"/>
        <w:rPr>
          <w:rFonts w:ascii="仿宋" w:hAnsi="仿宋" w:eastAsia="仿宋"/>
          <w:sz w:val="28"/>
          <w:szCs w:val="28"/>
        </w:rPr>
      </w:pPr>
      <w:r>
        <w:rPr>
          <w:rFonts w:ascii="仿宋" w:hAnsi="仿宋" w:eastAsia="仿宋"/>
          <w:sz w:val="28"/>
          <w:szCs w:val="28"/>
        </w:rPr>
        <w:t>（3）《关于进一步完善新能源汽车推广应用财政补贴政策的通知》（财建〔2020〕593号）；</w:t>
      </w:r>
    </w:p>
    <w:p>
      <w:pPr>
        <w:spacing w:line="360" w:lineRule="auto"/>
        <w:ind w:firstLine="560" w:firstLineChars="200"/>
        <w:rPr>
          <w:rFonts w:ascii="仿宋" w:hAnsi="仿宋" w:eastAsia="仿宋"/>
          <w:sz w:val="28"/>
          <w:szCs w:val="28"/>
        </w:rPr>
      </w:pPr>
      <w:r>
        <w:rPr>
          <w:rFonts w:ascii="仿宋" w:hAnsi="仿宋" w:eastAsia="仿宋"/>
          <w:sz w:val="28"/>
          <w:szCs w:val="28"/>
        </w:rPr>
        <w:t>（4）《关于加快居民区电动汽车充电基础设施建设的通知》，发改能源〔2016〕1611 号；</w:t>
      </w:r>
    </w:p>
    <w:p>
      <w:pPr>
        <w:spacing w:line="360" w:lineRule="auto"/>
        <w:ind w:firstLine="560" w:firstLineChars="200"/>
        <w:rPr>
          <w:rFonts w:ascii="仿宋" w:hAnsi="仿宋" w:eastAsia="仿宋"/>
          <w:sz w:val="28"/>
          <w:szCs w:val="28"/>
        </w:rPr>
      </w:pPr>
      <w:r>
        <w:rPr>
          <w:rFonts w:ascii="仿宋" w:hAnsi="仿宋" w:eastAsia="仿宋"/>
          <w:sz w:val="28"/>
          <w:szCs w:val="28"/>
        </w:rPr>
        <w:t>（5）《电动汽车交流充电桩技术条件》，NB/T 33002-2018；</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（6）《电动汽车充换电设施接入配电网技术规范》，GB/T 36278-2018； </w:t>
      </w:r>
    </w:p>
    <w:p>
      <w:pPr>
        <w:spacing w:line="360" w:lineRule="auto"/>
        <w:ind w:firstLine="560" w:firstLineChars="200"/>
        <w:rPr>
          <w:rFonts w:ascii="仿宋" w:hAnsi="仿宋" w:eastAsia="仿宋"/>
          <w:sz w:val="28"/>
          <w:szCs w:val="28"/>
        </w:rPr>
      </w:pPr>
      <w:r>
        <w:rPr>
          <w:rFonts w:ascii="仿宋" w:hAnsi="仿宋" w:eastAsia="仿宋"/>
          <w:sz w:val="28"/>
          <w:szCs w:val="28"/>
        </w:rPr>
        <w:t>（7）《电动汽车充换电设施规划导则》，Q/GDW 11168-2018；</w:t>
      </w:r>
    </w:p>
    <w:p>
      <w:pPr>
        <w:spacing w:line="360" w:lineRule="auto"/>
        <w:ind w:firstLine="560" w:firstLineChars="200"/>
        <w:rPr>
          <w:rFonts w:ascii="仿宋" w:hAnsi="仿宋" w:eastAsia="仿宋"/>
          <w:sz w:val="28"/>
          <w:szCs w:val="28"/>
        </w:rPr>
      </w:pPr>
      <w:r>
        <w:rPr>
          <w:rFonts w:ascii="仿宋" w:hAnsi="仿宋" w:eastAsia="仿宋"/>
          <w:sz w:val="28"/>
          <w:szCs w:val="28"/>
        </w:rPr>
        <w:t>（8）《电动汽车充换电设施接入配电网评价导则》，Q/GDW 11726-2017。</w:t>
      </w:r>
      <w:bookmarkEnd w:id="15"/>
    </w:p>
    <w:p>
      <w:pPr>
        <w:spacing w:line="360" w:lineRule="auto"/>
        <w:ind w:firstLine="560" w:firstLineChars="200"/>
        <w:rPr>
          <w:rFonts w:ascii="仿宋" w:hAnsi="仿宋" w:eastAsia="仿宋"/>
          <w:sz w:val="28"/>
          <w:szCs w:val="28"/>
        </w:rPr>
      </w:pPr>
      <w:r>
        <w:rPr>
          <w:rFonts w:ascii="仿宋" w:hAnsi="仿宋" w:eastAsia="仿宋"/>
          <w:bCs/>
          <w:sz w:val="28"/>
          <w:szCs w:val="28"/>
        </w:rPr>
        <w:t>2.湖南省制订的充电设施规划、设计和运行类技术导则和规范</w:t>
      </w:r>
      <w:r>
        <w:rPr>
          <w:rFonts w:ascii="仿宋" w:hAnsi="仿宋" w:eastAsia="仿宋"/>
          <w:bCs/>
          <w:sz w:val="28"/>
          <w:szCs w:val="28"/>
        </w:rPr>
        <w:tab/>
      </w:r>
      <w:r>
        <w:rPr>
          <w:rFonts w:ascii="仿宋" w:hAnsi="仿宋" w:eastAsia="仿宋"/>
          <w:sz w:val="28"/>
          <w:szCs w:val="28"/>
        </w:rPr>
        <w:t>（1）《湖南省人民政府办公厅关于加快电动汽车充（换）电基础设施建设的实施意见》，湘政办发〔2021〕4号；</w:t>
      </w:r>
    </w:p>
    <w:p>
      <w:pPr>
        <w:spacing w:line="360" w:lineRule="auto"/>
        <w:ind w:firstLine="560" w:firstLineChars="200"/>
        <w:rPr>
          <w:rFonts w:ascii="仿宋" w:hAnsi="仿宋" w:eastAsia="仿宋"/>
          <w:sz w:val="28"/>
          <w:szCs w:val="28"/>
        </w:rPr>
      </w:pPr>
      <w:r>
        <w:rPr>
          <w:rFonts w:ascii="仿宋" w:hAnsi="仿宋" w:eastAsia="仿宋"/>
          <w:sz w:val="28"/>
          <w:szCs w:val="28"/>
        </w:rPr>
        <w:t>（2）《湖南省居民住宅小区供配电设施建设技术标准》，湖南省住房和城乡建设厅，2020年；</w:t>
      </w:r>
    </w:p>
    <w:p>
      <w:pPr>
        <w:spacing w:line="360" w:lineRule="auto"/>
        <w:ind w:firstLine="560" w:firstLineChars="200"/>
        <w:rPr>
          <w:rFonts w:ascii="仿宋" w:hAnsi="仿宋" w:eastAsia="仿宋"/>
          <w:sz w:val="28"/>
          <w:szCs w:val="28"/>
        </w:rPr>
      </w:pPr>
      <w:r>
        <w:rPr>
          <w:rFonts w:ascii="仿宋" w:hAnsi="仿宋" w:eastAsia="仿宋"/>
          <w:sz w:val="28"/>
          <w:szCs w:val="28"/>
        </w:rPr>
        <w:t>（3）《湖南省电动汽车充（换）电基础设施建设三年行动计划（2021-2023）》，湘发改能源〔2021〕639号；</w:t>
      </w:r>
    </w:p>
    <w:p>
      <w:pPr>
        <w:spacing w:line="360" w:lineRule="auto"/>
        <w:ind w:firstLine="560" w:firstLineChars="200"/>
        <w:rPr>
          <w:rFonts w:ascii="仿宋" w:hAnsi="仿宋" w:eastAsia="仿宋"/>
          <w:sz w:val="28"/>
          <w:szCs w:val="28"/>
        </w:rPr>
      </w:pPr>
      <w:r>
        <w:rPr>
          <w:rFonts w:ascii="仿宋" w:hAnsi="仿宋" w:eastAsia="仿宋"/>
          <w:sz w:val="28"/>
          <w:szCs w:val="28"/>
        </w:rPr>
        <w:t>（4）《湖南省电动汽车充电基础设施建设与运营管理办法》，湘发改能源〔2021〕916号；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）《湖南省电动汽车充电设施涉及标准》（DBT43/016-2020）湘建科（2021）222号。</w:t>
      </w:r>
    </w:p>
    <w:p>
      <w:pPr>
        <w:spacing w:line="360" w:lineRule="auto"/>
        <w:ind w:firstLine="560" w:firstLineChars="200"/>
        <w:rPr>
          <w:rFonts w:ascii="仿宋" w:hAnsi="仿宋" w:eastAsia="仿宋"/>
          <w:bCs/>
          <w:sz w:val="28"/>
          <w:szCs w:val="28"/>
        </w:rPr>
      </w:pPr>
      <w:r>
        <w:rPr>
          <w:rFonts w:ascii="仿宋" w:hAnsi="仿宋" w:eastAsia="仿宋"/>
          <w:bCs/>
          <w:sz w:val="28"/>
          <w:szCs w:val="28"/>
        </w:rPr>
        <w:t>3、岳阳市制订的充电设施规划、城乡总体规划、国民经济和社会发展规划和相关文件</w:t>
      </w:r>
    </w:p>
    <w:p>
      <w:pPr>
        <w:spacing w:line="360" w:lineRule="auto"/>
        <w:ind w:firstLine="560" w:firstLineChars="200"/>
        <w:rPr>
          <w:rFonts w:ascii="仿宋" w:hAnsi="仿宋" w:eastAsia="仿宋"/>
          <w:sz w:val="28"/>
          <w:szCs w:val="28"/>
        </w:rPr>
      </w:pPr>
      <w:r>
        <w:rPr>
          <w:rFonts w:ascii="仿宋" w:hAnsi="仿宋" w:eastAsia="仿宋"/>
          <w:sz w:val="28"/>
          <w:szCs w:val="28"/>
        </w:rPr>
        <w:t>（1）岳阳市人民政府办公室《关于加快我市电动汽车充（换）电基础设施建设的通知》，岳政办发〔2021〕13号；</w:t>
      </w:r>
    </w:p>
    <w:p>
      <w:pPr>
        <w:spacing w:line="360" w:lineRule="auto"/>
        <w:ind w:firstLine="560" w:firstLineChars="200"/>
        <w:rPr>
          <w:rFonts w:ascii="仿宋" w:hAnsi="仿宋" w:eastAsia="仿宋"/>
          <w:sz w:val="28"/>
          <w:szCs w:val="28"/>
        </w:rPr>
      </w:pPr>
      <w:r>
        <w:rPr>
          <w:rFonts w:ascii="仿宋" w:hAnsi="仿宋" w:eastAsia="仿宋"/>
          <w:sz w:val="28"/>
          <w:szCs w:val="28"/>
        </w:rPr>
        <w:t>（2）《岳阳市国民经济和社会发展第十四个五年规划和二〇三五年远景目标纲要》，2021年1月22日岳阳市第八届人民代表大会第六次会议批准；</w:t>
      </w:r>
    </w:p>
    <w:p>
      <w:pPr>
        <w:spacing w:line="360" w:lineRule="auto"/>
        <w:ind w:firstLine="560" w:firstLineChars="200"/>
        <w:rPr>
          <w:rFonts w:ascii="仿宋" w:hAnsi="仿宋" w:eastAsia="仿宋"/>
          <w:sz w:val="28"/>
          <w:szCs w:val="28"/>
        </w:rPr>
      </w:pPr>
      <w:r>
        <w:rPr>
          <w:rFonts w:ascii="仿宋" w:hAnsi="仿宋" w:eastAsia="仿宋"/>
          <w:sz w:val="28"/>
          <w:szCs w:val="28"/>
        </w:rPr>
        <w:t>（3）《岳阳市“十四五”能源发展规划》，岳阳市发展和改革委员会，2020年11月；</w:t>
      </w:r>
    </w:p>
    <w:p>
      <w:pPr>
        <w:spacing w:line="360" w:lineRule="auto"/>
        <w:ind w:firstLine="560" w:firstLineChars="200"/>
        <w:rPr>
          <w:rFonts w:ascii="仿宋" w:hAnsi="仿宋" w:eastAsia="仿宋"/>
          <w:sz w:val="28"/>
          <w:szCs w:val="28"/>
        </w:rPr>
      </w:pPr>
      <w:r>
        <w:rPr>
          <w:rFonts w:ascii="仿宋" w:hAnsi="仿宋" w:eastAsia="仿宋"/>
          <w:sz w:val="28"/>
          <w:szCs w:val="28"/>
        </w:rPr>
        <w:t>（4）《岳阳市“十四五”新型城镇化发展规划》，岳阳市发展和改革委员会，2021年12月；</w:t>
      </w:r>
    </w:p>
    <w:p>
      <w:pPr>
        <w:spacing w:line="360" w:lineRule="auto"/>
        <w:ind w:firstLine="560" w:firstLineChars="200"/>
        <w:rPr>
          <w:rFonts w:ascii="仿宋" w:hAnsi="仿宋" w:eastAsia="仿宋"/>
          <w:sz w:val="28"/>
          <w:szCs w:val="28"/>
        </w:rPr>
      </w:pPr>
      <w:r>
        <w:rPr>
          <w:rFonts w:ascii="仿宋" w:hAnsi="仿宋" w:eastAsia="仿宋"/>
          <w:sz w:val="28"/>
          <w:szCs w:val="28"/>
        </w:rPr>
        <w:t>（5）《岳阳市交通运输“十四五”发展规划》（送审稿），岳阳市交通运输局，2021年12月；</w:t>
      </w:r>
    </w:p>
    <w:p>
      <w:pPr>
        <w:spacing w:line="360" w:lineRule="auto"/>
        <w:ind w:firstLine="560" w:firstLineChars="200"/>
        <w:rPr>
          <w:rFonts w:ascii="仿宋" w:hAnsi="仿宋" w:eastAsia="仿宋"/>
          <w:sz w:val="28"/>
          <w:szCs w:val="28"/>
        </w:rPr>
      </w:pPr>
      <w:r>
        <w:rPr>
          <w:rFonts w:ascii="仿宋" w:hAnsi="仿宋" w:eastAsia="仿宋"/>
          <w:sz w:val="28"/>
          <w:szCs w:val="28"/>
        </w:rPr>
        <w:t>（6）《岳阳市城区电动汽车基础设施发展规划（2018-2035年）》（征求意见稿），岳阳市发展和改革委员会；</w:t>
      </w:r>
    </w:p>
    <w:p>
      <w:pPr>
        <w:spacing w:line="360" w:lineRule="auto"/>
        <w:ind w:firstLine="560" w:firstLineChars="200"/>
        <w:rPr>
          <w:rFonts w:ascii="仿宋" w:hAnsi="仿宋" w:eastAsia="仿宋"/>
          <w:sz w:val="28"/>
          <w:szCs w:val="28"/>
        </w:rPr>
      </w:pPr>
      <w:r>
        <w:rPr>
          <w:rFonts w:ascii="仿宋" w:hAnsi="仿宋" w:eastAsia="仿宋"/>
          <w:sz w:val="28"/>
          <w:szCs w:val="28"/>
        </w:rPr>
        <w:t>（7）《岳阳统计年鉴》（2016-2021年），岳阳市统计局官网。</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规划内容</w:t>
      </w:r>
    </w:p>
    <w:p>
      <w:pPr>
        <w:spacing w:line="360" w:lineRule="auto"/>
        <w:ind w:firstLine="560" w:firstLineChars="200"/>
        <w:rPr>
          <w:rFonts w:ascii="仿宋" w:hAnsi="仿宋" w:eastAsia="仿宋"/>
          <w:sz w:val="28"/>
          <w:szCs w:val="28"/>
        </w:rPr>
      </w:pPr>
      <w:r>
        <w:rPr>
          <w:rFonts w:ascii="仿宋" w:hAnsi="仿宋" w:eastAsia="仿宋"/>
          <w:sz w:val="28"/>
          <w:szCs w:val="28"/>
        </w:rPr>
        <w:t>充电设施规划主要包括充电桩、充电站以及充换电站的布局规划。</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规划期限</w:t>
      </w:r>
    </w:p>
    <w:p>
      <w:pPr>
        <w:spacing w:line="360" w:lineRule="auto"/>
        <w:ind w:firstLine="560" w:firstLineChars="200"/>
        <w:rPr>
          <w:rFonts w:ascii="仿宋" w:hAnsi="仿宋" w:eastAsia="仿宋"/>
        </w:rPr>
      </w:pPr>
      <w:r>
        <w:rPr>
          <w:rFonts w:ascii="仿宋" w:hAnsi="仿宋" w:eastAsia="仿宋"/>
          <w:sz w:val="28"/>
          <w:szCs w:val="28"/>
        </w:rPr>
        <w:t>本次规划期限2021-2025年，以2020年为规划基准年，2025年为规划水平年。</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规划范围</w:t>
      </w:r>
    </w:p>
    <w:p>
      <w:pPr>
        <w:spacing w:line="360" w:lineRule="auto"/>
        <w:ind w:firstLine="560" w:firstLineChars="200"/>
        <w:rPr>
          <w:rFonts w:ascii="仿宋" w:hAnsi="仿宋" w:eastAsia="仿宋"/>
          <w:sz w:val="28"/>
          <w:szCs w:val="28"/>
        </w:rPr>
      </w:pPr>
      <w:r>
        <w:rPr>
          <w:rFonts w:ascii="仿宋" w:hAnsi="仿宋" w:eastAsia="仿宋"/>
          <w:sz w:val="28"/>
          <w:szCs w:val="28"/>
        </w:rPr>
        <w:t>规划范围为岳阳市全域，包含</w:t>
      </w:r>
      <w:r>
        <w:rPr>
          <w:rFonts w:hint="eastAsia" w:ascii="仿宋" w:hAnsi="仿宋" w:eastAsia="仿宋"/>
          <w:sz w:val="28"/>
          <w:szCs w:val="28"/>
        </w:rPr>
        <w:t>岳</w:t>
      </w:r>
      <w:r>
        <w:rPr>
          <w:rFonts w:ascii="仿宋" w:hAnsi="仿宋" w:eastAsia="仿宋"/>
          <w:sz w:val="28"/>
          <w:szCs w:val="28"/>
        </w:rPr>
        <w:t>阳市中心城区</w:t>
      </w:r>
      <w:r>
        <w:rPr>
          <w:rFonts w:hint="eastAsia" w:ascii="仿宋" w:hAnsi="仿宋" w:eastAsia="仿宋"/>
          <w:sz w:val="28"/>
          <w:szCs w:val="28"/>
        </w:rPr>
        <w:t>（岳</w:t>
      </w:r>
      <w:r>
        <w:rPr>
          <w:rFonts w:ascii="仿宋" w:hAnsi="仿宋" w:eastAsia="仿宋"/>
          <w:sz w:val="28"/>
          <w:szCs w:val="28"/>
        </w:rPr>
        <w:t>阳楼区、岳阳经济技术开发区、城陵矶新港区、南湖新区）、</w:t>
      </w:r>
      <w:r>
        <w:rPr>
          <w:rFonts w:hint="eastAsia" w:ascii="仿宋" w:hAnsi="仿宋" w:eastAsia="仿宋"/>
          <w:sz w:val="28"/>
          <w:szCs w:val="28"/>
        </w:rPr>
        <w:t>平</w:t>
      </w:r>
      <w:r>
        <w:rPr>
          <w:rFonts w:ascii="仿宋" w:hAnsi="仿宋" w:eastAsia="仿宋"/>
          <w:sz w:val="28"/>
          <w:szCs w:val="28"/>
        </w:rPr>
        <w:t>江县、岳阳县、华容县、湘阴县、临湘市、汨罗市、云溪区、</w:t>
      </w:r>
      <w:r>
        <w:rPr>
          <w:rFonts w:hint="eastAsia" w:ascii="仿宋" w:hAnsi="仿宋" w:eastAsia="仿宋"/>
          <w:sz w:val="28"/>
          <w:szCs w:val="28"/>
        </w:rPr>
        <w:t>君</w:t>
      </w:r>
      <w:r>
        <w:rPr>
          <w:rFonts w:ascii="仿宋" w:hAnsi="仿宋" w:eastAsia="仿宋"/>
          <w:sz w:val="28"/>
          <w:szCs w:val="28"/>
        </w:rPr>
        <w:t>山区、屈原管理区。</w:t>
      </w:r>
    </w:p>
    <w:p/>
    <w:p>
      <w:pPr>
        <w:keepNext/>
        <w:keepLines/>
        <w:tabs>
          <w:tab w:val="left" w:pos="567"/>
        </w:tabs>
        <w:spacing w:before="120" w:after="120" w:line="560" w:lineRule="exact"/>
        <w:jc w:val="center"/>
        <w:outlineLvl w:val="0"/>
        <w:rPr>
          <w:rFonts w:ascii="仿宋" w:hAnsi="仿宋" w:eastAsia="仿宋"/>
          <w:b/>
          <w:sz w:val="36"/>
          <w:szCs w:val="36"/>
        </w:rPr>
      </w:pPr>
      <w:bookmarkStart w:id="16" w:name="_Toc10316"/>
      <w:bookmarkStart w:id="17" w:name="_Toc101299782"/>
      <w:bookmarkStart w:id="18" w:name="_Toc20183"/>
      <w:bookmarkStart w:id="19" w:name="_Toc19730"/>
      <w:bookmarkStart w:id="20" w:name="_Toc3039"/>
      <w:bookmarkStart w:id="21" w:name="_Toc24702"/>
      <w:bookmarkStart w:id="22" w:name="_Toc19956"/>
      <w:r>
        <w:rPr>
          <w:rFonts w:ascii="仿宋" w:hAnsi="仿宋" w:eastAsia="仿宋"/>
          <w:b/>
          <w:sz w:val="36"/>
          <w:szCs w:val="36"/>
        </w:rPr>
        <w:t>第二章 规划目标及建设原则</w:t>
      </w:r>
      <w:bookmarkEnd w:id="16"/>
      <w:bookmarkEnd w:id="17"/>
      <w:bookmarkEnd w:id="18"/>
      <w:bookmarkEnd w:id="19"/>
      <w:bookmarkEnd w:id="20"/>
      <w:bookmarkEnd w:id="21"/>
      <w:bookmarkEnd w:id="22"/>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规划目标</w:t>
      </w:r>
    </w:p>
    <w:p>
      <w:pPr>
        <w:spacing w:line="360" w:lineRule="auto"/>
        <w:ind w:firstLine="560" w:firstLineChars="200"/>
        <w:rPr>
          <w:rFonts w:ascii="仿宋" w:hAnsi="仿宋" w:eastAsia="仿宋"/>
          <w:sz w:val="28"/>
          <w:szCs w:val="28"/>
        </w:rPr>
      </w:pPr>
      <w:r>
        <w:rPr>
          <w:rFonts w:ascii="仿宋" w:hAnsi="仿宋" w:eastAsia="仿宋"/>
          <w:sz w:val="28"/>
          <w:szCs w:val="28"/>
        </w:rPr>
        <w:t>到2025年底，全市建成公共充电桩（不含专用充电桩）5100个，其他类充电桩23000个，满足超过38600辆电动汽车充电需求，城市建成区公共充电设施服务半径小于2公里。</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充电设施布局原则</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按照“规划引领、科学布局、适度超前、有序建设”的原则，坚持“依托市场、创新机制、多措并举、分类施策”，基本建成“车桩相随、开放通用、标准统一、智能高效”的充电设施体系。</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1、整体规划、适度超前</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加强全市充电基础设施发展的顶层设计，从全局统筹规划，建立政府有关部门与相关企业各司其职、各尽所能、群策群力、合作共赢的推进机制，按照桩站先行、适度超前建设的策略，推进充电基础设施科学发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2、因地制宜、差异发展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着眼于电动汽车未来发展，紧密结合不同领域、不同层次充电需求，按照“公用设施快充为主、慢充为辅，专用设施快慢并重”的原则，不同县区分为城区与乡镇，调整充电基础设施建设目标任务，遵循“市场主导、快慢互济”的技术导向，加大交通、市政、电力等公共资源整合力度。</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3、资源整合、协调发展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主要围绕岳阳市重要交通网络进行充电设施的优化布置，构造以主要交通路网为核心的电动汽车充电网络，打造安全、便利、有效的充电体系。同时避免对城市交通、景观造成负面干扰和影响。电动汽车充电设施运营需要可靠的电力供应作为支撑，规划布局时充分考虑充电装置运行特点，利用好充电装置的负荷控制和削峰填谷效应时效性</w:t>
      </w:r>
      <w:r>
        <w:rPr>
          <w:rFonts w:ascii="仿宋" w:hAnsi="仿宋" w:eastAsia="仿宋"/>
          <w:sz w:val="28"/>
          <w:szCs w:val="28"/>
        </w:rPr>
        <w:t>。</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充电设施接入电网原则</w:t>
      </w:r>
    </w:p>
    <w:p>
      <w:pPr>
        <w:spacing w:line="360" w:lineRule="auto"/>
        <w:ind w:firstLine="560" w:firstLineChars="200"/>
        <w:rPr>
          <w:rFonts w:ascii="仿宋" w:hAnsi="仿宋" w:eastAsia="仿宋"/>
          <w:sz w:val="28"/>
          <w:szCs w:val="28"/>
        </w:rPr>
      </w:pPr>
      <w:r>
        <w:rPr>
          <w:rFonts w:ascii="仿宋" w:hAnsi="仿宋" w:eastAsia="仿宋"/>
          <w:sz w:val="28"/>
          <w:szCs w:val="28"/>
        </w:rPr>
        <w:t>10kW及以下的充电设备，采用220V供电，接入低压公用配电箱；10-100kW的充电设备，采用380V供电，接入低压公用配电箱；100kW-10MW的充电设备采用10千伏供电，其中容量小于4000kVA的宜接入公用电网10kV线路或接入环网柜、电缆分支箱、开关站等。二级重要用户的充换电设施宜采用双回路供电。</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建设时序原则</w:t>
      </w:r>
    </w:p>
    <w:p>
      <w:pPr>
        <w:spacing w:line="360" w:lineRule="auto"/>
        <w:ind w:firstLine="560" w:firstLineChars="200"/>
        <w:rPr>
          <w:rFonts w:ascii="仿宋" w:hAnsi="仿宋" w:eastAsia="仿宋"/>
          <w:sz w:val="28"/>
          <w:szCs w:val="28"/>
        </w:rPr>
      </w:pPr>
      <w:r>
        <w:rPr>
          <w:rFonts w:ascii="仿宋" w:hAnsi="仿宋" w:eastAsia="仿宋"/>
          <w:sz w:val="28"/>
          <w:szCs w:val="28"/>
        </w:rPr>
        <w:t>公共充电设施项目建设时序安排应实现各区域均衡发展。优先安排充电需求较大、建设条件成熟的公共充电设施项目。优先安排基础保障型公共充电设施项目，确保充电普惠服务能力。</w:t>
      </w:r>
    </w:p>
    <w:p/>
    <w:p>
      <w:pPr>
        <w:keepNext/>
        <w:keepLines/>
        <w:tabs>
          <w:tab w:val="left" w:pos="567"/>
        </w:tabs>
        <w:spacing w:before="120" w:after="120" w:line="560" w:lineRule="exact"/>
        <w:jc w:val="center"/>
        <w:outlineLvl w:val="0"/>
        <w:rPr>
          <w:rFonts w:ascii="仿宋" w:hAnsi="仿宋" w:eastAsia="仿宋"/>
          <w:b/>
          <w:sz w:val="36"/>
          <w:szCs w:val="36"/>
        </w:rPr>
      </w:pPr>
      <w:bookmarkStart w:id="23" w:name="_Toc6375"/>
      <w:bookmarkStart w:id="24" w:name="_Toc8932"/>
      <w:bookmarkStart w:id="25" w:name="_Toc24970"/>
      <w:bookmarkStart w:id="26" w:name="_Toc101299783"/>
      <w:bookmarkStart w:id="27" w:name="_Toc8073"/>
      <w:bookmarkStart w:id="28" w:name="_Toc32225"/>
      <w:bookmarkStart w:id="29" w:name="_Toc9174"/>
      <w:r>
        <w:rPr>
          <w:rFonts w:ascii="仿宋" w:hAnsi="仿宋" w:eastAsia="仿宋"/>
          <w:b/>
          <w:sz w:val="36"/>
          <w:szCs w:val="36"/>
        </w:rPr>
        <w:t>第三章 岳阳</w:t>
      </w:r>
      <w:r>
        <w:rPr>
          <w:rFonts w:hint="eastAsia" w:ascii="仿宋" w:hAnsi="仿宋" w:eastAsia="仿宋"/>
          <w:b/>
          <w:sz w:val="36"/>
          <w:szCs w:val="36"/>
        </w:rPr>
        <w:t>市</w:t>
      </w:r>
      <w:r>
        <w:rPr>
          <w:rFonts w:ascii="仿宋" w:hAnsi="仿宋" w:eastAsia="仿宋"/>
          <w:b/>
          <w:sz w:val="36"/>
          <w:szCs w:val="36"/>
        </w:rPr>
        <w:t>充电设施布局规划</w:t>
      </w:r>
      <w:bookmarkEnd w:id="23"/>
      <w:bookmarkEnd w:id="24"/>
      <w:bookmarkEnd w:id="25"/>
      <w:bookmarkEnd w:id="26"/>
      <w:bookmarkEnd w:id="27"/>
      <w:bookmarkEnd w:id="28"/>
      <w:bookmarkEnd w:id="29"/>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 xml:space="preserve"> 布局规划</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至</w:t>
      </w:r>
      <w:r>
        <w:rPr>
          <w:rFonts w:ascii="仿宋" w:hAnsi="仿宋" w:eastAsia="仿宋"/>
          <w:sz w:val="28"/>
          <w:szCs w:val="28"/>
        </w:rPr>
        <w:t>“</w:t>
      </w:r>
      <w:r>
        <w:rPr>
          <w:rFonts w:hint="eastAsia" w:ascii="仿宋" w:hAnsi="仿宋" w:eastAsia="仿宋"/>
          <w:sz w:val="28"/>
          <w:szCs w:val="28"/>
        </w:rPr>
        <w:t>十四</w:t>
      </w:r>
      <w:r>
        <w:rPr>
          <w:rFonts w:ascii="仿宋" w:hAnsi="仿宋" w:eastAsia="仿宋"/>
          <w:sz w:val="28"/>
          <w:szCs w:val="28"/>
        </w:rPr>
        <w:t>五”</w:t>
      </w:r>
      <w:r>
        <w:rPr>
          <w:rFonts w:hint="eastAsia" w:ascii="仿宋" w:hAnsi="仿宋" w:eastAsia="仿宋"/>
          <w:sz w:val="28"/>
          <w:szCs w:val="28"/>
        </w:rPr>
        <w:t>末期</w:t>
      </w:r>
      <w:r>
        <w:rPr>
          <w:rFonts w:ascii="仿宋" w:hAnsi="仿宋" w:eastAsia="仿宋"/>
          <w:sz w:val="28"/>
          <w:szCs w:val="28"/>
        </w:rPr>
        <w:t>，全市</w:t>
      </w:r>
      <w:r>
        <w:rPr>
          <w:rFonts w:hint="eastAsia" w:ascii="仿宋" w:hAnsi="仿宋" w:eastAsia="仿宋"/>
          <w:sz w:val="28"/>
          <w:szCs w:val="28"/>
        </w:rPr>
        <w:t>共建设</w:t>
      </w:r>
      <w:r>
        <w:rPr>
          <w:rFonts w:ascii="仿宋" w:hAnsi="仿宋" w:eastAsia="仿宋"/>
          <w:sz w:val="28"/>
          <w:szCs w:val="28"/>
        </w:rPr>
        <w:t>充电桩23000个,其中公用桩5100个。各区县</w:t>
      </w:r>
      <w:r>
        <w:rPr>
          <w:rFonts w:hint="eastAsia" w:ascii="仿宋" w:hAnsi="仿宋" w:eastAsia="仿宋"/>
          <w:sz w:val="28"/>
          <w:szCs w:val="28"/>
        </w:rPr>
        <w:t>公</w:t>
      </w:r>
      <w:r>
        <w:rPr>
          <w:rFonts w:ascii="仿宋" w:hAnsi="仿宋" w:eastAsia="仿宋"/>
          <w:sz w:val="28"/>
          <w:szCs w:val="28"/>
        </w:rPr>
        <w:t>用充电桩布局情况如下：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岳阳市中心城区5328个，其中公用充电桩1180个；平江县3112个，其中公用充电桩691个；岳阳县2672个，其中公用充电桩593个；华容县2689个，其中公用充电桩596个；湘阴县2790个，其中公用充电桩618个；临湘市1843个，其中公用充电桩408个；汨罗市2554个，其中公用充电桩567个；云溪区693个，其中公用充电桩153个；君山区964个，其中公用充电桩212个；屈原管理区355个，其中公用充电桩82个。</w:t>
      </w:r>
    </w:p>
    <w:p/>
    <w:p>
      <w:pPr>
        <w:keepNext/>
        <w:keepLines/>
        <w:tabs>
          <w:tab w:val="left" w:pos="567"/>
        </w:tabs>
        <w:spacing w:before="120" w:after="120" w:line="560" w:lineRule="exact"/>
        <w:jc w:val="center"/>
        <w:outlineLvl w:val="0"/>
        <w:rPr>
          <w:rFonts w:ascii="仿宋" w:hAnsi="仿宋" w:eastAsia="仿宋"/>
          <w:b/>
          <w:sz w:val="36"/>
          <w:szCs w:val="36"/>
        </w:rPr>
      </w:pPr>
      <w:bookmarkStart w:id="30" w:name="_Toc3187"/>
      <w:bookmarkStart w:id="31" w:name="_Toc101299784"/>
      <w:bookmarkStart w:id="32" w:name="_Toc24417"/>
      <w:bookmarkStart w:id="33" w:name="_Toc516669514"/>
      <w:bookmarkStart w:id="34" w:name="_Toc28930"/>
      <w:bookmarkStart w:id="35" w:name="_Toc13281"/>
      <w:bookmarkStart w:id="36" w:name="_Toc22816"/>
      <w:bookmarkStart w:id="37" w:name="_Toc21349"/>
      <w:r>
        <w:rPr>
          <w:rFonts w:ascii="仿宋" w:hAnsi="仿宋" w:eastAsia="仿宋"/>
          <w:b/>
          <w:sz w:val="36"/>
          <w:szCs w:val="36"/>
        </w:rPr>
        <w:t>第四章 规划保障措施与实施建议</w:t>
      </w:r>
      <w:bookmarkEnd w:id="30"/>
      <w:bookmarkEnd w:id="31"/>
      <w:bookmarkEnd w:id="32"/>
      <w:bookmarkEnd w:id="33"/>
      <w:bookmarkEnd w:id="34"/>
      <w:bookmarkEnd w:id="35"/>
      <w:bookmarkEnd w:id="36"/>
      <w:bookmarkEnd w:id="37"/>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规划管理</w:t>
      </w:r>
    </w:p>
    <w:p>
      <w:pPr>
        <w:spacing w:line="360" w:lineRule="auto"/>
        <w:ind w:firstLine="560" w:firstLineChars="200"/>
        <w:rPr>
          <w:rFonts w:ascii="仿宋" w:hAnsi="仿宋" w:eastAsia="仿宋"/>
          <w:bCs/>
          <w:sz w:val="28"/>
          <w:szCs w:val="28"/>
        </w:rPr>
      </w:pPr>
      <w:r>
        <w:rPr>
          <w:rFonts w:ascii="仿宋" w:hAnsi="仿宋" w:eastAsia="仿宋"/>
          <w:bCs/>
          <w:sz w:val="28"/>
          <w:szCs w:val="28"/>
        </w:rPr>
        <w:t>1.建立联动机制，健全管理体系建设</w:t>
      </w:r>
    </w:p>
    <w:p>
      <w:pPr>
        <w:spacing w:line="360" w:lineRule="auto"/>
        <w:ind w:firstLine="560" w:firstLineChars="200"/>
        <w:rPr>
          <w:rFonts w:ascii="仿宋" w:hAnsi="仿宋" w:eastAsia="仿宋"/>
          <w:sz w:val="28"/>
          <w:szCs w:val="28"/>
        </w:rPr>
      </w:pPr>
      <w:r>
        <w:rPr>
          <w:rFonts w:ascii="仿宋" w:hAnsi="仿宋" w:eastAsia="仿宋"/>
          <w:sz w:val="28"/>
          <w:szCs w:val="28"/>
        </w:rPr>
        <w:t>由市政府组织相关部门和各区县，形成统一领导、密切配合、分工协作、严格监管的联动工作机制，研究制定相关配套政策，统筹协调规划实施中的相关问题，确保各项政策措施整体推进、落实到位，逐年稳步保障目标的实现。</w:t>
      </w:r>
    </w:p>
    <w:p>
      <w:pPr>
        <w:spacing w:line="360" w:lineRule="auto"/>
        <w:ind w:firstLine="560" w:firstLineChars="200"/>
        <w:rPr>
          <w:rFonts w:ascii="仿宋" w:hAnsi="仿宋" w:eastAsia="仿宋"/>
          <w:bCs/>
          <w:sz w:val="28"/>
          <w:szCs w:val="28"/>
        </w:rPr>
      </w:pPr>
      <w:r>
        <w:rPr>
          <w:rFonts w:ascii="仿宋" w:hAnsi="仿宋" w:eastAsia="仿宋"/>
          <w:bCs/>
          <w:sz w:val="28"/>
          <w:szCs w:val="28"/>
        </w:rPr>
        <w:t>2.健全市场机制，加速推进电力需求建设</w:t>
      </w:r>
    </w:p>
    <w:p>
      <w:pPr>
        <w:spacing w:line="360" w:lineRule="auto"/>
        <w:ind w:firstLine="560" w:firstLineChars="200"/>
        <w:rPr>
          <w:rFonts w:ascii="仿宋" w:hAnsi="仿宋" w:eastAsia="仿宋"/>
          <w:sz w:val="28"/>
          <w:szCs w:val="28"/>
        </w:rPr>
      </w:pPr>
      <w:r>
        <w:rPr>
          <w:rFonts w:ascii="仿宋" w:hAnsi="仿宋" w:eastAsia="仿宋"/>
          <w:sz w:val="28"/>
          <w:szCs w:val="28"/>
        </w:rPr>
        <w:t>加强信息化建设，创新建设结构和管理技术，找出适合岳阳市充电设施发展的最优模式；通过增加政府财政投入，健全市场机制，扩大筹资渠道，建立多层次、多元化的充电设施工程投融资机制。</w:t>
      </w:r>
    </w:p>
    <w:p>
      <w:pPr>
        <w:spacing w:line="360" w:lineRule="auto"/>
        <w:ind w:firstLine="560" w:firstLineChars="200"/>
        <w:rPr>
          <w:rFonts w:ascii="仿宋" w:hAnsi="仿宋" w:eastAsia="仿宋"/>
          <w:bCs/>
          <w:sz w:val="28"/>
          <w:szCs w:val="28"/>
        </w:rPr>
      </w:pPr>
      <w:r>
        <w:rPr>
          <w:rFonts w:ascii="仿宋" w:hAnsi="仿宋" w:eastAsia="仿宋"/>
          <w:bCs/>
          <w:sz w:val="28"/>
          <w:szCs w:val="28"/>
        </w:rPr>
        <w:t>3.依托数字化电力管理，提升管理决策和服务水平</w:t>
      </w:r>
    </w:p>
    <w:p>
      <w:pPr>
        <w:spacing w:line="360" w:lineRule="auto"/>
        <w:ind w:firstLine="560" w:firstLineChars="200"/>
        <w:rPr>
          <w:rFonts w:ascii="仿宋" w:hAnsi="仿宋" w:eastAsia="仿宋"/>
          <w:sz w:val="28"/>
          <w:szCs w:val="28"/>
        </w:rPr>
      </w:pPr>
      <w:r>
        <w:rPr>
          <w:rFonts w:ascii="仿宋" w:hAnsi="仿宋" w:eastAsia="仿宋"/>
          <w:sz w:val="28"/>
          <w:szCs w:val="28"/>
        </w:rPr>
        <w:t>充电设施需以先进的理念为依据，现代化信息技术为基础，高科技设备为手段，来提高其管理决策和服务水平。加强对充电行业现状的改造力度，结合数字化充电设施管理平台，提升用户体验感。</w:t>
      </w:r>
    </w:p>
    <w:p>
      <w:pPr>
        <w:spacing w:line="360" w:lineRule="auto"/>
        <w:ind w:firstLine="560" w:firstLineChars="200"/>
        <w:rPr>
          <w:rFonts w:ascii="仿宋" w:hAnsi="仿宋" w:eastAsia="仿宋"/>
          <w:bCs/>
          <w:sz w:val="28"/>
          <w:szCs w:val="28"/>
        </w:rPr>
      </w:pPr>
      <w:r>
        <w:rPr>
          <w:rFonts w:ascii="仿宋" w:hAnsi="仿宋" w:eastAsia="仿宋"/>
          <w:bCs/>
          <w:sz w:val="28"/>
          <w:szCs w:val="28"/>
        </w:rPr>
        <w:t>4.开放公众参与，提高充电设施专项规划保障力度</w:t>
      </w:r>
    </w:p>
    <w:p>
      <w:pPr>
        <w:spacing w:line="360" w:lineRule="auto"/>
        <w:ind w:firstLine="560" w:firstLineChars="200"/>
        <w:rPr>
          <w:rFonts w:ascii="仿宋" w:hAnsi="仿宋" w:eastAsia="仿宋"/>
          <w:sz w:val="28"/>
          <w:szCs w:val="28"/>
        </w:rPr>
      </w:pPr>
      <w:r>
        <w:rPr>
          <w:rFonts w:ascii="仿宋" w:hAnsi="仿宋" w:eastAsia="仿宋"/>
          <w:sz w:val="28"/>
          <w:szCs w:val="28"/>
        </w:rPr>
        <w:t>充电设施专项规划必须通过不同类型的形式向公众进行开放，听取他们的监督建议。</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运营维护保障</w:t>
      </w:r>
    </w:p>
    <w:p>
      <w:pPr>
        <w:spacing w:line="360" w:lineRule="auto"/>
        <w:ind w:firstLine="560" w:firstLineChars="200"/>
        <w:rPr>
          <w:rFonts w:ascii="仿宋" w:hAnsi="仿宋" w:eastAsia="仿宋"/>
          <w:sz w:val="28"/>
          <w:szCs w:val="28"/>
        </w:rPr>
      </w:pPr>
      <w:bookmarkStart w:id="38" w:name="_Toc532804585"/>
      <w:r>
        <w:rPr>
          <w:rFonts w:ascii="仿宋" w:hAnsi="仿宋" w:eastAsia="仿宋"/>
          <w:sz w:val="28"/>
          <w:szCs w:val="28"/>
        </w:rPr>
        <w:t>充电设施建设由政府主管部门牵头，各相关部门联动，完善协调和监督体系。充电设施由政府授权的运营管理单位按照经营项目化、运作市场化、管理科学化、利润合理化的目标进行管理，力争使充电设施的社会效益、经济效益最大化。</w:t>
      </w:r>
      <w:bookmarkEnd w:id="38"/>
    </w:p>
    <w:p/>
    <w:p>
      <w:pPr>
        <w:keepNext/>
        <w:keepLines/>
        <w:tabs>
          <w:tab w:val="left" w:pos="567"/>
        </w:tabs>
        <w:spacing w:before="120" w:after="120" w:line="560" w:lineRule="exact"/>
        <w:jc w:val="center"/>
        <w:outlineLvl w:val="0"/>
        <w:rPr>
          <w:rFonts w:ascii="仿宋" w:hAnsi="仿宋" w:eastAsia="仿宋"/>
          <w:b/>
          <w:sz w:val="36"/>
          <w:szCs w:val="36"/>
        </w:rPr>
      </w:pPr>
      <w:bookmarkStart w:id="39" w:name="_Toc101299785"/>
      <w:bookmarkStart w:id="40" w:name="_Toc1951"/>
      <w:bookmarkStart w:id="41" w:name="_Toc22268"/>
      <w:bookmarkStart w:id="42" w:name="_Toc1860"/>
      <w:bookmarkStart w:id="43" w:name="_Toc6608"/>
      <w:bookmarkStart w:id="44" w:name="_Toc12544"/>
      <w:bookmarkStart w:id="45" w:name="_Toc516669515"/>
      <w:bookmarkStart w:id="46" w:name="_Toc15424"/>
      <w:r>
        <w:rPr>
          <w:rFonts w:ascii="仿宋" w:hAnsi="仿宋" w:eastAsia="仿宋"/>
          <w:b/>
          <w:sz w:val="36"/>
          <w:szCs w:val="36"/>
        </w:rPr>
        <w:t>第五章 附则</w:t>
      </w:r>
      <w:bookmarkEnd w:id="39"/>
      <w:bookmarkEnd w:id="40"/>
      <w:bookmarkEnd w:id="41"/>
      <w:bookmarkEnd w:id="42"/>
      <w:bookmarkEnd w:id="43"/>
      <w:bookmarkEnd w:id="44"/>
      <w:bookmarkEnd w:id="45"/>
      <w:bookmarkEnd w:id="46"/>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规划修改程序</w:t>
      </w:r>
    </w:p>
    <w:p>
      <w:pPr>
        <w:spacing w:line="360" w:lineRule="auto"/>
        <w:ind w:firstLine="560" w:firstLineChars="200"/>
        <w:rPr>
          <w:rFonts w:ascii="仿宋" w:hAnsi="仿宋" w:eastAsia="仿宋"/>
          <w:sz w:val="28"/>
          <w:szCs w:val="28"/>
        </w:rPr>
      </w:pPr>
      <w:r>
        <w:rPr>
          <w:rFonts w:ascii="仿宋" w:hAnsi="仿宋" w:eastAsia="仿宋"/>
          <w:sz w:val="28"/>
          <w:szCs w:val="28"/>
        </w:rPr>
        <w:t>本规划经审批通过后，即具法律效应。任何单位和个人不得擅自修改，确实需要修改的，应该符合《中华人民共和国城乡规划法》相关程序要求办理。</w:t>
      </w:r>
    </w:p>
    <w:p>
      <w:pPr>
        <w:numPr>
          <w:ilvl w:val="0"/>
          <w:numId w:val="2"/>
        </w:numPr>
        <w:tabs>
          <w:tab w:val="left" w:pos="0"/>
          <w:tab w:val="clear" w:pos="2448"/>
        </w:tabs>
        <w:spacing w:line="360" w:lineRule="auto"/>
        <w:ind w:left="0" w:firstLine="643" w:firstLineChars="200"/>
        <w:rPr>
          <w:rFonts w:ascii="仿宋" w:hAnsi="仿宋" w:eastAsia="仿宋"/>
          <w:b/>
          <w:bCs/>
          <w:sz w:val="32"/>
          <w:szCs w:val="32"/>
        </w:rPr>
      </w:pPr>
      <w:r>
        <w:rPr>
          <w:rFonts w:ascii="仿宋" w:hAnsi="仿宋" w:eastAsia="仿宋"/>
          <w:b/>
          <w:bCs/>
          <w:sz w:val="32"/>
          <w:szCs w:val="32"/>
        </w:rPr>
        <w:t>注释</w:t>
      </w:r>
    </w:p>
    <w:p>
      <w:pPr>
        <w:spacing w:line="360" w:lineRule="auto"/>
        <w:ind w:firstLine="560" w:firstLineChars="200"/>
        <w:rPr>
          <w:rFonts w:ascii="仿宋" w:hAnsi="仿宋" w:eastAsia="仿宋"/>
          <w:sz w:val="28"/>
          <w:szCs w:val="28"/>
        </w:rPr>
      </w:pPr>
      <w:r>
        <w:rPr>
          <w:rFonts w:ascii="仿宋" w:hAnsi="仿宋" w:eastAsia="仿宋"/>
          <w:bCs/>
          <w:sz w:val="28"/>
          <w:szCs w:val="28"/>
        </w:rPr>
        <w:t>（1）充（换）电站：</w:t>
      </w:r>
      <w:r>
        <w:rPr>
          <w:rFonts w:ascii="仿宋" w:hAnsi="仿宋" w:eastAsia="仿宋"/>
          <w:sz w:val="28"/>
          <w:szCs w:val="28"/>
        </w:rPr>
        <w:t>为电动汽车的动力电池提供充电和动力电池快速更换的能源站。</w:t>
      </w:r>
    </w:p>
    <w:p>
      <w:pPr>
        <w:spacing w:line="360" w:lineRule="auto"/>
        <w:ind w:firstLine="560" w:firstLineChars="200"/>
        <w:rPr>
          <w:rFonts w:ascii="仿宋" w:hAnsi="仿宋" w:eastAsia="仿宋"/>
          <w:sz w:val="28"/>
          <w:szCs w:val="28"/>
        </w:rPr>
      </w:pPr>
      <w:r>
        <w:rPr>
          <w:rFonts w:ascii="仿宋" w:hAnsi="仿宋" w:eastAsia="仿宋"/>
          <w:bCs/>
          <w:sz w:val="28"/>
          <w:szCs w:val="28"/>
        </w:rPr>
        <w:t>（2）充电桩：</w:t>
      </w:r>
      <w:r>
        <w:rPr>
          <w:rFonts w:ascii="仿宋" w:hAnsi="仿宋" w:eastAsia="仿宋"/>
          <w:sz w:val="28"/>
          <w:szCs w:val="28"/>
        </w:rPr>
        <w:t>其功能类似于加油站里面的加油机，可以固定在地面或者墙壁，分为常规充电和快速充电两种充电方式。充电桩显示屏能显示充电量、费用、充电时间等数据。因不同类型充电桩配置的充电</w:t>
      </w:r>
      <w:r>
        <w:rPr>
          <w:rFonts w:hint="eastAsia" w:ascii="仿宋" w:hAnsi="仿宋" w:eastAsia="仿宋"/>
          <w:sz w:val="28"/>
          <w:szCs w:val="28"/>
        </w:rPr>
        <w:t>枪</w:t>
      </w:r>
      <w:r>
        <w:rPr>
          <w:rFonts w:ascii="仿宋" w:hAnsi="仿宋" w:eastAsia="仿宋"/>
          <w:sz w:val="28"/>
          <w:szCs w:val="28"/>
        </w:rPr>
        <w:t>把数不一，可供充电的车位数也不尽相同</w:t>
      </w:r>
      <w:r>
        <w:rPr>
          <w:rFonts w:hint="eastAsia" w:ascii="仿宋" w:hAnsi="仿宋" w:eastAsia="仿宋"/>
          <w:sz w:val="28"/>
          <w:szCs w:val="28"/>
        </w:rPr>
        <w:t>，</w:t>
      </w:r>
      <w:r>
        <w:rPr>
          <w:rFonts w:ascii="仿宋" w:hAnsi="仿宋" w:eastAsia="仿宋"/>
          <w:sz w:val="28"/>
          <w:szCs w:val="28"/>
        </w:rPr>
        <w:t>为便于</w:t>
      </w:r>
      <w:r>
        <w:rPr>
          <w:rFonts w:hint="eastAsia" w:ascii="仿宋" w:hAnsi="仿宋" w:eastAsia="仿宋"/>
          <w:sz w:val="28"/>
          <w:szCs w:val="28"/>
        </w:rPr>
        <w:t>分析</w:t>
      </w:r>
      <w:r>
        <w:rPr>
          <w:rFonts w:ascii="仿宋" w:hAnsi="仿宋" w:eastAsia="仿宋"/>
          <w:sz w:val="28"/>
          <w:szCs w:val="28"/>
        </w:rPr>
        <w:t>，本规划中涉及的充电桩</w:t>
      </w:r>
      <w:r>
        <w:rPr>
          <w:rFonts w:hint="eastAsia" w:ascii="仿宋" w:hAnsi="仿宋" w:eastAsia="仿宋"/>
          <w:sz w:val="28"/>
          <w:szCs w:val="28"/>
        </w:rPr>
        <w:t>均</w:t>
      </w:r>
      <w:r>
        <w:rPr>
          <w:rFonts w:ascii="仿宋" w:hAnsi="仿宋" w:eastAsia="仿宋"/>
          <w:sz w:val="28"/>
          <w:szCs w:val="28"/>
        </w:rPr>
        <w:t>按单桩单枪统计。</w:t>
      </w:r>
    </w:p>
    <w:p>
      <w:pPr>
        <w:spacing w:line="360" w:lineRule="auto"/>
        <w:ind w:firstLine="560" w:firstLineChars="200"/>
        <w:rPr>
          <w:rFonts w:ascii="仿宋" w:hAnsi="仿宋" w:eastAsia="仿宋"/>
          <w:sz w:val="28"/>
          <w:szCs w:val="28"/>
        </w:rPr>
      </w:pPr>
      <w:r>
        <w:rPr>
          <w:rFonts w:ascii="仿宋" w:hAnsi="仿宋" w:eastAsia="仿宋"/>
          <w:bCs/>
          <w:sz w:val="28"/>
          <w:szCs w:val="28"/>
        </w:rPr>
        <w:t>（3）直流充电桩：</w:t>
      </w:r>
      <w:r>
        <w:rPr>
          <w:rFonts w:ascii="仿宋" w:hAnsi="仿宋" w:eastAsia="仿宋"/>
          <w:sz w:val="28"/>
          <w:szCs w:val="28"/>
        </w:rPr>
        <w:t>为电动汽车电池提供直流电源的双枪充电装置，通过桩内逆变器将交流转换成直流，输出充电功率大，因此可以实现电动汽车快速充电，充电时间一般为0.5-1小时。</w:t>
      </w:r>
    </w:p>
    <w:p>
      <w:pPr>
        <w:spacing w:line="360" w:lineRule="auto"/>
        <w:ind w:firstLine="560" w:firstLineChars="200"/>
        <w:rPr>
          <w:rFonts w:ascii="仿宋" w:hAnsi="仿宋" w:eastAsia="仿宋"/>
          <w:sz w:val="28"/>
          <w:szCs w:val="28"/>
        </w:rPr>
      </w:pPr>
      <w:r>
        <w:rPr>
          <w:rFonts w:ascii="仿宋" w:hAnsi="仿宋" w:eastAsia="仿宋"/>
          <w:bCs/>
          <w:sz w:val="28"/>
          <w:szCs w:val="28"/>
        </w:rPr>
        <w:t>（4）交流充电桩：</w:t>
      </w:r>
      <w:r>
        <w:rPr>
          <w:rFonts w:ascii="仿宋" w:hAnsi="仿宋" w:eastAsia="仿宋"/>
          <w:sz w:val="28"/>
          <w:szCs w:val="28"/>
        </w:rPr>
        <w:t>为电动汽车电池提供交流电源的充电装置，充电功率一般比较小，充电时间一般为4-8小时。</w:t>
      </w:r>
    </w:p>
    <w:p>
      <w:pPr>
        <w:spacing w:line="360" w:lineRule="auto"/>
        <w:ind w:firstLine="560" w:firstLineChars="200"/>
        <w:rPr>
          <w:rFonts w:ascii="仿宋" w:hAnsi="仿宋" w:eastAsia="仿宋"/>
          <w:sz w:val="28"/>
          <w:szCs w:val="28"/>
        </w:rPr>
      </w:pPr>
      <w:r>
        <w:rPr>
          <w:rFonts w:ascii="仿宋" w:hAnsi="仿宋" w:eastAsia="仿宋"/>
          <w:bCs/>
          <w:sz w:val="28"/>
          <w:szCs w:val="28"/>
        </w:rPr>
        <w:t>（5）车桩比：</w:t>
      </w:r>
      <w:r>
        <w:rPr>
          <w:rFonts w:ascii="仿宋" w:hAnsi="仿宋" w:eastAsia="仿宋"/>
          <w:sz w:val="28"/>
          <w:szCs w:val="28"/>
        </w:rPr>
        <w:t>电动汽车与充电桩比例。</w:t>
      </w:r>
    </w:p>
    <w:p>
      <w:pPr>
        <w:spacing w:line="360" w:lineRule="auto"/>
        <w:ind w:firstLine="560" w:firstLineChars="200"/>
        <w:rPr>
          <w:rFonts w:ascii="仿宋" w:hAnsi="仿宋" w:eastAsia="仿宋"/>
          <w:sz w:val="28"/>
          <w:szCs w:val="28"/>
        </w:rPr>
      </w:pPr>
      <w:r>
        <w:rPr>
          <w:rFonts w:ascii="仿宋" w:hAnsi="仿宋" w:eastAsia="仿宋"/>
          <w:bCs/>
          <w:sz w:val="28"/>
          <w:szCs w:val="28"/>
        </w:rPr>
        <w:t>（6）规划基准年：</w:t>
      </w:r>
      <w:r>
        <w:rPr>
          <w:rFonts w:ascii="仿宋" w:hAnsi="仿宋" w:eastAsia="仿宋"/>
          <w:sz w:val="28"/>
          <w:szCs w:val="28"/>
        </w:rPr>
        <w:t>本次规划以2020年为规划基准年，因文本规划年度为2022年，部分2021年公共数据已发布。涉及2021年已发布的基础数据，以2021年数据为现状数据作为分析预测对象。</w:t>
      </w:r>
    </w:p>
    <w:p>
      <w:pPr>
        <w:spacing w:line="360" w:lineRule="auto"/>
        <w:ind w:left="1260" w:leftChars="200" w:hanging="840" w:hangingChars="300"/>
        <w:rPr>
          <w:rFonts w:ascii="仿宋" w:hAnsi="仿宋" w:eastAsia="仿宋"/>
          <w:sz w:val="28"/>
          <w:szCs w:val="28"/>
        </w:rPr>
        <w:sectPr>
          <w:headerReference r:id="rId7" w:type="default"/>
          <w:footerReference r:id="rId8" w:type="default"/>
          <w:footnotePr>
            <w:pos w:val="beneathText"/>
          </w:footnotePr>
          <w:pgSz w:w="11906" w:h="16838"/>
          <w:pgMar w:top="1440" w:right="1800" w:bottom="1440" w:left="1800" w:header="851" w:footer="1247" w:gutter="0"/>
          <w:pgNumType w:start="1"/>
          <w:cols w:space="720" w:num="1"/>
          <w:docGrid w:type="lines" w:linePitch="312" w:charSpace="0"/>
        </w:sectPr>
      </w:pPr>
      <w:r>
        <w:rPr>
          <w:rFonts w:ascii="仿宋" w:hAnsi="仿宋" w:eastAsia="仿宋"/>
          <w:bCs/>
          <w:sz w:val="28"/>
          <w:szCs w:val="28"/>
        </w:rPr>
        <w:t>附件</w:t>
      </w:r>
      <w:r>
        <w:rPr>
          <w:rFonts w:ascii="仿宋" w:hAnsi="仿宋" w:eastAsia="仿宋"/>
          <w:sz w:val="28"/>
          <w:szCs w:val="28"/>
        </w:rPr>
        <w:t>：</w:t>
      </w:r>
      <w:r>
        <w:rPr>
          <w:rFonts w:hint="eastAsia" w:ascii="仿宋" w:hAnsi="仿宋" w:eastAsia="仿宋"/>
          <w:sz w:val="28"/>
          <w:szCs w:val="28"/>
        </w:rPr>
        <w:t>《</w:t>
      </w:r>
      <w:r>
        <w:rPr>
          <w:rFonts w:ascii="仿宋" w:hAnsi="仿宋" w:eastAsia="仿宋"/>
          <w:sz w:val="28"/>
          <w:szCs w:val="28"/>
        </w:rPr>
        <w:t>岳阳市“十四五”充电基础设施建设发展规划说明</w:t>
      </w:r>
      <w:r>
        <w:rPr>
          <w:rFonts w:hint="eastAsia" w:ascii="仿宋" w:hAnsi="仿宋" w:eastAsia="仿宋"/>
          <w:sz w:val="28"/>
          <w:szCs w:val="28"/>
        </w:rPr>
        <w:t>书</w:t>
      </w:r>
      <w:r>
        <w:rPr>
          <w:rFonts w:ascii="仿宋" w:hAnsi="仿宋" w:eastAsia="仿宋"/>
          <w:sz w:val="28"/>
          <w:szCs w:val="28"/>
        </w:rPr>
        <w:t>》</w:t>
      </w:r>
      <w:r>
        <w:rPr>
          <w:rFonts w:hint="eastAsia" w:ascii="仿宋" w:hAnsi="仿宋" w:eastAsia="仿宋"/>
          <w:sz w:val="28"/>
          <w:szCs w:val="28"/>
        </w:rPr>
        <w:t>《岳阳市“十四五”充电基础设施建设发展规划项目清册》</w:t>
      </w: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p>
    <w:p>
      <w:pPr>
        <w:spacing w:line="560" w:lineRule="exact"/>
        <w:jc w:val="center"/>
        <w:rPr>
          <w:rFonts w:ascii="仿宋" w:hAnsi="仿宋" w:eastAsia="仿宋"/>
          <w:b/>
          <w:bCs/>
          <w:sz w:val="44"/>
          <w:szCs w:val="44"/>
        </w:rPr>
      </w:pPr>
      <w:r>
        <w:rPr>
          <w:rFonts w:hint="eastAsia" w:ascii="仿宋" w:hAnsi="仿宋" w:eastAsia="仿宋"/>
          <w:b/>
          <w:bCs/>
          <w:sz w:val="44"/>
          <w:szCs w:val="44"/>
        </w:rPr>
        <w:t>岳阳市“十四五”充电基础设施建设发展规划</w:t>
      </w:r>
      <w:r>
        <w:rPr>
          <w:rFonts w:ascii="仿宋" w:hAnsi="仿宋" w:eastAsia="仿宋"/>
          <w:b/>
          <w:bCs/>
          <w:sz w:val="44"/>
          <w:szCs w:val="44"/>
        </w:rPr>
        <w:t>说明书</w:t>
      </w:r>
    </w:p>
    <w:p>
      <w:pPr>
        <w:widowControl/>
        <w:jc w:val="left"/>
        <w:rPr>
          <w:rFonts w:ascii="仿宋" w:hAnsi="仿宋" w:eastAsia="仿宋"/>
          <w:sz w:val="36"/>
        </w:rPr>
      </w:pPr>
      <w:r>
        <w:rPr>
          <w:rFonts w:ascii="仿宋" w:hAnsi="仿宋" w:eastAsia="仿宋"/>
          <w:sz w:val="36"/>
        </w:rPr>
        <w:br w:type="page"/>
      </w:r>
    </w:p>
    <w:p>
      <w:pPr>
        <w:tabs>
          <w:tab w:val="right" w:leader="dot" w:pos="8306"/>
        </w:tabs>
        <w:jc w:val="center"/>
        <w:rPr>
          <w:rFonts w:ascii="仿宋" w:hAnsi="仿宋" w:eastAsia="仿宋" w:cstheme="minorBidi"/>
          <w:sz w:val="36"/>
          <w:szCs w:val="36"/>
        </w:rPr>
      </w:pPr>
      <w:bookmarkStart w:id="47" w:name="_Toc6347"/>
      <w:bookmarkStart w:id="48" w:name="_Toc101299786"/>
      <w:bookmarkStart w:id="49" w:name="_Toc172"/>
      <w:r>
        <w:rPr>
          <w:rStyle w:val="31"/>
          <w:rFonts w:ascii="仿宋" w:hAnsi="仿宋" w:eastAsia="仿宋"/>
          <w:sz w:val="36"/>
          <w:szCs w:val="36"/>
        </w:rPr>
        <w:t>目  录</w:t>
      </w:r>
      <w:bookmarkEnd w:id="47"/>
      <w:bookmarkEnd w:id="48"/>
      <w:bookmarkEnd w:id="49"/>
      <w:r>
        <w:rPr>
          <w:rFonts w:ascii="仿宋" w:hAnsi="仿宋" w:eastAsia="仿宋"/>
          <w:sz w:val="36"/>
          <w:szCs w:val="36"/>
        </w:rPr>
        <w:fldChar w:fldCharType="begin"/>
      </w:r>
      <w:r>
        <w:rPr>
          <w:rFonts w:ascii="仿宋" w:hAnsi="仿宋" w:eastAsia="仿宋"/>
          <w:sz w:val="36"/>
          <w:szCs w:val="36"/>
        </w:rPr>
        <w:instrText xml:space="preserve"> TOC \o "1-2" \h \z \u </w:instrText>
      </w:r>
      <w:r>
        <w:rPr>
          <w:rFonts w:ascii="仿宋" w:hAnsi="仿宋" w:eastAsia="仿宋"/>
          <w:sz w:val="36"/>
          <w:szCs w:val="36"/>
        </w:rPr>
        <w:fldChar w:fldCharType="separate"/>
      </w:r>
    </w:p>
    <w:p>
      <w:pPr>
        <w:pStyle w:val="19"/>
        <w:tabs>
          <w:tab w:val="right" w:leader="dot" w:pos="8296"/>
        </w:tabs>
        <w:rPr>
          <w:rFonts w:ascii="仿宋" w:hAnsi="仿宋" w:eastAsia="仿宋" w:cstheme="minorBidi"/>
          <w:b w:val="0"/>
          <w:sz w:val="28"/>
          <w:szCs w:val="28"/>
        </w:rPr>
      </w:pP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"_Toc101299787" </w:instrText>
      </w:r>
      <w:r>
        <w:fldChar w:fldCharType="separate"/>
      </w:r>
      <w:r>
        <w:rPr>
          <w:rStyle w:val="29"/>
          <w:rFonts w:ascii="仿宋" w:hAnsi="仿宋" w:eastAsia="仿宋"/>
          <w:b w:val="0"/>
          <w:sz w:val="28"/>
          <w:szCs w:val="28"/>
        </w:rPr>
        <w:t>1</w:t>
      </w:r>
      <w:r>
        <w:rPr>
          <w:rFonts w:ascii="仿宋" w:hAnsi="仿宋" w:eastAsia="仿宋" w:cstheme="minorBidi"/>
          <w:b w:val="0"/>
          <w:sz w:val="28"/>
          <w:szCs w:val="28"/>
        </w:rPr>
        <w:tab/>
      </w:r>
      <w:r>
        <w:rPr>
          <w:rStyle w:val="29"/>
          <w:rFonts w:hint="eastAsia" w:ascii="仿宋" w:hAnsi="仿宋" w:eastAsia="仿宋"/>
          <w:b w:val="0"/>
          <w:sz w:val="28"/>
          <w:szCs w:val="28"/>
        </w:rPr>
        <w:t>前言</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_Toc101299787 \h </w:instrText>
      </w:r>
      <w:r>
        <w:rPr>
          <w:rFonts w:ascii="仿宋" w:hAnsi="仿宋" w:eastAsia="仿宋"/>
          <w:b w:val="0"/>
          <w:sz w:val="28"/>
          <w:szCs w:val="28"/>
        </w:rPr>
        <w:fldChar w:fldCharType="separate"/>
      </w:r>
      <w:r>
        <w:rPr>
          <w:rFonts w:ascii="仿宋" w:hAnsi="仿宋" w:eastAsia="仿宋"/>
          <w:b w:val="0"/>
          <w:sz w:val="28"/>
          <w:szCs w:val="28"/>
        </w:rPr>
        <w:t>1</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"_Toc101299788" </w:instrText>
      </w:r>
      <w:r>
        <w:fldChar w:fldCharType="separate"/>
      </w:r>
      <w:r>
        <w:rPr>
          <w:rStyle w:val="29"/>
          <w:rFonts w:ascii="仿宋" w:hAnsi="仿宋" w:eastAsia="仿宋"/>
          <w:sz w:val="28"/>
          <w:szCs w:val="28"/>
        </w:rPr>
        <w:t>1.1</w:t>
      </w:r>
      <w:r>
        <w:rPr>
          <w:rFonts w:ascii="仿宋" w:hAnsi="仿宋" w:eastAsia="仿宋" w:cstheme="minorBidi"/>
          <w:sz w:val="28"/>
          <w:szCs w:val="28"/>
        </w:rPr>
        <w:tab/>
      </w:r>
      <w:r>
        <w:rPr>
          <w:rStyle w:val="29"/>
          <w:rFonts w:hint="eastAsia" w:ascii="仿宋" w:hAnsi="仿宋" w:eastAsia="仿宋"/>
          <w:sz w:val="28"/>
          <w:szCs w:val="28"/>
        </w:rPr>
        <w:t>编制目的和意义</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_Toc101299788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"_Toc101299789" </w:instrText>
      </w:r>
      <w:r>
        <w:fldChar w:fldCharType="separate"/>
      </w:r>
      <w:r>
        <w:rPr>
          <w:rStyle w:val="29"/>
          <w:rFonts w:ascii="仿宋" w:hAnsi="仿宋" w:eastAsia="仿宋"/>
          <w:sz w:val="28"/>
          <w:szCs w:val="28"/>
        </w:rPr>
        <w:t>1.2</w:t>
      </w:r>
      <w:r>
        <w:rPr>
          <w:rFonts w:ascii="仿宋" w:hAnsi="仿宋" w:eastAsia="仿宋" w:cstheme="minorBidi"/>
          <w:sz w:val="28"/>
          <w:szCs w:val="28"/>
        </w:rPr>
        <w:tab/>
      </w:r>
      <w:r>
        <w:rPr>
          <w:rStyle w:val="29"/>
          <w:rFonts w:hint="eastAsia" w:ascii="仿宋" w:hAnsi="仿宋" w:eastAsia="仿宋"/>
          <w:sz w:val="28"/>
          <w:szCs w:val="28"/>
        </w:rPr>
        <w:t>指导思想</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_Toc101299789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"_Toc101299790" </w:instrText>
      </w:r>
      <w:r>
        <w:fldChar w:fldCharType="separate"/>
      </w:r>
      <w:r>
        <w:rPr>
          <w:rStyle w:val="29"/>
          <w:rFonts w:ascii="仿宋" w:hAnsi="仿宋" w:eastAsia="仿宋"/>
          <w:sz w:val="28"/>
          <w:szCs w:val="28"/>
        </w:rPr>
        <w:t>1.3</w:t>
      </w:r>
      <w:r>
        <w:rPr>
          <w:rFonts w:ascii="仿宋" w:hAnsi="仿宋" w:eastAsia="仿宋" w:cstheme="minorBidi"/>
          <w:sz w:val="28"/>
          <w:szCs w:val="28"/>
        </w:rPr>
        <w:tab/>
      </w:r>
      <w:r>
        <w:rPr>
          <w:rStyle w:val="29"/>
          <w:rFonts w:hint="eastAsia" w:ascii="仿宋" w:hAnsi="仿宋" w:eastAsia="仿宋"/>
          <w:sz w:val="28"/>
          <w:szCs w:val="28"/>
        </w:rPr>
        <w:t>规划范围及年限</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"_Toc101299791" </w:instrText>
      </w:r>
      <w:r>
        <w:fldChar w:fldCharType="separate"/>
      </w:r>
      <w:r>
        <w:rPr>
          <w:rStyle w:val="29"/>
          <w:rFonts w:ascii="仿宋" w:hAnsi="仿宋" w:eastAsia="仿宋"/>
          <w:sz w:val="28"/>
          <w:szCs w:val="28"/>
        </w:rPr>
        <w:t>1.4</w:t>
      </w:r>
      <w:r>
        <w:rPr>
          <w:rFonts w:ascii="仿宋" w:hAnsi="仿宋" w:eastAsia="仿宋" w:cstheme="minorBidi"/>
          <w:sz w:val="28"/>
          <w:szCs w:val="28"/>
        </w:rPr>
        <w:tab/>
      </w:r>
      <w:r>
        <w:rPr>
          <w:rStyle w:val="29"/>
          <w:rFonts w:hint="eastAsia" w:ascii="仿宋" w:hAnsi="仿宋" w:eastAsia="仿宋"/>
          <w:sz w:val="28"/>
          <w:szCs w:val="28"/>
        </w:rPr>
        <w:t>总体技术路线</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_Toc101299791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"_Toc101299792" </w:instrText>
      </w:r>
      <w:r>
        <w:fldChar w:fldCharType="separate"/>
      </w:r>
      <w:r>
        <w:rPr>
          <w:rStyle w:val="29"/>
          <w:rFonts w:ascii="仿宋" w:hAnsi="仿宋" w:eastAsia="仿宋"/>
          <w:sz w:val="28"/>
          <w:szCs w:val="28"/>
        </w:rPr>
        <w:t>1.5</w:t>
      </w:r>
      <w:r>
        <w:rPr>
          <w:rFonts w:ascii="仿宋" w:hAnsi="仿宋" w:eastAsia="仿宋" w:cstheme="minorBidi"/>
          <w:sz w:val="28"/>
          <w:szCs w:val="28"/>
        </w:rPr>
        <w:tab/>
      </w:r>
      <w:r>
        <w:rPr>
          <w:rStyle w:val="29"/>
          <w:rFonts w:hint="eastAsia" w:ascii="仿宋" w:hAnsi="仿宋" w:eastAsia="仿宋"/>
          <w:sz w:val="28"/>
          <w:szCs w:val="28"/>
        </w:rPr>
        <w:t>编制依据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_Toc101299792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"_Toc101299793" </w:instrText>
      </w:r>
      <w:r>
        <w:fldChar w:fldCharType="separate"/>
      </w:r>
      <w:r>
        <w:rPr>
          <w:rStyle w:val="29"/>
          <w:rFonts w:ascii="仿宋" w:hAnsi="仿宋" w:eastAsia="仿宋"/>
          <w:b w:val="0"/>
          <w:sz w:val="28"/>
          <w:szCs w:val="28"/>
        </w:rPr>
        <w:t>2</w:t>
      </w:r>
      <w:r>
        <w:rPr>
          <w:rFonts w:ascii="仿宋" w:hAnsi="仿宋" w:eastAsia="仿宋" w:cstheme="minorBidi"/>
          <w:b w:val="0"/>
          <w:sz w:val="28"/>
          <w:szCs w:val="28"/>
        </w:rPr>
        <w:tab/>
      </w:r>
      <w:r>
        <w:rPr>
          <w:rStyle w:val="29"/>
          <w:rFonts w:hint="eastAsia" w:ascii="仿宋" w:hAnsi="仿宋" w:eastAsia="仿宋"/>
          <w:b w:val="0"/>
          <w:sz w:val="28"/>
          <w:szCs w:val="28"/>
        </w:rPr>
        <w:t>社会经济发展概况</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_Toc101299793 \h </w:instrText>
      </w:r>
      <w:r>
        <w:rPr>
          <w:rFonts w:ascii="仿宋" w:hAnsi="仿宋" w:eastAsia="仿宋"/>
          <w:b w:val="0"/>
          <w:sz w:val="28"/>
          <w:szCs w:val="28"/>
        </w:rPr>
        <w:fldChar w:fldCharType="separate"/>
      </w:r>
      <w:r>
        <w:rPr>
          <w:rFonts w:ascii="仿宋" w:hAnsi="仿宋" w:eastAsia="仿宋"/>
          <w:b w:val="0"/>
          <w:sz w:val="28"/>
          <w:szCs w:val="28"/>
        </w:rPr>
        <w:t>6</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"_Toc101299794" </w:instrText>
      </w:r>
      <w:r>
        <w:fldChar w:fldCharType="separate"/>
      </w:r>
      <w:r>
        <w:rPr>
          <w:rStyle w:val="29"/>
          <w:rFonts w:ascii="仿宋" w:hAnsi="仿宋" w:eastAsia="仿宋"/>
          <w:sz w:val="28"/>
          <w:szCs w:val="28"/>
        </w:rPr>
        <w:t>2.1</w:t>
      </w:r>
      <w:r>
        <w:rPr>
          <w:rFonts w:ascii="仿宋" w:hAnsi="仿宋" w:eastAsia="仿宋" w:cstheme="minorBidi"/>
          <w:sz w:val="28"/>
          <w:szCs w:val="28"/>
        </w:rPr>
        <w:tab/>
      </w:r>
      <w:r>
        <w:rPr>
          <w:rStyle w:val="29"/>
          <w:rFonts w:hint="eastAsia" w:ascii="仿宋" w:hAnsi="仿宋" w:eastAsia="仿宋"/>
          <w:sz w:val="28"/>
          <w:szCs w:val="28"/>
        </w:rPr>
        <w:t>地区基本概况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_Toc101299794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"_Toc101299795" </w:instrText>
      </w:r>
      <w:r>
        <w:fldChar w:fldCharType="separate"/>
      </w:r>
      <w:r>
        <w:rPr>
          <w:rStyle w:val="29"/>
          <w:rFonts w:ascii="仿宋" w:hAnsi="仿宋" w:eastAsia="仿宋"/>
          <w:sz w:val="28"/>
          <w:szCs w:val="28"/>
        </w:rPr>
        <w:t>2.2</w:t>
      </w:r>
      <w:r>
        <w:rPr>
          <w:rFonts w:ascii="仿宋" w:hAnsi="仿宋" w:eastAsia="仿宋" w:cstheme="minorBidi"/>
          <w:sz w:val="28"/>
          <w:szCs w:val="28"/>
        </w:rPr>
        <w:tab/>
      </w:r>
      <w:r>
        <w:rPr>
          <w:rStyle w:val="29"/>
          <w:rFonts w:hint="eastAsia" w:ascii="仿宋" w:hAnsi="仿宋" w:eastAsia="仿宋"/>
          <w:sz w:val="28"/>
          <w:szCs w:val="28"/>
        </w:rPr>
        <w:t>经济发展概况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_Toc101299795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"_Toc101299796" </w:instrText>
      </w:r>
      <w:r>
        <w:fldChar w:fldCharType="separate"/>
      </w:r>
      <w:r>
        <w:rPr>
          <w:rStyle w:val="29"/>
          <w:rFonts w:ascii="仿宋" w:hAnsi="仿宋" w:eastAsia="仿宋"/>
          <w:sz w:val="28"/>
          <w:szCs w:val="28"/>
        </w:rPr>
        <w:t>2.3</w:t>
      </w:r>
      <w:r>
        <w:rPr>
          <w:rFonts w:ascii="仿宋" w:hAnsi="仿宋" w:eastAsia="仿宋" w:cstheme="minorBidi"/>
          <w:sz w:val="28"/>
          <w:szCs w:val="28"/>
        </w:rPr>
        <w:tab/>
      </w:r>
      <w:r>
        <w:rPr>
          <w:rStyle w:val="29"/>
          <w:rFonts w:hint="eastAsia" w:ascii="仿宋" w:hAnsi="仿宋" w:eastAsia="仿宋"/>
          <w:sz w:val="28"/>
          <w:szCs w:val="28"/>
        </w:rPr>
        <w:t>规划情况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_Toc101299796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"_Toc101299797" </w:instrText>
      </w:r>
      <w:r>
        <w:fldChar w:fldCharType="separate"/>
      </w:r>
      <w:r>
        <w:rPr>
          <w:rStyle w:val="29"/>
          <w:rFonts w:ascii="仿宋" w:hAnsi="仿宋" w:eastAsia="仿宋"/>
          <w:b w:val="0"/>
          <w:sz w:val="28"/>
          <w:szCs w:val="28"/>
        </w:rPr>
        <w:t>3</w:t>
      </w:r>
      <w:r>
        <w:rPr>
          <w:rFonts w:ascii="仿宋" w:hAnsi="仿宋" w:eastAsia="仿宋" w:cstheme="minorBidi"/>
          <w:b w:val="0"/>
          <w:sz w:val="28"/>
          <w:szCs w:val="28"/>
        </w:rPr>
        <w:tab/>
      </w:r>
      <w:r>
        <w:rPr>
          <w:rStyle w:val="29"/>
          <w:rFonts w:hint="eastAsia" w:ascii="仿宋" w:hAnsi="仿宋" w:eastAsia="仿宋"/>
          <w:b w:val="0"/>
          <w:sz w:val="28"/>
          <w:szCs w:val="28"/>
        </w:rPr>
        <w:t>电动汽车及充电设施现状分析</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_Toc101299797 \h </w:instrText>
      </w:r>
      <w:r>
        <w:rPr>
          <w:rFonts w:ascii="仿宋" w:hAnsi="仿宋" w:eastAsia="仿宋"/>
          <w:b w:val="0"/>
          <w:sz w:val="28"/>
          <w:szCs w:val="28"/>
        </w:rPr>
        <w:fldChar w:fldCharType="separate"/>
      </w:r>
      <w:r>
        <w:rPr>
          <w:rFonts w:ascii="仿宋" w:hAnsi="仿宋" w:eastAsia="仿宋"/>
          <w:b w:val="0"/>
          <w:sz w:val="28"/>
          <w:szCs w:val="28"/>
        </w:rPr>
        <w:t>17</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"_Toc101299798" </w:instrText>
      </w:r>
      <w:r>
        <w:fldChar w:fldCharType="separate"/>
      </w:r>
      <w:r>
        <w:rPr>
          <w:rStyle w:val="29"/>
          <w:rFonts w:ascii="仿宋" w:hAnsi="仿宋" w:eastAsia="仿宋"/>
          <w:sz w:val="28"/>
          <w:szCs w:val="28"/>
        </w:rPr>
        <w:t>3.1</w:t>
      </w:r>
      <w:r>
        <w:rPr>
          <w:rFonts w:ascii="仿宋" w:hAnsi="仿宋" w:eastAsia="仿宋" w:cstheme="minorBidi"/>
          <w:sz w:val="28"/>
          <w:szCs w:val="28"/>
        </w:rPr>
        <w:tab/>
      </w:r>
      <w:r>
        <w:rPr>
          <w:rStyle w:val="29"/>
          <w:rFonts w:hint="eastAsia" w:ascii="仿宋" w:hAnsi="仿宋" w:eastAsia="仿宋"/>
          <w:sz w:val="28"/>
          <w:szCs w:val="28"/>
        </w:rPr>
        <w:t>政策环境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_Toc101299798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"_Toc101299799" </w:instrText>
      </w:r>
      <w:r>
        <w:fldChar w:fldCharType="separate"/>
      </w:r>
      <w:r>
        <w:rPr>
          <w:rStyle w:val="29"/>
          <w:rFonts w:ascii="仿宋" w:hAnsi="仿宋" w:eastAsia="仿宋"/>
          <w:sz w:val="28"/>
          <w:szCs w:val="28"/>
        </w:rPr>
        <w:t>3.2</w:t>
      </w:r>
      <w:r>
        <w:rPr>
          <w:rFonts w:ascii="仿宋" w:hAnsi="仿宋" w:eastAsia="仿宋" w:cstheme="minorBidi"/>
          <w:sz w:val="28"/>
          <w:szCs w:val="28"/>
        </w:rPr>
        <w:tab/>
      </w:r>
      <w:r>
        <w:rPr>
          <w:rStyle w:val="29"/>
          <w:rFonts w:hint="eastAsia" w:ascii="仿宋" w:hAnsi="仿宋" w:eastAsia="仿宋"/>
          <w:sz w:val="28"/>
          <w:szCs w:val="28"/>
        </w:rPr>
        <w:t>汽车与电动汽车现状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_Toc101299799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"_Toc101299800" </w:instrText>
      </w:r>
      <w:r>
        <w:fldChar w:fldCharType="separate"/>
      </w:r>
      <w:r>
        <w:rPr>
          <w:rStyle w:val="29"/>
          <w:rFonts w:ascii="仿宋" w:hAnsi="仿宋" w:eastAsia="仿宋"/>
          <w:sz w:val="28"/>
          <w:szCs w:val="28"/>
        </w:rPr>
        <w:t>3.3</w:t>
      </w:r>
      <w:r>
        <w:rPr>
          <w:rFonts w:ascii="仿宋" w:hAnsi="仿宋" w:eastAsia="仿宋" w:cstheme="minorBidi"/>
          <w:sz w:val="28"/>
          <w:szCs w:val="28"/>
        </w:rPr>
        <w:tab/>
      </w:r>
      <w:r>
        <w:rPr>
          <w:rStyle w:val="29"/>
          <w:rFonts w:hint="eastAsia" w:ascii="仿宋" w:hAnsi="仿宋" w:eastAsia="仿宋"/>
          <w:sz w:val="28"/>
          <w:szCs w:val="28"/>
        </w:rPr>
        <w:t>充（换）电设施现状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_Toc101299800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"_Toc101299801" </w:instrText>
      </w:r>
      <w:r>
        <w:fldChar w:fldCharType="separate"/>
      </w:r>
      <w:r>
        <w:rPr>
          <w:rStyle w:val="29"/>
          <w:rFonts w:ascii="仿宋" w:hAnsi="仿宋" w:eastAsia="仿宋"/>
          <w:sz w:val="28"/>
          <w:szCs w:val="28"/>
        </w:rPr>
        <w:t>3.4</w:t>
      </w:r>
      <w:r>
        <w:rPr>
          <w:rFonts w:ascii="仿宋" w:hAnsi="仿宋" w:eastAsia="仿宋" w:cstheme="minorBidi"/>
          <w:sz w:val="28"/>
          <w:szCs w:val="28"/>
        </w:rPr>
        <w:tab/>
      </w:r>
      <w:r>
        <w:rPr>
          <w:rStyle w:val="29"/>
          <w:rFonts w:hint="eastAsia" w:ascii="仿宋" w:hAnsi="仿宋" w:eastAsia="仿宋"/>
          <w:sz w:val="28"/>
          <w:szCs w:val="28"/>
        </w:rPr>
        <w:t>充电设施运行分析</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_Toc101299801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"_Toc101299802" </w:instrText>
      </w:r>
      <w:r>
        <w:fldChar w:fldCharType="separate"/>
      </w:r>
      <w:r>
        <w:rPr>
          <w:rStyle w:val="29"/>
          <w:rFonts w:ascii="仿宋" w:hAnsi="仿宋" w:eastAsia="仿宋"/>
          <w:sz w:val="28"/>
          <w:szCs w:val="28"/>
        </w:rPr>
        <w:t>3.5</w:t>
      </w:r>
      <w:r>
        <w:rPr>
          <w:rFonts w:ascii="仿宋" w:hAnsi="仿宋" w:eastAsia="仿宋" w:cstheme="minorBidi"/>
          <w:sz w:val="28"/>
          <w:szCs w:val="28"/>
        </w:rPr>
        <w:tab/>
      </w:r>
      <w:r>
        <w:rPr>
          <w:rStyle w:val="29"/>
          <w:rFonts w:hint="eastAsia" w:ascii="仿宋" w:hAnsi="仿宋" w:eastAsia="仿宋"/>
          <w:sz w:val="28"/>
          <w:szCs w:val="28"/>
        </w:rPr>
        <w:t>问题与挑战</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_Toc101299802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"_Toc101299803" </w:instrText>
      </w:r>
      <w:r>
        <w:fldChar w:fldCharType="separate"/>
      </w:r>
      <w:r>
        <w:rPr>
          <w:rStyle w:val="29"/>
          <w:rFonts w:ascii="仿宋" w:hAnsi="仿宋" w:eastAsia="仿宋"/>
          <w:sz w:val="28"/>
          <w:szCs w:val="28"/>
        </w:rPr>
        <w:t>3.6</w:t>
      </w:r>
      <w:r>
        <w:rPr>
          <w:rFonts w:ascii="仿宋" w:hAnsi="仿宋" w:eastAsia="仿宋" w:cstheme="minorBidi"/>
          <w:sz w:val="28"/>
          <w:szCs w:val="28"/>
        </w:rPr>
        <w:tab/>
      </w:r>
      <w:r>
        <w:rPr>
          <w:rStyle w:val="29"/>
          <w:rFonts w:hint="eastAsia" w:ascii="仿宋" w:hAnsi="仿宋" w:eastAsia="仿宋"/>
          <w:sz w:val="28"/>
          <w:szCs w:val="28"/>
        </w:rPr>
        <w:t>影响充电设施发展的主要因素</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_Toc101299803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"_Toc101299804" </w:instrText>
      </w:r>
      <w:r>
        <w:fldChar w:fldCharType="separate"/>
      </w:r>
      <w:r>
        <w:rPr>
          <w:rStyle w:val="29"/>
          <w:rFonts w:ascii="仿宋" w:hAnsi="仿宋" w:eastAsia="仿宋"/>
          <w:b w:val="0"/>
          <w:sz w:val="28"/>
          <w:szCs w:val="28"/>
        </w:rPr>
        <w:t>4</w:t>
      </w:r>
      <w:r>
        <w:rPr>
          <w:rFonts w:ascii="仿宋" w:hAnsi="仿宋" w:eastAsia="仿宋" w:cstheme="minorBidi"/>
          <w:b w:val="0"/>
          <w:sz w:val="28"/>
          <w:szCs w:val="28"/>
        </w:rPr>
        <w:tab/>
      </w:r>
      <w:r>
        <w:rPr>
          <w:rStyle w:val="29"/>
          <w:rFonts w:hint="eastAsia" w:ascii="仿宋" w:hAnsi="仿宋" w:eastAsia="仿宋"/>
          <w:b w:val="0"/>
          <w:sz w:val="28"/>
          <w:szCs w:val="28"/>
        </w:rPr>
        <w:t>电动汽车保有量预测</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_Toc101299804 \h </w:instrText>
      </w:r>
      <w:r>
        <w:rPr>
          <w:rFonts w:ascii="仿宋" w:hAnsi="仿宋" w:eastAsia="仿宋"/>
          <w:b w:val="0"/>
          <w:sz w:val="28"/>
          <w:szCs w:val="28"/>
        </w:rPr>
        <w:fldChar w:fldCharType="separate"/>
      </w:r>
      <w:r>
        <w:rPr>
          <w:rFonts w:ascii="仿宋" w:hAnsi="仿宋" w:eastAsia="仿宋"/>
          <w:b w:val="0"/>
          <w:sz w:val="28"/>
          <w:szCs w:val="28"/>
        </w:rPr>
        <w:t>26</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"_Toc101299805" </w:instrText>
      </w:r>
      <w:r>
        <w:fldChar w:fldCharType="separate"/>
      </w:r>
      <w:r>
        <w:rPr>
          <w:rStyle w:val="29"/>
          <w:rFonts w:ascii="仿宋" w:hAnsi="仿宋" w:eastAsia="仿宋"/>
          <w:sz w:val="28"/>
          <w:szCs w:val="28"/>
        </w:rPr>
        <w:t>4.1</w:t>
      </w:r>
      <w:r>
        <w:rPr>
          <w:rFonts w:ascii="仿宋" w:hAnsi="仿宋" w:eastAsia="仿宋" w:cstheme="minorBidi"/>
          <w:sz w:val="28"/>
          <w:szCs w:val="28"/>
        </w:rPr>
        <w:tab/>
      </w:r>
      <w:r>
        <w:rPr>
          <w:rStyle w:val="29"/>
          <w:rFonts w:hint="eastAsia" w:ascii="仿宋" w:hAnsi="仿宋" w:eastAsia="仿宋"/>
          <w:sz w:val="28"/>
          <w:szCs w:val="28"/>
        </w:rPr>
        <w:t>总体预测思路</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_Toc101299805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"_Toc101299806" </w:instrText>
      </w:r>
      <w:r>
        <w:fldChar w:fldCharType="separate"/>
      </w:r>
      <w:r>
        <w:rPr>
          <w:rStyle w:val="29"/>
          <w:rFonts w:ascii="仿宋" w:hAnsi="仿宋" w:eastAsia="仿宋"/>
          <w:sz w:val="28"/>
          <w:szCs w:val="28"/>
        </w:rPr>
        <w:t>4.2</w:t>
      </w:r>
      <w:r>
        <w:rPr>
          <w:rFonts w:ascii="仿宋" w:hAnsi="仿宋" w:eastAsia="仿宋" w:cstheme="minorBidi"/>
          <w:sz w:val="28"/>
          <w:szCs w:val="28"/>
        </w:rPr>
        <w:tab/>
      </w:r>
      <w:r>
        <w:rPr>
          <w:rStyle w:val="29"/>
          <w:rFonts w:hint="eastAsia" w:ascii="仿宋" w:hAnsi="仿宋" w:eastAsia="仿宋"/>
          <w:sz w:val="28"/>
          <w:szCs w:val="28"/>
        </w:rPr>
        <w:t>电动汽车保有量预测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_Toc101299806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"_Toc101299807" </w:instrText>
      </w:r>
      <w:r>
        <w:fldChar w:fldCharType="separate"/>
      </w:r>
      <w:r>
        <w:rPr>
          <w:rStyle w:val="29"/>
          <w:rFonts w:ascii="仿宋" w:hAnsi="仿宋" w:eastAsia="仿宋"/>
          <w:b w:val="0"/>
          <w:sz w:val="28"/>
          <w:szCs w:val="28"/>
        </w:rPr>
        <w:t>5</w:t>
      </w:r>
      <w:r>
        <w:rPr>
          <w:rFonts w:ascii="仿宋" w:hAnsi="仿宋" w:eastAsia="仿宋" w:cstheme="minorBidi"/>
          <w:b w:val="0"/>
          <w:sz w:val="28"/>
          <w:szCs w:val="28"/>
        </w:rPr>
        <w:tab/>
      </w:r>
      <w:r>
        <w:rPr>
          <w:rStyle w:val="29"/>
          <w:rFonts w:hint="eastAsia" w:ascii="仿宋" w:hAnsi="仿宋" w:eastAsia="仿宋"/>
          <w:b w:val="0"/>
          <w:sz w:val="28"/>
          <w:szCs w:val="28"/>
        </w:rPr>
        <w:t>电动汽车充换电设施需求分析</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_Toc101299807 \h </w:instrText>
      </w:r>
      <w:r>
        <w:rPr>
          <w:rFonts w:ascii="仿宋" w:hAnsi="仿宋" w:eastAsia="仿宋"/>
          <w:b w:val="0"/>
          <w:sz w:val="28"/>
          <w:szCs w:val="28"/>
        </w:rPr>
        <w:fldChar w:fldCharType="separate"/>
      </w:r>
      <w:r>
        <w:rPr>
          <w:rFonts w:ascii="仿宋" w:hAnsi="仿宋" w:eastAsia="仿宋"/>
          <w:b w:val="0"/>
          <w:sz w:val="28"/>
          <w:szCs w:val="28"/>
        </w:rPr>
        <w:t>33</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"_Toc101299808" </w:instrText>
      </w:r>
      <w:r>
        <w:fldChar w:fldCharType="separate"/>
      </w:r>
      <w:r>
        <w:rPr>
          <w:rStyle w:val="29"/>
          <w:rFonts w:ascii="仿宋" w:hAnsi="仿宋" w:eastAsia="仿宋"/>
          <w:sz w:val="28"/>
          <w:szCs w:val="28"/>
        </w:rPr>
        <w:t>5.1</w:t>
      </w:r>
      <w:r>
        <w:rPr>
          <w:rFonts w:ascii="仿宋" w:hAnsi="仿宋" w:eastAsia="仿宋" w:cstheme="minorBidi"/>
          <w:sz w:val="28"/>
          <w:szCs w:val="28"/>
        </w:rPr>
        <w:tab/>
      </w:r>
      <w:r>
        <w:rPr>
          <w:rStyle w:val="29"/>
          <w:rFonts w:hint="eastAsia" w:ascii="仿宋" w:hAnsi="仿宋" w:eastAsia="仿宋"/>
          <w:sz w:val="28"/>
          <w:szCs w:val="28"/>
        </w:rPr>
        <w:t>电动汽车及充电设施特性分析</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_Toc101299808 \h </w:instrText>
      </w:r>
      <w:r>
        <w:rPr>
          <w:rFonts w:ascii="仿宋" w:hAnsi="仿宋" w:eastAsia="仿宋"/>
          <w:sz w:val="28"/>
          <w:szCs w:val="28"/>
        </w:rPr>
        <w:fldChar w:fldCharType="separate"/>
      </w:r>
      <w:r>
        <w:rPr>
          <w:rFonts w:ascii="仿宋" w:hAnsi="仿宋" w:eastAsia="仿宋"/>
          <w:sz w:val="28"/>
          <w:szCs w:val="28"/>
        </w:rPr>
        <w:t>33</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"_Toc101299809" </w:instrText>
      </w:r>
      <w:r>
        <w:fldChar w:fldCharType="separate"/>
      </w:r>
      <w:r>
        <w:rPr>
          <w:rStyle w:val="29"/>
          <w:rFonts w:ascii="仿宋" w:hAnsi="仿宋" w:eastAsia="仿宋"/>
          <w:sz w:val="28"/>
          <w:szCs w:val="28"/>
        </w:rPr>
        <w:t>5.2</w:t>
      </w:r>
      <w:r>
        <w:rPr>
          <w:rFonts w:ascii="仿宋" w:hAnsi="仿宋" w:eastAsia="仿宋" w:cstheme="minorBidi"/>
          <w:sz w:val="28"/>
          <w:szCs w:val="28"/>
        </w:rPr>
        <w:tab/>
      </w:r>
      <w:r>
        <w:rPr>
          <w:rStyle w:val="29"/>
          <w:rFonts w:hint="eastAsia" w:ascii="仿宋" w:hAnsi="仿宋" w:eastAsia="仿宋"/>
          <w:sz w:val="28"/>
          <w:szCs w:val="28"/>
        </w:rPr>
        <w:t>充电设施配置原则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_Toc101299809 \h </w:instrText>
      </w:r>
      <w:r>
        <w:rPr>
          <w:rFonts w:ascii="仿宋" w:hAnsi="仿宋" w:eastAsia="仿宋"/>
          <w:sz w:val="28"/>
          <w:szCs w:val="28"/>
        </w:rPr>
        <w:fldChar w:fldCharType="separate"/>
      </w:r>
      <w:r>
        <w:rPr>
          <w:rFonts w:ascii="仿宋" w:hAnsi="仿宋" w:eastAsia="仿宋"/>
          <w:sz w:val="28"/>
          <w:szCs w:val="28"/>
        </w:rPr>
        <w:t>36</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"_Toc101299810" </w:instrText>
      </w:r>
      <w:r>
        <w:fldChar w:fldCharType="separate"/>
      </w:r>
      <w:r>
        <w:rPr>
          <w:rStyle w:val="29"/>
          <w:rFonts w:ascii="仿宋" w:hAnsi="仿宋" w:eastAsia="仿宋"/>
          <w:sz w:val="28"/>
          <w:szCs w:val="28"/>
        </w:rPr>
        <w:t>5.3</w:t>
      </w:r>
      <w:r>
        <w:rPr>
          <w:rFonts w:ascii="仿宋" w:hAnsi="仿宋" w:eastAsia="仿宋" w:cstheme="minorBidi"/>
          <w:sz w:val="28"/>
          <w:szCs w:val="28"/>
        </w:rPr>
        <w:tab/>
      </w:r>
      <w:r>
        <w:rPr>
          <w:rStyle w:val="29"/>
          <w:rFonts w:hint="eastAsia" w:ascii="仿宋" w:hAnsi="仿宋" w:eastAsia="仿宋"/>
          <w:sz w:val="28"/>
          <w:szCs w:val="28"/>
        </w:rPr>
        <w:t>充电设施需求预测结果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_Toc101299810 \h </w:instrText>
      </w:r>
      <w:r>
        <w:rPr>
          <w:rFonts w:ascii="仿宋" w:hAnsi="仿宋" w:eastAsia="仿宋"/>
          <w:sz w:val="28"/>
          <w:szCs w:val="28"/>
        </w:rPr>
        <w:fldChar w:fldCharType="separate"/>
      </w:r>
      <w:r>
        <w:rPr>
          <w:rFonts w:ascii="仿宋" w:hAnsi="仿宋" w:eastAsia="仿宋"/>
          <w:sz w:val="28"/>
          <w:szCs w:val="28"/>
        </w:rPr>
        <w:t>39</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"_Toc101299811" </w:instrText>
      </w:r>
      <w:r>
        <w:fldChar w:fldCharType="separate"/>
      </w:r>
      <w:r>
        <w:rPr>
          <w:rStyle w:val="29"/>
          <w:rFonts w:ascii="仿宋" w:hAnsi="仿宋" w:eastAsia="仿宋"/>
          <w:b w:val="0"/>
          <w:sz w:val="28"/>
          <w:szCs w:val="28"/>
        </w:rPr>
        <w:t>6</w:t>
      </w:r>
      <w:r>
        <w:rPr>
          <w:rFonts w:ascii="仿宋" w:hAnsi="仿宋" w:eastAsia="仿宋" w:cstheme="minorBidi"/>
          <w:b w:val="0"/>
          <w:sz w:val="28"/>
          <w:szCs w:val="28"/>
        </w:rPr>
        <w:tab/>
      </w:r>
      <w:r>
        <w:rPr>
          <w:rStyle w:val="29"/>
          <w:rFonts w:hint="eastAsia" w:ascii="仿宋" w:hAnsi="仿宋" w:eastAsia="仿宋"/>
          <w:b w:val="0"/>
          <w:sz w:val="28"/>
          <w:szCs w:val="28"/>
        </w:rPr>
        <w:t>建设目标及规划原则</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_Toc101299811 \h </w:instrText>
      </w:r>
      <w:r>
        <w:rPr>
          <w:rFonts w:ascii="仿宋" w:hAnsi="仿宋" w:eastAsia="仿宋"/>
          <w:b w:val="0"/>
          <w:sz w:val="28"/>
          <w:szCs w:val="28"/>
        </w:rPr>
        <w:fldChar w:fldCharType="separate"/>
      </w:r>
      <w:r>
        <w:rPr>
          <w:rFonts w:ascii="仿宋" w:hAnsi="仿宋" w:eastAsia="仿宋"/>
          <w:b w:val="0"/>
          <w:sz w:val="28"/>
          <w:szCs w:val="28"/>
        </w:rPr>
        <w:t>40</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"_Toc101299812" </w:instrText>
      </w:r>
      <w:r>
        <w:fldChar w:fldCharType="separate"/>
      </w:r>
      <w:r>
        <w:rPr>
          <w:rStyle w:val="29"/>
          <w:rFonts w:ascii="仿宋" w:hAnsi="仿宋" w:eastAsia="仿宋"/>
          <w:sz w:val="28"/>
          <w:szCs w:val="28"/>
        </w:rPr>
        <w:t>6.1</w:t>
      </w:r>
      <w:r>
        <w:rPr>
          <w:rFonts w:ascii="仿宋" w:hAnsi="仿宋" w:eastAsia="仿宋" w:cstheme="minorBidi"/>
          <w:sz w:val="28"/>
          <w:szCs w:val="28"/>
        </w:rPr>
        <w:tab/>
      </w:r>
      <w:r>
        <w:rPr>
          <w:rStyle w:val="29"/>
          <w:rFonts w:hint="eastAsia" w:ascii="仿宋" w:hAnsi="仿宋" w:eastAsia="仿宋"/>
          <w:sz w:val="28"/>
          <w:szCs w:val="28"/>
        </w:rPr>
        <w:t>建设目标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_Toc101299812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"_Toc101299813" </w:instrText>
      </w:r>
      <w:r>
        <w:fldChar w:fldCharType="separate"/>
      </w:r>
      <w:r>
        <w:rPr>
          <w:rStyle w:val="29"/>
          <w:rFonts w:ascii="仿宋" w:hAnsi="仿宋" w:eastAsia="仿宋"/>
          <w:sz w:val="28"/>
          <w:szCs w:val="28"/>
        </w:rPr>
        <w:t>6.2</w:t>
      </w:r>
      <w:r>
        <w:rPr>
          <w:rFonts w:ascii="仿宋" w:hAnsi="仿宋" w:eastAsia="仿宋" w:cstheme="minorBidi"/>
          <w:sz w:val="28"/>
          <w:szCs w:val="28"/>
        </w:rPr>
        <w:tab/>
      </w:r>
      <w:r>
        <w:rPr>
          <w:rStyle w:val="29"/>
          <w:rFonts w:hint="eastAsia" w:ascii="仿宋" w:hAnsi="仿宋" w:eastAsia="仿宋"/>
          <w:sz w:val="28"/>
          <w:szCs w:val="28"/>
        </w:rPr>
        <w:t>规划原则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_Toc101299813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"_Toc101299814" </w:instrText>
      </w:r>
      <w:r>
        <w:fldChar w:fldCharType="separate"/>
      </w:r>
      <w:r>
        <w:rPr>
          <w:rStyle w:val="29"/>
          <w:rFonts w:ascii="仿宋" w:hAnsi="仿宋" w:eastAsia="仿宋"/>
          <w:b w:val="0"/>
          <w:sz w:val="28"/>
          <w:szCs w:val="28"/>
        </w:rPr>
        <w:t>7</w:t>
      </w:r>
      <w:r>
        <w:rPr>
          <w:rFonts w:ascii="仿宋" w:hAnsi="仿宋" w:eastAsia="仿宋" w:cstheme="minorBidi"/>
          <w:b w:val="0"/>
          <w:sz w:val="28"/>
          <w:szCs w:val="28"/>
        </w:rPr>
        <w:tab/>
      </w:r>
      <w:r>
        <w:rPr>
          <w:rStyle w:val="29"/>
          <w:rFonts w:hint="eastAsia" w:ascii="仿宋" w:hAnsi="仿宋" w:eastAsia="仿宋"/>
          <w:b w:val="0"/>
          <w:sz w:val="28"/>
          <w:szCs w:val="28"/>
        </w:rPr>
        <w:t>充电设施布局方案</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_Toc101299814 \h </w:instrText>
      </w:r>
      <w:r>
        <w:rPr>
          <w:rFonts w:ascii="仿宋" w:hAnsi="仿宋" w:eastAsia="仿宋"/>
          <w:b w:val="0"/>
          <w:sz w:val="28"/>
          <w:szCs w:val="28"/>
        </w:rPr>
        <w:fldChar w:fldCharType="separate"/>
      </w:r>
      <w:r>
        <w:rPr>
          <w:rFonts w:ascii="仿宋" w:hAnsi="仿宋" w:eastAsia="仿宋"/>
          <w:b w:val="0"/>
          <w:sz w:val="28"/>
          <w:szCs w:val="28"/>
        </w:rPr>
        <w:t>42</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"_Toc101299815" </w:instrText>
      </w:r>
      <w:r>
        <w:fldChar w:fldCharType="separate"/>
      </w:r>
      <w:r>
        <w:rPr>
          <w:rStyle w:val="29"/>
          <w:rFonts w:ascii="仿宋" w:hAnsi="仿宋" w:eastAsia="仿宋"/>
          <w:sz w:val="28"/>
          <w:szCs w:val="28"/>
        </w:rPr>
        <w:t>7.1</w:t>
      </w:r>
      <w:r>
        <w:rPr>
          <w:rFonts w:ascii="仿宋" w:hAnsi="仿宋" w:eastAsia="仿宋" w:cstheme="minorBidi"/>
          <w:sz w:val="28"/>
          <w:szCs w:val="28"/>
        </w:rPr>
        <w:tab/>
      </w:r>
      <w:r>
        <w:rPr>
          <w:rStyle w:val="29"/>
          <w:rFonts w:hint="eastAsia" w:ascii="仿宋" w:hAnsi="仿宋" w:eastAsia="仿宋"/>
          <w:sz w:val="28"/>
          <w:szCs w:val="28"/>
        </w:rPr>
        <w:t>充电设施布局及接入原则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_Toc101299815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"_Toc101299816" </w:instrText>
      </w:r>
      <w:r>
        <w:fldChar w:fldCharType="separate"/>
      </w:r>
      <w:r>
        <w:rPr>
          <w:rStyle w:val="29"/>
          <w:rFonts w:ascii="仿宋" w:hAnsi="仿宋" w:eastAsia="仿宋"/>
          <w:sz w:val="28"/>
          <w:szCs w:val="28"/>
        </w:rPr>
        <w:t>7.2</w:t>
      </w:r>
      <w:r>
        <w:rPr>
          <w:rFonts w:ascii="仿宋" w:hAnsi="仿宋" w:eastAsia="仿宋" w:cstheme="minorBidi"/>
          <w:sz w:val="28"/>
          <w:szCs w:val="28"/>
        </w:rPr>
        <w:tab/>
      </w:r>
      <w:r>
        <w:rPr>
          <w:rStyle w:val="29"/>
          <w:rFonts w:hint="eastAsia" w:ascii="仿宋" w:hAnsi="仿宋" w:eastAsia="仿宋"/>
          <w:sz w:val="28"/>
          <w:szCs w:val="28"/>
        </w:rPr>
        <w:t>充电站选址原则及设计要求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_Toc101299816 \h </w:instrText>
      </w:r>
      <w:r>
        <w:rPr>
          <w:rFonts w:ascii="仿宋" w:hAnsi="仿宋" w:eastAsia="仿宋"/>
          <w:sz w:val="28"/>
          <w:szCs w:val="28"/>
        </w:rPr>
        <w:fldChar w:fldCharType="separate"/>
      </w:r>
      <w:r>
        <w:rPr>
          <w:rFonts w:ascii="仿宋" w:hAnsi="仿宋" w:eastAsia="仿宋"/>
          <w:sz w:val="28"/>
          <w:szCs w:val="28"/>
        </w:rPr>
        <w:t>46</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"_Toc101299817" </w:instrText>
      </w:r>
      <w:r>
        <w:fldChar w:fldCharType="separate"/>
      </w:r>
      <w:r>
        <w:rPr>
          <w:rStyle w:val="29"/>
          <w:rFonts w:ascii="仿宋" w:hAnsi="仿宋" w:eastAsia="仿宋"/>
          <w:sz w:val="28"/>
          <w:szCs w:val="28"/>
        </w:rPr>
        <w:t>7.3</w:t>
      </w:r>
      <w:r>
        <w:rPr>
          <w:rFonts w:ascii="仿宋" w:hAnsi="仿宋" w:eastAsia="仿宋" w:cstheme="minorBidi"/>
          <w:sz w:val="28"/>
          <w:szCs w:val="28"/>
        </w:rPr>
        <w:tab/>
      </w:r>
      <w:r>
        <w:rPr>
          <w:rStyle w:val="29"/>
          <w:rFonts w:hint="eastAsia" w:ascii="仿宋" w:hAnsi="仿宋" w:eastAsia="仿宋"/>
          <w:sz w:val="28"/>
          <w:szCs w:val="28"/>
        </w:rPr>
        <w:t>充电基础设施布局方案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_Toc101299817 \h </w:instrText>
      </w:r>
      <w:r>
        <w:rPr>
          <w:rFonts w:ascii="仿宋" w:hAnsi="仿宋" w:eastAsia="仿宋"/>
          <w:sz w:val="28"/>
          <w:szCs w:val="28"/>
        </w:rPr>
        <w:fldChar w:fldCharType="separate"/>
      </w:r>
      <w:r>
        <w:rPr>
          <w:rFonts w:ascii="仿宋" w:hAnsi="仿宋" w:eastAsia="仿宋"/>
          <w:sz w:val="28"/>
          <w:szCs w:val="28"/>
        </w:rPr>
        <w:t>49</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"_Toc101299818" </w:instrText>
      </w:r>
      <w:r>
        <w:fldChar w:fldCharType="separate"/>
      </w:r>
      <w:r>
        <w:rPr>
          <w:rStyle w:val="29"/>
          <w:rFonts w:ascii="仿宋" w:hAnsi="仿宋" w:eastAsia="仿宋"/>
          <w:b w:val="0"/>
          <w:sz w:val="28"/>
          <w:szCs w:val="28"/>
        </w:rPr>
        <w:t>8</w:t>
      </w:r>
      <w:r>
        <w:rPr>
          <w:rFonts w:ascii="仿宋" w:hAnsi="仿宋" w:eastAsia="仿宋" w:cstheme="minorBidi"/>
          <w:b w:val="0"/>
          <w:sz w:val="28"/>
          <w:szCs w:val="28"/>
        </w:rPr>
        <w:tab/>
      </w:r>
      <w:r>
        <w:rPr>
          <w:rStyle w:val="29"/>
          <w:rFonts w:hint="eastAsia" w:ascii="仿宋" w:hAnsi="仿宋" w:eastAsia="仿宋"/>
          <w:b w:val="0"/>
          <w:sz w:val="28"/>
          <w:szCs w:val="28"/>
        </w:rPr>
        <w:t>投资及成效评估</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_Toc101299818 \h </w:instrText>
      </w:r>
      <w:r>
        <w:rPr>
          <w:rFonts w:ascii="仿宋" w:hAnsi="仿宋" w:eastAsia="仿宋"/>
          <w:b w:val="0"/>
          <w:sz w:val="28"/>
          <w:szCs w:val="28"/>
        </w:rPr>
        <w:fldChar w:fldCharType="separate"/>
      </w:r>
      <w:r>
        <w:rPr>
          <w:rFonts w:ascii="仿宋" w:hAnsi="仿宋" w:eastAsia="仿宋"/>
          <w:b w:val="0"/>
          <w:sz w:val="28"/>
          <w:szCs w:val="28"/>
        </w:rPr>
        <w:t>53</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"_Toc101299819" </w:instrText>
      </w:r>
      <w:r>
        <w:fldChar w:fldCharType="separate"/>
      </w:r>
      <w:r>
        <w:rPr>
          <w:rStyle w:val="29"/>
          <w:rFonts w:ascii="仿宋" w:hAnsi="仿宋" w:eastAsia="仿宋"/>
          <w:sz w:val="28"/>
          <w:szCs w:val="28"/>
        </w:rPr>
        <w:t>8.1</w:t>
      </w:r>
      <w:r>
        <w:rPr>
          <w:rFonts w:ascii="仿宋" w:hAnsi="仿宋" w:eastAsia="仿宋" w:cstheme="minorBidi"/>
          <w:sz w:val="28"/>
          <w:szCs w:val="28"/>
        </w:rPr>
        <w:tab/>
      </w:r>
      <w:r>
        <w:rPr>
          <w:rStyle w:val="29"/>
          <w:rFonts w:hint="eastAsia" w:ascii="仿宋" w:hAnsi="仿宋" w:eastAsia="仿宋"/>
          <w:sz w:val="28"/>
          <w:szCs w:val="28"/>
        </w:rPr>
        <w:t>投资估算</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_Toc101299819 \h </w:instrText>
      </w:r>
      <w:r>
        <w:rPr>
          <w:rFonts w:ascii="仿宋" w:hAnsi="仿宋" w:eastAsia="仿宋"/>
          <w:sz w:val="28"/>
          <w:szCs w:val="28"/>
        </w:rPr>
        <w:fldChar w:fldCharType="separate"/>
      </w:r>
      <w:r>
        <w:rPr>
          <w:rFonts w:ascii="仿宋" w:hAnsi="仿宋" w:eastAsia="仿宋"/>
          <w:sz w:val="28"/>
          <w:szCs w:val="28"/>
        </w:rPr>
        <w:t>53</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"_Toc101299820" </w:instrText>
      </w:r>
      <w:r>
        <w:fldChar w:fldCharType="separate"/>
      </w:r>
      <w:r>
        <w:rPr>
          <w:rStyle w:val="29"/>
          <w:rFonts w:ascii="仿宋" w:hAnsi="仿宋" w:eastAsia="仿宋"/>
          <w:sz w:val="28"/>
          <w:szCs w:val="28"/>
        </w:rPr>
        <w:t>8.2</w:t>
      </w:r>
      <w:r>
        <w:rPr>
          <w:rFonts w:ascii="仿宋" w:hAnsi="仿宋" w:eastAsia="仿宋" w:cstheme="minorBidi"/>
          <w:sz w:val="28"/>
          <w:szCs w:val="28"/>
        </w:rPr>
        <w:tab/>
      </w:r>
      <w:r>
        <w:rPr>
          <w:rStyle w:val="29"/>
          <w:rFonts w:hint="eastAsia" w:ascii="仿宋" w:hAnsi="仿宋" w:eastAsia="仿宋"/>
          <w:sz w:val="28"/>
          <w:szCs w:val="28"/>
        </w:rPr>
        <w:t>规划成效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_Toc101299820 \h </w:instrText>
      </w:r>
      <w:r>
        <w:rPr>
          <w:rFonts w:ascii="仿宋" w:hAnsi="仿宋" w:eastAsia="仿宋"/>
          <w:sz w:val="28"/>
          <w:szCs w:val="28"/>
        </w:rPr>
        <w:fldChar w:fldCharType="separate"/>
      </w:r>
      <w:r>
        <w:rPr>
          <w:rFonts w:ascii="仿宋" w:hAnsi="仿宋" w:eastAsia="仿宋"/>
          <w:sz w:val="28"/>
          <w:szCs w:val="28"/>
        </w:rPr>
        <w:t>53</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"_Toc101299821" </w:instrText>
      </w:r>
      <w:r>
        <w:fldChar w:fldCharType="separate"/>
      </w:r>
      <w:r>
        <w:rPr>
          <w:rStyle w:val="29"/>
          <w:rFonts w:ascii="仿宋" w:hAnsi="仿宋" w:eastAsia="仿宋"/>
          <w:sz w:val="28"/>
          <w:szCs w:val="28"/>
        </w:rPr>
        <w:t>8.3</w:t>
      </w:r>
      <w:r>
        <w:rPr>
          <w:rFonts w:ascii="仿宋" w:hAnsi="仿宋" w:eastAsia="仿宋" w:cstheme="minorBidi"/>
          <w:sz w:val="28"/>
          <w:szCs w:val="28"/>
        </w:rPr>
        <w:tab/>
      </w:r>
      <w:r>
        <w:rPr>
          <w:rStyle w:val="29"/>
          <w:rFonts w:hint="eastAsia" w:ascii="仿宋" w:hAnsi="仿宋" w:eastAsia="仿宋"/>
          <w:sz w:val="28"/>
          <w:szCs w:val="28"/>
        </w:rPr>
        <w:t>效益分析</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_Toc101299821 \h </w:instrText>
      </w:r>
      <w:r>
        <w:rPr>
          <w:rFonts w:ascii="仿宋" w:hAnsi="仿宋" w:eastAsia="仿宋"/>
          <w:sz w:val="28"/>
          <w:szCs w:val="28"/>
        </w:rPr>
        <w:fldChar w:fldCharType="separate"/>
      </w:r>
      <w:r>
        <w:rPr>
          <w:rFonts w:ascii="仿宋" w:hAnsi="仿宋" w:eastAsia="仿宋"/>
          <w:sz w:val="28"/>
          <w:szCs w:val="28"/>
        </w:rPr>
        <w:t>53</w:t>
      </w:r>
      <w:r>
        <w:rPr>
          <w:rFonts w:ascii="仿宋" w:hAnsi="仿宋" w:eastAsia="仿宋"/>
          <w:sz w:val="28"/>
          <w:szCs w:val="28"/>
        </w:rPr>
        <w:fldChar w:fldCharType="end"/>
      </w:r>
      <w:r>
        <w:rPr>
          <w:rFonts w:ascii="仿宋" w:hAnsi="仿宋" w:eastAsia="仿宋"/>
          <w:sz w:val="28"/>
          <w:szCs w:val="28"/>
        </w:rPr>
        <w:fldChar w:fldCharType="end"/>
      </w:r>
    </w:p>
    <w:p>
      <w:pPr>
        <w:pStyle w:val="19"/>
        <w:tabs>
          <w:tab w:val="left" w:pos="420"/>
          <w:tab w:val="right" w:leader="dot" w:pos="8296"/>
        </w:tabs>
        <w:rPr>
          <w:rFonts w:ascii="仿宋" w:hAnsi="仿宋" w:eastAsia="仿宋" w:cstheme="minorBidi"/>
          <w:b w:val="0"/>
          <w:sz w:val="28"/>
          <w:szCs w:val="28"/>
        </w:rPr>
      </w:pPr>
      <w:r>
        <w:fldChar w:fldCharType="begin"/>
      </w:r>
      <w:r>
        <w:instrText xml:space="preserve"> HYPERLINK \l "_Toc101299822" </w:instrText>
      </w:r>
      <w:r>
        <w:fldChar w:fldCharType="separate"/>
      </w:r>
      <w:r>
        <w:rPr>
          <w:rStyle w:val="29"/>
          <w:rFonts w:ascii="仿宋" w:hAnsi="仿宋" w:eastAsia="仿宋"/>
          <w:b w:val="0"/>
          <w:sz w:val="28"/>
          <w:szCs w:val="28"/>
        </w:rPr>
        <w:t>9</w:t>
      </w:r>
      <w:r>
        <w:rPr>
          <w:rFonts w:ascii="仿宋" w:hAnsi="仿宋" w:eastAsia="仿宋" w:cstheme="minorBidi"/>
          <w:b w:val="0"/>
          <w:sz w:val="28"/>
          <w:szCs w:val="28"/>
        </w:rPr>
        <w:tab/>
      </w:r>
      <w:r>
        <w:rPr>
          <w:rStyle w:val="29"/>
          <w:rFonts w:hint="eastAsia" w:ascii="仿宋" w:hAnsi="仿宋" w:eastAsia="仿宋"/>
          <w:b w:val="0"/>
          <w:sz w:val="28"/>
          <w:szCs w:val="28"/>
        </w:rPr>
        <w:t>结论和建议</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_Toc101299822 \h </w:instrText>
      </w:r>
      <w:r>
        <w:rPr>
          <w:rFonts w:ascii="仿宋" w:hAnsi="仿宋" w:eastAsia="仿宋"/>
          <w:b w:val="0"/>
          <w:sz w:val="28"/>
          <w:szCs w:val="28"/>
        </w:rPr>
        <w:fldChar w:fldCharType="separate"/>
      </w:r>
      <w:r>
        <w:rPr>
          <w:rFonts w:ascii="仿宋" w:hAnsi="仿宋" w:eastAsia="仿宋"/>
          <w:b w:val="0"/>
          <w:sz w:val="28"/>
          <w:szCs w:val="28"/>
        </w:rPr>
        <w:t>55</w:t>
      </w:r>
      <w:r>
        <w:rPr>
          <w:rFonts w:ascii="仿宋" w:hAnsi="仿宋" w:eastAsia="仿宋"/>
          <w:b w:val="0"/>
          <w:sz w:val="28"/>
          <w:szCs w:val="28"/>
        </w:rPr>
        <w:fldChar w:fldCharType="end"/>
      </w:r>
      <w:r>
        <w:rPr>
          <w:rFonts w:ascii="仿宋" w:hAnsi="仿宋" w:eastAsia="仿宋"/>
          <w:b w:val="0"/>
          <w:sz w:val="28"/>
          <w:szCs w:val="28"/>
        </w:rPr>
        <w:fldChar w:fldCharType="end"/>
      </w:r>
    </w:p>
    <w:p>
      <w:pPr>
        <w:pStyle w:val="21"/>
        <w:rPr>
          <w:rFonts w:ascii="仿宋" w:hAnsi="仿宋" w:eastAsia="仿宋" w:cstheme="minorBidi"/>
          <w:sz w:val="28"/>
          <w:szCs w:val="28"/>
        </w:rPr>
      </w:pPr>
      <w:r>
        <w:fldChar w:fldCharType="begin"/>
      </w:r>
      <w:r>
        <w:instrText xml:space="preserve"> HYPERLINK \l "_Toc101299823" </w:instrText>
      </w:r>
      <w:r>
        <w:fldChar w:fldCharType="separate"/>
      </w:r>
      <w:r>
        <w:rPr>
          <w:rStyle w:val="29"/>
          <w:rFonts w:ascii="仿宋" w:hAnsi="仿宋" w:eastAsia="仿宋"/>
          <w:sz w:val="28"/>
          <w:szCs w:val="28"/>
        </w:rPr>
        <w:t>9.1</w:t>
      </w:r>
      <w:r>
        <w:rPr>
          <w:rFonts w:ascii="仿宋" w:hAnsi="仿宋" w:eastAsia="仿宋" w:cstheme="minorBidi"/>
          <w:sz w:val="28"/>
          <w:szCs w:val="28"/>
        </w:rPr>
        <w:tab/>
      </w:r>
      <w:r>
        <w:rPr>
          <w:rStyle w:val="29"/>
          <w:rFonts w:hint="eastAsia" w:ascii="仿宋" w:hAnsi="仿宋" w:eastAsia="仿宋"/>
          <w:sz w:val="28"/>
          <w:szCs w:val="28"/>
        </w:rPr>
        <w:t>结论</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_Toc101299823 \h </w:instrText>
      </w:r>
      <w:r>
        <w:rPr>
          <w:rFonts w:ascii="仿宋" w:hAnsi="仿宋" w:eastAsia="仿宋"/>
          <w:sz w:val="28"/>
          <w:szCs w:val="28"/>
        </w:rPr>
        <w:fldChar w:fldCharType="separate"/>
      </w:r>
      <w:r>
        <w:rPr>
          <w:rFonts w:ascii="仿宋" w:hAnsi="仿宋" w:eastAsia="仿宋"/>
          <w:sz w:val="28"/>
          <w:szCs w:val="28"/>
        </w:rPr>
        <w:t>55</w:t>
      </w:r>
      <w:r>
        <w:rPr>
          <w:rFonts w:ascii="仿宋" w:hAnsi="仿宋" w:eastAsia="仿宋"/>
          <w:sz w:val="28"/>
          <w:szCs w:val="28"/>
        </w:rPr>
        <w:fldChar w:fldCharType="end"/>
      </w:r>
      <w:r>
        <w:rPr>
          <w:rFonts w:ascii="仿宋" w:hAnsi="仿宋" w:eastAsia="仿宋"/>
          <w:sz w:val="28"/>
          <w:szCs w:val="28"/>
        </w:rPr>
        <w:fldChar w:fldCharType="end"/>
      </w:r>
    </w:p>
    <w:p>
      <w:pPr>
        <w:pStyle w:val="21"/>
        <w:rPr>
          <w:rFonts w:ascii="仿宋" w:hAnsi="仿宋" w:eastAsia="仿宋" w:cstheme="minorBidi"/>
          <w:sz w:val="28"/>
          <w:szCs w:val="28"/>
        </w:rPr>
      </w:pPr>
      <w:r>
        <w:fldChar w:fldCharType="begin"/>
      </w:r>
      <w:r>
        <w:instrText xml:space="preserve"> HYPERLINK \l "_Toc101299824" </w:instrText>
      </w:r>
      <w:r>
        <w:fldChar w:fldCharType="separate"/>
      </w:r>
      <w:r>
        <w:rPr>
          <w:rStyle w:val="29"/>
          <w:rFonts w:ascii="仿宋" w:hAnsi="仿宋" w:eastAsia="仿宋"/>
          <w:sz w:val="28"/>
          <w:szCs w:val="28"/>
        </w:rPr>
        <w:t>9.2</w:t>
      </w:r>
      <w:r>
        <w:rPr>
          <w:rFonts w:ascii="仿宋" w:hAnsi="仿宋" w:eastAsia="仿宋" w:cstheme="minorBidi"/>
          <w:sz w:val="28"/>
          <w:szCs w:val="28"/>
        </w:rPr>
        <w:tab/>
      </w:r>
      <w:r>
        <w:rPr>
          <w:rStyle w:val="29"/>
          <w:rFonts w:hint="eastAsia" w:ascii="仿宋" w:hAnsi="仿宋" w:eastAsia="仿宋"/>
          <w:sz w:val="28"/>
          <w:szCs w:val="28"/>
        </w:rPr>
        <w:t>建议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_Toc101299824 \h </w:instrText>
      </w:r>
      <w:r>
        <w:rPr>
          <w:rFonts w:ascii="仿宋" w:hAnsi="仿宋" w:eastAsia="仿宋"/>
          <w:sz w:val="28"/>
          <w:szCs w:val="28"/>
        </w:rPr>
        <w:fldChar w:fldCharType="separate"/>
      </w:r>
      <w:r>
        <w:rPr>
          <w:rFonts w:ascii="仿宋" w:hAnsi="仿宋" w:eastAsia="仿宋"/>
          <w:sz w:val="28"/>
          <w:szCs w:val="28"/>
        </w:rPr>
        <w:t>55</w:t>
      </w:r>
      <w:r>
        <w:rPr>
          <w:rFonts w:ascii="仿宋" w:hAnsi="仿宋" w:eastAsia="仿宋"/>
          <w:sz w:val="28"/>
          <w:szCs w:val="28"/>
        </w:rPr>
        <w:fldChar w:fldCharType="end"/>
      </w:r>
      <w:r>
        <w:rPr>
          <w:rFonts w:ascii="仿宋" w:hAnsi="仿宋" w:eastAsia="仿宋"/>
          <w:sz w:val="28"/>
          <w:szCs w:val="28"/>
        </w:rPr>
        <w:fldChar w:fldCharType="end"/>
      </w:r>
    </w:p>
    <w:p>
      <w:pPr>
        <w:pStyle w:val="21"/>
        <w:tabs>
          <w:tab w:val="right" w:leader="dot" w:pos="8306"/>
          <w:tab w:val="clear" w:pos="1260"/>
          <w:tab w:val="clear" w:pos="8296"/>
        </w:tabs>
        <w:ind w:left="0" w:leftChars="0"/>
        <w:jc w:val="center"/>
        <w:rPr>
          <w:rFonts w:ascii="仿宋" w:hAnsi="仿宋" w:eastAsia="仿宋"/>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r>
        <w:rPr>
          <w:rFonts w:ascii="仿宋" w:hAnsi="仿宋" w:eastAsia="仿宋"/>
          <w:sz w:val="28"/>
          <w:szCs w:val="28"/>
        </w:rPr>
        <w:fldChar w:fldCharType="end"/>
      </w:r>
    </w:p>
    <w:p>
      <w:pPr>
        <w:pStyle w:val="2"/>
        <w:tabs>
          <w:tab w:val="left" w:pos="3780"/>
          <w:tab w:val="left" w:pos="4200"/>
          <w:tab w:val="clear" w:pos="3970"/>
        </w:tabs>
        <w:spacing w:line="560" w:lineRule="exact"/>
        <w:ind w:hanging="4112"/>
        <w:rPr>
          <w:rFonts w:ascii="仿宋" w:hAnsi="仿宋" w:eastAsia="仿宋"/>
          <w:sz w:val="36"/>
          <w:szCs w:val="36"/>
        </w:rPr>
      </w:pPr>
      <w:bookmarkStart w:id="50" w:name="_Toc307053907"/>
      <w:bookmarkStart w:id="51" w:name="_Toc252935338"/>
      <w:bookmarkStart w:id="52" w:name="_Toc306780057"/>
      <w:bookmarkStart w:id="53" w:name="_Toc253584908"/>
      <w:bookmarkStart w:id="54" w:name="_Toc68014566"/>
      <w:bookmarkStart w:id="55" w:name="_Toc306956197"/>
      <w:bookmarkStart w:id="56" w:name="_Toc306766266"/>
      <w:bookmarkStart w:id="57" w:name="_Toc101299787"/>
      <w:bookmarkStart w:id="58" w:name="_Toc253743964"/>
      <w:bookmarkStart w:id="59" w:name="_Toc253594476"/>
      <w:r>
        <w:rPr>
          <w:rFonts w:ascii="仿宋" w:hAnsi="仿宋" w:eastAsia="仿宋"/>
          <w:sz w:val="36"/>
          <w:szCs w:val="36"/>
        </w:rPr>
        <w:t>前言</w:t>
      </w:r>
      <w:bookmarkEnd w:id="50"/>
      <w:bookmarkEnd w:id="51"/>
      <w:bookmarkEnd w:id="52"/>
      <w:bookmarkEnd w:id="53"/>
      <w:bookmarkEnd w:id="54"/>
      <w:bookmarkEnd w:id="55"/>
      <w:bookmarkEnd w:id="56"/>
      <w:bookmarkEnd w:id="57"/>
      <w:bookmarkEnd w:id="58"/>
      <w:bookmarkEnd w:id="59"/>
    </w:p>
    <w:p>
      <w:pPr>
        <w:pStyle w:val="3"/>
        <w:spacing w:line="560" w:lineRule="exact"/>
        <w:rPr>
          <w:rFonts w:ascii="仿宋" w:hAnsi="仿宋" w:eastAsia="仿宋"/>
          <w:color w:val="auto"/>
        </w:rPr>
      </w:pPr>
      <w:bookmarkStart w:id="60" w:name="_Toc307053908"/>
      <w:bookmarkStart w:id="61" w:name="_Toc253743965"/>
      <w:bookmarkStart w:id="62" w:name="_Toc253584909"/>
      <w:bookmarkStart w:id="63" w:name="_Toc253594477"/>
      <w:bookmarkStart w:id="64" w:name="_Toc306766267"/>
      <w:bookmarkStart w:id="65" w:name="_Toc306780058"/>
      <w:bookmarkStart w:id="66" w:name="_Toc68014567"/>
      <w:bookmarkStart w:id="67" w:name="_Toc306956198"/>
      <w:bookmarkStart w:id="68" w:name="_Toc101299788"/>
      <w:bookmarkStart w:id="69" w:name="_Toc252935339"/>
      <w:r>
        <w:rPr>
          <w:rFonts w:ascii="仿宋" w:hAnsi="仿宋" w:eastAsia="仿宋"/>
          <w:color w:val="auto"/>
        </w:rPr>
        <w:t>编制目的和意义</w:t>
      </w:r>
      <w:bookmarkEnd w:id="60"/>
      <w:bookmarkEnd w:id="61"/>
      <w:bookmarkEnd w:id="62"/>
      <w:bookmarkEnd w:id="63"/>
      <w:bookmarkEnd w:id="64"/>
      <w:bookmarkEnd w:id="65"/>
      <w:bookmarkEnd w:id="66"/>
      <w:bookmarkEnd w:id="67"/>
      <w:bookmarkEnd w:id="68"/>
      <w:bookmarkEnd w:id="69"/>
    </w:p>
    <w:p>
      <w:pPr>
        <w:spacing w:line="360" w:lineRule="auto"/>
        <w:ind w:firstLine="560" w:firstLineChars="200"/>
        <w:rPr>
          <w:rFonts w:ascii="仿宋" w:hAnsi="仿宋" w:eastAsia="仿宋"/>
          <w:sz w:val="28"/>
          <w:szCs w:val="28"/>
        </w:rPr>
      </w:pPr>
      <w:r>
        <w:rPr>
          <w:rFonts w:ascii="仿宋" w:hAnsi="仿宋" w:eastAsia="仿宋"/>
          <w:sz w:val="28"/>
          <w:szCs w:val="28"/>
        </w:rPr>
        <w:t>近年来随着新能源政策不断出台，电动汽车的发展势头迅猛，国家已将电动汽车充电桩建设列入“新基建”工程名单，电动汽车充电桩建设迎来进一步的发展机遇。</w:t>
      </w:r>
    </w:p>
    <w:p>
      <w:pPr>
        <w:spacing w:line="360" w:lineRule="auto"/>
        <w:ind w:firstLine="560" w:firstLineChars="200"/>
        <w:rPr>
          <w:rFonts w:ascii="仿宋" w:hAnsi="仿宋" w:eastAsia="仿宋"/>
          <w:sz w:val="28"/>
          <w:szCs w:val="28"/>
        </w:rPr>
      </w:pPr>
      <w:r>
        <w:rPr>
          <w:rFonts w:ascii="仿宋" w:hAnsi="仿宋" w:eastAsia="仿宋"/>
          <w:sz w:val="28"/>
          <w:szCs w:val="28"/>
        </w:rPr>
        <w:t>2020年10月，国务院办公厅印发《新能源汽车产业发展规划（2021-2035年）》。2021年2月9日，湖南省人民政府办公厅出台了《关于加快电动汽车充（换）电基础设施建设的实施意见》，将“十四五”湖南省电动汽车和充电设施建设总量分解到地市。</w:t>
      </w:r>
    </w:p>
    <w:p>
      <w:pPr>
        <w:spacing w:line="360" w:lineRule="auto"/>
        <w:ind w:firstLine="560" w:firstLineChars="200"/>
        <w:rPr>
          <w:rFonts w:ascii="仿宋" w:hAnsi="仿宋" w:eastAsia="仿宋"/>
          <w:sz w:val="28"/>
          <w:szCs w:val="28"/>
        </w:rPr>
      </w:pPr>
      <w:r>
        <w:rPr>
          <w:rFonts w:ascii="仿宋" w:hAnsi="仿宋" w:eastAsia="仿宋"/>
          <w:sz w:val="28"/>
          <w:szCs w:val="28"/>
        </w:rPr>
        <w:t>为深入贯彻落实国家新型基础设施建设决策部署，促进新能源汽车推广应用，加快全市电动汽车充（换）电基础设施建设，根据市政府第56次常务会议要求，岳阳市发改委组织编制《岳阳市“十四五”充电设施专项规划》，旨在促进电动汽车充（换）电基础设施（以下简称“充电设施”）有序建设。</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70" w:name="_Toc101299789"/>
      <w:bookmarkStart w:id="71" w:name="_Toc68014568"/>
      <w:r>
        <w:rPr>
          <w:rFonts w:ascii="仿宋" w:hAnsi="仿宋" w:eastAsia="仿宋"/>
          <w:color w:val="auto"/>
          <w:szCs w:val="22"/>
        </w:rPr>
        <w:t>指导思想</w:t>
      </w:r>
      <w:bookmarkEnd w:id="70"/>
      <w:bookmarkEnd w:id="71"/>
    </w:p>
    <w:p>
      <w:pPr>
        <w:spacing w:line="360" w:lineRule="auto"/>
        <w:ind w:firstLine="560" w:firstLineChars="200"/>
        <w:rPr>
          <w:rFonts w:ascii="仿宋" w:hAnsi="仿宋" w:eastAsia="仿宋"/>
          <w:sz w:val="28"/>
          <w:szCs w:val="28"/>
        </w:rPr>
      </w:pPr>
      <w:r>
        <w:rPr>
          <w:rFonts w:ascii="仿宋" w:hAnsi="仿宋" w:eastAsia="仿宋"/>
          <w:bCs/>
          <w:sz w:val="28"/>
          <w:szCs w:val="28"/>
        </w:rPr>
        <w:t>科学合理</w:t>
      </w:r>
      <w:r>
        <w:rPr>
          <w:rFonts w:ascii="仿宋" w:hAnsi="仿宋" w:eastAsia="仿宋"/>
          <w:sz w:val="28"/>
          <w:szCs w:val="28"/>
        </w:rPr>
        <w:t>。充电设施布局规划应贯彻执行国家有关法律法规、技术标准、产业发展规划和节能环保政策，做到技术先进、安全可靠、经济合理、使用便利。</w:t>
      </w:r>
    </w:p>
    <w:p>
      <w:pPr>
        <w:spacing w:line="360" w:lineRule="auto"/>
        <w:ind w:firstLine="560" w:firstLineChars="200"/>
        <w:rPr>
          <w:rFonts w:ascii="仿宋" w:hAnsi="仿宋" w:eastAsia="仿宋"/>
          <w:sz w:val="28"/>
          <w:szCs w:val="28"/>
        </w:rPr>
      </w:pPr>
      <w:r>
        <w:rPr>
          <w:rFonts w:ascii="仿宋" w:hAnsi="仿宋" w:eastAsia="仿宋"/>
          <w:bCs/>
          <w:sz w:val="28"/>
          <w:szCs w:val="28"/>
        </w:rPr>
        <w:t>多规协同</w:t>
      </w:r>
      <w:r>
        <w:rPr>
          <w:rFonts w:ascii="仿宋" w:hAnsi="仿宋" w:eastAsia="仿宋"/>
          <w:sz w:val="28"/>
          <w:szCs w:val="28"/>
        </w:rPr>
        <w:t>。公共充电设施布局规划要符合国民经济和社会发展规划，与国土空间规划、电网规划、停车规划、道路交通规划以及其他相关规划有效衔接，与城市公交、公路客运、停车场、加油站等设施建设有机结合，避免对城市交通、景观造成负面干扰和影响。</w:t>
      </w:r>
    </w:p>
    <w:p>
      <w:pPr>
        <w:spacing w:line="360" w:lineRule="auto"/>
        <w:ind w:firstLine="560" w:firstLineChars="200"/>
        <w:rPr>
          <w:rFonts w:ascii="仿宋" w:hAnsi="仿宋" w:eastAsia="仿宋"/>
          <w:sz w:val="28"/>
          <w:szCs w:val="28"/>
        </w:rPr>
      </w:pPr>
      <w:r>
        <w:rPr>
          <w:rFonts w:ascii="仿宋" w:hAnsi="仿宋" w:eastAsia="仿宋"/>
          <w:bCs/>
          <w:sz w:val="28"/>
          <w:szCs w:val="28"/>
        </w:rPr>
        <w:t>因地制宜</w:t>
      </w:r>
      <w:r>
        <w:rPr>
          <w:rFonts w:ascii="仿宋" w:hAnsi="仿宋" w:eastAsia="仿宋"/>
          <w:sz w:val="28"/>
          <w:szCs w:val="28"/>
        </w:rPr>
        <w:t>。根据各地发展需求和应用特点，紧密结合不同领域、不同层次的充电需求，分类有序实施，合理布局充电基础设施，科学确定建设规模和空间布局。</w:t>
      </w:r>
    </w:p>
    <w:p>
      <w:pPr>
        <w:spacing w:line="360" w:lineRule="auto"/>
        <w:ind w:firstLine="560" w:firstLineChars="200"/>
        <w:rPr>
          <w:rFonts w:ascii="仿宋" w:hAnsi="仿宋" w:eastAsia="仿宋"/>
          <w:sz w:val="28"/>
          <w:szCs w:val="28"/>
        </w:rPr>
      </w:pPr>
      <w:r>
        <w:rPr>
          <w:rFonts w:ascii="仿宋" w:hAnsi="仿宋" w:eastAsia="仿宋"/>
          <w:bCs/>
          <w:sz w:val="28"/>
          <w:szCs w:val="28"/>
        </w:rPr>
        <w:t>适度超前</w:t>
      </w:r>
      <w:r>
        <w:rPr>
          <w:rFonts w:ascii="仿宋" w:hAnsi="仿宋" w:eastAsia="仿宋"/>
          <w:sz w:val="28"/>
          <w:szCs w:val="28"/>
        </w:rPr>
        <w:t>。对电动汽车推广应用进度快的地方，要超前加大充电基础设施建设力度，适应电动汽车产业发展的需要，保证居民放心购买、使用电动汽车。</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72" w:name="_Toc101299790"/>
      <w:bookmarkStart w:id="73" w:name="_Toc68014569"/>
      <w:r>
        <w:rPr>
          <w:rFonts w:ascii="仿宋" w:hAnsi="仿宋" w:eastAsia="仿宋"/>
          <w:color w:val="auto"/>
          <w:szCs w:val="22"/>
        </w:rPr>
        <w:t>规划范围及年限</w:t>
      </w:r>
      <w:bookmarkEnd w:id="72"/>
      <w:bookmarkEnd w:id="73"/>
    </w:p>
    <w:p>
      <w:pPr>
        <w:spacing w:line="360" w:lineRule="auto"/>
        <w:ind w:firstLine="560" w:firstLineChars="200"/>
        <w:rPr>
          <w:rFonts w:ascii="仿宋" w:hAnsi="仿宋" w:eastAsia="仿宋"/>
          <w:sz w:val="28"/>
          <w:szCs w:val="28"/>
        </w:rPr>
      </w:pPr>
      <w:r>
        <w:rPr>
          <w:rFonts w:ascii="仿宋" w:hAnsi="仿宋" w:eastAsia="仿宋"/>
          <w:bCs/>
          <w:sz w:val="28"/>
          <w:szCs w:val="28"/>
        </w:rPr>
        <w:t>规划范围</w:t>
      </w:r>
      <w:r>
        <w:rPr>
          <w:rFonts w:ascii="仿宋" w:hAnsi="仿宋" w:eastAsia="仿宋"/>
          <w:sz w:val="28"/>
          <w:szCs w:val="28"/>
        </w:rPr>
        <w:t>：</w:t>
      </w:r>
      <w:r>
        <w:rPr>
          <w:rFonts w:hint="eastAsia" w:ascii="仿宋" w:hAnsi="仿宋" w:eastAsia="仿宋"/>
          <w:sz w:val="28"/>
          <w:szCs w:val="28"/>
        </w:rPr>
        <w:t>规划范围为岳阳市全域，包含岳阳市中心城区（岳阳楼区、岳阳经济技术开发区、城陵矶新港区、南湖新区）、平江县、岳阳县、华容县、湘阴县、临湘市、汨罗市、云溪区、君山区、屈原管理区</w:t>
      </w:r>
      <w:r>
        <w:rPr>
          <w:rFonts w:ascii="仿宋" w:hAnsi="仿宋" w:eastAsia="仿宋"/>
          <w:sz w:val="28"/>
          <w:szCs w:val="28"/>
        </w:rPr>
        <w:t>。高速公路、国道省道等干线的充电设施布局由省级规划在全省范围内统筹，干线的充电设施规划结论以省级规划为准。</w:t>
      </w:r>
    </w:p>
    <w:p>
      <w:pPr>
        <w:spacing w:line="360" w:lineRule="auto"/>
        <w:ind w:firstLine="560" w:firstLineChars="200"/>
        <w:rPr>
          <w:rFonts w:ascii="仿宋" w:hAnsi="仿宋" w:eastAsia="仿宋"/>
          <w:sz w:val="28"/>
          <w:szCs w:val="28"/>
        </w:rPr>
      </w:pPr>
      <w:r>
        <w:rPr>
          <w:rFonts w:ascii="仿宋" w:hAnsi="仿宋" w:eastAsia="仿宋"/>
          <w:bCs/>
          <w:sz w:val="28"/>
          <w:szCs w:val="28"/>
        </w:rPr>
        <w:t>规划内容</w:t>
      </w:r>
      <w:r>
        <w:rPr>
          <w:rFonts w:ascii="仿宋" w:hAnsi="仿宋" w:eastAsia="仿宋"/>
          <w:sz w:val="28"/>
          <w:szCs w:val="28"/>
        </w:rPr>
        <w:t>：充电设施规划主要包括充电桩、充电站以及充换电站的规划布局。按服务对象进行划分包括公用充电设施和专用充电设施；按工作原理进行划分包括直流充电设施、交流充电设施；按所属区位进行划分包括城区、乡镇以及公路干线。</w:t>
      </w:r>
    </w:p>
    <w:p>
      <w:pPr>
        <w:spacing w:line="360" w:lineRule="auto"/>
        <w:ind w:firstLine="560" w:firstLineChars="200"/>
        <w:rPr>
          <w:rFonts w:ascii="仿宋" w:hAnsi="仿宋" w:eastAsia="仿宋"/>
          <w:sz w:val="28"/>
          <w:szCs w:val="28"/>
        </w:rPr>
      </w:pPr>
      <w:r>
        <w:rPr>
          <w:rFonts w:ascii="仿宋" w:hAnsi="仿宋" w:eastAsia="仿宋"/>
          <w:bCs/>
          <w:sz w:val="28"/>
          <w:szCs w:val="28"/>
        </w:rPr>
        <w:t>规划年限</w:t>
      </w:r>
      <w:r>
        <w:rPr>
          <w:rFonts w:ascii="仿宋" w:hAnsi="仿宋" w:eastAsia="仿宋"/>
          <w:sz w:val="28"/>
          <w:szCs w:val="28"/>
        </w:rPr>
        <w:t>：以2021年为规划基准年，2022年为计划执行年，2025年为规划水平年。</w:t>
      </w:r>
    </w:p>
    <w:p>
      <w:pPr>
        <w:pStyle w:val="3"/>
        <w:spacing w:line="560" w:lineRule="exact"/>
        <w:rPr>
          <w:rFonts w:ascii="仿宋" w:hAnsi="仿宋" w:eastAsia="仿宋"/>
          <w:color w:val="auto"/>
          <w:szCs w:val="22"/>
        </w:rPr>
      </w:pPr>
      <w:bookmarkStart w:id="74" w:name="_Toc101299791"/>
      <w:r>
        <w:rPr>
          <w:rFonts w:ascii="仿宋" w:hAnsi="仿宋" w:eastAsia="仿宋"/>
          <w:color w:val="auto"/>
          <w:szCs w:val="22"/>
        </w:rPr>
        <w:t>总体技术路线</w:t>
      </w:r>
      <w:bookmarkEnd w:id="74"/>
    </w:p>
    <w:p>
      <w:pPr>
        <w:spacing w:line="360" w:lineRule="auto"/>
        <w:ind w:firstLine="560" w:firstLineChars="200"/>
        <w:rPr>
          <w:rFonts w:ascii="仿宋" w:hAnsi="仿宋" w:eastAsia="仿宋"/>
          <w:sz w:val="28"/>
          <w:szCs w:val="28"/>
        </w:rPr>
      </w:pPr>
      <w:r>
        <w:rPr>
          <w:rFonts w:ascii="仿宋" w:hAnsi="仿宋" w:eastAsia="仿宋"/>
          <w:sz w:val="28"/>
          <w:szCs w:val="28"/>
        </w:rPr>
        <w:t>本次规划以国家新能源汽车相关政策为指导，以《岳阳市国民经济和社会发展第十四个五年规划和二〇三五年远景目标纲要》等上位规划为依据，综合考虑电动汽车技术发展、城市经济和机动化发展水平、相关政策引导等因素，充分结合各部门发展需求，对岳阳市未来充电设施规模进行预测。</w:t>
      </w:r>
    </w:p>
    <w:p>
      <w:pPr>
        <w:pStyle w:val="10"/>
        <w:ind w:firstLine="560"/>
        <w:jc w:val="center"/>
        <w:rPr>
          <w:rFonts w:ascii="仿宋" w:hAnsi="仿宋" w:eastAsia="仿宋"/>
        </w:rPr>
      </w:pPr>
      <w:r>
        <w:rPr>
          <w:rFonts w:ascii="仿宋" w:hAnsi="仿宋" w:eastAsia="仿宋"/>
        </w:rPr>
        <w:drawing>
          <wp:inline distT="0" distB="0" distL="0" distR="0">
            <wp:extent cx="4618990" cy="3025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641581" cy="3040263"/>
                    </a:xfrm>
                    <a:prstGeom prst="rect">
                      <a:avLst/>
                    </a:prstGeom>
                  </pic:spPr>
                </pic:pic>
              </a:graphicData>
            </a:graphic>
          </wp:inline>
        </w:drawing>
      </w:r>
    </w:p>
    <w:p>
      <w:pPr>
        <w:pStyle w:val="8"/>
        <w:spacing w:after="0" w:afterLines="0"/>
        <w:ind w:firstLine="420" w:firstLineChars="200"/>
        <w:rPr>
          <w:rFonts w:ascii="仿宋" w:hAnsi="仿宋" w:eastAsia="仿宋" w:cs="仿宋"/>
          <w:b w:val="0"/>
        </w:rPr>
      </w:pPr>
      <w:r>
        <w:rPr>
          <w:rFonts w:hint="eastAsia" w:ascii="仿宋" w:hAnsi="仿宋" w:eastAsia="仿宋" w:cs="仿宋"/>
          <w:b w:val="0"/>
        </w:rPr>
        <w:t xml:space="preserve">图 </w:t>
      </w:r>
      <w:r>
        <w:rPr>
          <w:rFonts w:hint="eastAsia" w:ascii="仿宋" w:hAnsi="仿宋" w:eastAsia="仿宋" w:cs="仿宋"/>
          <w:b w:val="0"/>
        </w:rPr>
        <w:fldChar w:fldCharType="begin"/>
      </w:r>
      <w:r>
        <w:rPr>
          <w:rFonts w:hint="eastAsia" w:ascii="仿宋" w:hAnsi="仿宋" w:eastAsia="仿宋" w:cs="仿宋"/>
          <w:b w:val="0"/>
        </w:rPr>
        <w:instrText xml:space="preserve"> STYLEREF 1 \s </w:instrText>
      </w:r>
      <w:r>
        <w:rPr>
          <w:rFonts w:hint="eastAsia" w:ascii="仿宋" w:hAnsi="仿宋" w:eastAsia="仿宋" w:cs="仿宋"/>
          <w:b w:val="0"/>
        </w:rPr>
        <w:fldChar w:fldCharType="separate"/>
      </w:r>
      <w:r>
        <w:rPr>
          <w:rFonts w:ascii="仿宋" w:hAnsi="仿宋" w:eastAsia="仿宋" w:cs="仿宋"/>
          <w:b w:val="0"/>
        </w:rPr>
        <w:t>1</w:t>
      </w:r>
      <w:r>
        <w:rPr>
          <w:rFonts w:hint="eastAsia" w:ascii="仿宋" w:hAnsi="仿宋" w:eastAsia="仿宋" w:cs="仿宋"/>
          <w:b w:val="0"/>
        </w:rPr>
        <w:fldChar w:fldCharType="end"/>
      </w:r>
      <w:r>
        <w:rPr>
          <w:rFonts w:hint="eastAsia" w:ascii="仿宋" w:hAnsi="仿宋" w:eastAsia="仿宋" w:cs="仿宋"/>
          <w:b w:val="0"/>
        </w:rPr>
        <w:noBreakHyphen/>
      </w:r>
      <w:r>
        <w:rPr>
          <w:rFonts w:hint="eastAsia" w:ascii="仿宋" w:hAnsi="仿宋" w:eastAsia="仿宋" w:cs="仿宋"/>
          <w:b w:val="0"/>
        </w:rPr>
        <w:t>1  总体技术路线</w:t>
      </w:r>
    </w:p>
    <w:p>
      <w:pPr>
        <w:pStyle w:val="10"/>
        <w:ind w:firstLine="560"/>
      </w:pPr>
    </w:p>
    <w:p>
      <w:pPr>
        <w:pStyle w:val="3"/>
        <w:spacing w:line="560" w:lineRule="exact"/>
        <w:rPr>
          <w:rFonts w:ascii="仿宋" w:hAnsi="仿宋" w:eastAsia="仿宋"/>
          <w:color w:val="auto"/>
          <w:szCs w:val="22"/>
        </w:rPr>
      </w:pPr>
      <w:bookmarkStart w:id="75" w:name="_Toc101299792"/>
      <w:bookmarkStart w:id="76" w:name="_Toc68014570"/>
      <w:r>
        <w:rPr>
          <w:rFonts w:ascii="仿宋" w:hAnsi="仿宋" w:eastAsia="仿宋"/>
          <w:color w:val="auto"/>
          <w:szCs w:val="22"/>
        </w:rPr>
        <w:t>编制依据</w:t>
      </w:r>
      <w:bookmarkEnd w:id="75"/>
      <w:bookmarkEnd w:id="76"/>
    </w:p>
    <w:p>
      <w:pPr>
        <w:pStyle w:val="10"/>
        <w:ind w:firstLine="560"/>
        <w:rPr>
          <w:rFonts w:ascii="仿宋" w:hAnsi="仿宋" w:eastAsia="仿宋"/>
        </w:rPr>
      </w:pPr>
      <w:r>
        <w:rPr>
          <w:rFonts w:ascii="仿宋" w:hAnsi="仿宋" w:eastAsia="仿宋"/>
        </w:rPr>
        <w:t>本规划的编制依据主要包括：</w:t>
      </w:r>
    </w:p>
    <w:p>
      <w:pPr>
        <w:pStyle w:val="68"/>
        <w:tabs>
          <w:tab w:val="left" w:pos="1276"/>
          <w:tab w:val="clear" w:pos="1036"/>
        </w:tabs>
        <w:ind w:firstLine="560" w:firstLineChars="200"/>
        <w:rPr>
          <w:rFonts w:ascii="仿宋" w:hAnsi="仿宋" w:eastAsia="仿宋"/>
          <w:bCs/>
          <w:sz w:val="28"/>
          <w:szCs w:val="28"/>
        </w:rPr>
      </w:pPr>
      <w:r>
        <w:rPr>
          <w:rFonts w:ascii="仿宋" w:hAnsi="仿宋" w:eastAsia="仿宋"/>
          <w:bCs/>
          <w:sz w:val="28"/>
          <w:szCs w:val="28"/>
        </w:rPr>
        <w:t>1.国家、电力行业、国家电网公司制订的充电设施规划、设计和运行类技术导则和规范</w:t>
      </w:r>
    </w:p>
    <w:p>
      <w:pPr>
        <w:spacing w:line="360" w:lineRule="auto"/>
        <w:ind w:firstLine="560" w:firstLineChars="200"/>
        <w:rPr>
          <w:rFonts w:ascii="仿宋" w:hAnsi="仿宋" w:eastAsia="仿宋"/>
          <w:sz w:val="28"/>
          <w:szCs w:val="28"/>
        </w:rPr>
      </w:pPr>
      <w:r>
        <w:rPr>
          <w:rFonts w:ascii="仿宋" w:hAnsi="仿宋" w:eastAsia="仿宋"/>
          <w:sz w:val="28"/>
          <w:szCs w:val="28"/>
        </w:rPr>
        <w:t>（1）《新能源汽车产业发展规划（2021-2035年）》，国办发〔2020〕39号；</w:t>
      </w:r>
    </w:p>
    <w:p>
      <w:pPr>
        <w:spacing w:line="360" w:lineRule="auto"/>
        <w:ind w:firstLine="560" w:firstLineChars="200"/>
        <w:rPr>
          <w:rFonts w:ascii="仿宋" w:hAnsi="仿宋" w:eastAsia="仿宋"/>
          <w:sz w:val="28"/>
          <w:szCs w:val="28"/>
        </w:rPr>
      </w:pPr>
      <w:r>
        <w:rPr>
          <w:rFonts w:ascii="仿宋" w:hAnsi="仿宋" w:eastAsia="仿宋"/>
          <w:sz w:val="28"/>
          <w:szCs w:val="28"/>
        </w:rPr>
        <w:t>（2）《关于完善新能源汽车推广应用财政补贴政策的通知》（财建〔2020〕86号）；</w:t>
      </w:r>
    </w:p>
    <w:p>
      <w:pPr>
        <w:spacing w:line="360" w:lineRule="auto"/>
        <w:ind w:firstLine="560" w:firstLineChars="200"/>
        <w:rPr>
          <w:rFonts w:ascii="仿宋" w:hAnsi="仿宋" w:eastAsia="仿宋"/>
          <w:sz w:val="28"/>
          <w:szCs w:val="28"/>
        </w:rPr>
      </w:pPr>
      <w:r>
        <w:rPr>
          <w:rFonts w:ascii="仿宋" w:hAnsi="仿宋" w:eastAsia="仿宋"/>
          <w:sz w:val="28"/>
          <w:szCs w:val="28"/>
        </w:rPr>
        <w:t>（3）《关于进一步完善新能源汽车推广应用财政补贴政策的通知》（财建〔2020〕593号）；</w:t>
      </w:r>
    </w:p>
    <w:p>
      <w:pPr>
        <w:spacing w:line="360" w:lineRule="auto"/>
        <w:ind w:firstLine="560" w:firstLineChars="200"/>
        <w:rPr>
          <w:rFonts w:ascii="仿宋" w:hAnsi="仿宋" w:eastAsia="仿宋"/>
          <w:sz w:val="28"/>
          <w:szCs w:val="28"/>
        </w:rPr>
      </w:pPr>
      <w:r>
        <w:rPr>
          <w:rFonts w:ascii="仿宋" w:hAnsi="仿宋" w:eastAsia="仿宋"/>
          <w:sz w:val="28"/>
          <w:szCs w:val="28"/>
        </w:rPr>
        <w:t>（4）《关于加快居民区电动汽车充电基础设施建设的通知》，发改能源〔2016〕1611 号；</w:t>
      </w:r>
    </w:p>
    <w:p>
      <w:pPr>
        <w:spacing w:line="360" w:lineRule="auto"/>
        <w:ind w:firstLine="560" w:firstLineChars="200"/>
        <w:rPr>
          <w:rFonts w:ascii="仿宋" w:hAnsi="仿宋" w:eastAsia="仿宋"/>
          <w:sz w:val="28"/>
          <w:szCs w:val="28"/>
        </w:rPr>
      </w:pPr>
      <w:r>
        <w:rPr>
          <w:rFonts w:ascii="仿宋" w:hAnsi="仿宋" w:eastAsia="仿宋"/>
          <w:sz w:val="28"/>
          <w:szCs w:val="28"/>
        </w:rPr>
        <w:t>（5）《电动汽车交流充电桩技术条件》，NB/T 33002-2018；</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（6）《电动汽车充换电设施接入配电网技术规范》，GB/T 36278-2018； </w:t>
      </w:r>
    </w:p>
    <w:p>
      <w:pPr>
        <w:spacing w:line="360" w:lineRule="auto"/>
        <w:ind w:firstLine="560" w:firstLineChars="200"/>
        <w:rPr>
          <w:rFonts w:ascii="仿宋" w:hAnsi="仿宋" w:eastAsia="仿宋"/>
          <w:sz w:val="28"/>
          <w:szCs w:val="28"/>
        </w:rPr>
      </w:pPr>
      <w:r>
        <w:rPr>
          <w:rFonts w:ascii="仿宋" w:hAnsi="仿宋" w:eastAsia="仿宋"/>
          <w:sz w:val="28"/>
          <w:szCs w:val="28"/>
        </w:rPr>
        <w:t>（7）《电动汽车充换电设施规划导则》，Q/GDW 11168-2018；</w:t>
      </w:r>
    </w:p>
    <w:p>
      <w:pPr>
        <w:spacing w:line="360" w:lineRule="auto"/>
        <w:ind w:firstLine="560" w:firstLineChars="200"/>
        <w:rPr>
          <w:rFonts w:ascii="仿宋" w:hAnsi="仿宋" w:eastAsia="仿宋"/>
          <w:sz w:val="28"/>
          <w:szCs w:val="28"/>
        </w:rPr>
      </w:pPr>
      <w:r>
        <w:rPr>
          <w:rFonts w:ascii="仿宋" w:hAnsi="仿宋" w:eastAsia="仿宋"/>
          <w:sz w:val="28"/>
          <w:szCs w:val="28"/>
        </w:rPr>
        <w:t>（8）《电动汽车充换电设施接入配电网评价导则》，Q/GDW 11726-2017。</w:t>
      </w:r>
    </w:p>
    <w:p>
      <w:pPr>
        <w:pStyle w:val="68"/>
        <w:tabs>
          <w:tab w:val="left" w:pos="1276"/>
          <w:tab w:val="clear" w:pos="1036"/>
        </w:tabs>
        <w:ind w:firstLine="560" w:firstLineChars="200"/>
        <w:rPr>
          <w:rFonts w:ascii="仿宋" w:hAnsi="仿宋" w:eastAsia="仿宋"/>
          <w:bCs/>
          <w:sz w:val="28"/>
          <w:szCs w:val="28"/>
        </w:rPr>
      </w:pPr>
      <w:r>
        <w:rPr>
          <w:rFonts w:ascii="仿宋" w:hAnsi="仿宋" w:eastAsia="仿宋"/>
          <w:bCs/>
          <w:sz w:val="28"/>
          <w:szCs w:val="28"/>
        </w:rPr>
        <w:t>2.湖南省制订的充电设施规划、设计和运行类技术导则和规范</w:t>
      </w:r>
    </w:p>
    <w:p>
      <w:pPr>
        <w:spacing w:line="360" w:lineRule="auto"/>
        <w:ind w:firstLine="560" w:firstLineChars="200"/>
        <w:rPr>
          <w:rFonts w:ascii="仿宋" w:hAnsi="仿宋" w:eastAsia="仿宋"/>
          <w:sz w:val="28"/>
          <w:szCs w:val="28"/>
        </w:rPr>
      </w:pPr>
      <w:r>
        <w:rPr>
          <w:rFonts w:ascii="仿宋" w:hAnsi="仿宋" w:eastAsia="仿宋"/>
          <w:sz w:val="28"/>
          <w:szCs w:val="28"/>
        </w:rPr>
        <w:t>（1）《湖南省人民政府办公厅关于加快电动汽车充（换）电基础设施建设的实施意见》，湘政办发〔2021〕4号；</w:t>
      </w:r>
    </w:p>
    <w:p>
      <w:pPr>
        <w:spacing w:line="360" w:lineRule="auto"/>
        <w:ind w:firstLine="560" w:firstLineChars="200"/>
        <w:rPr>
          <w:rFonts w:ascii="仿宋" w:hAnsi="仿宋" w:eastAsia="仿宋"/>
          <w:sz w:val="28"/>
          <w:szCs w:val="28"/>
        </w:rPr>
      </w:pPr>
      <w:r>
        <w:rPr>
          <w:rFonts w:ascii="仿宋" w:hAnsi="仿宋" w:eastAsia="仿宋"/>
          <w:sz w:val="28"/>
          <w:szCs w:val="28"/>
        </w:rPr>
        <w:t>（2）《湖南省居民住宅小区供配电设施建设技术标准》，湖南省住房和城乡建设厅，2020年；</w:t>
      </w:r>
    </w:p>
    <w:p>
      <w:pPr>
        <w:spacing w:line="360" w:lineRule="auto"/>
        <w:ind w:firstLine="560" w:firstLineChars="200"/>
        <w:rPr>
          <w:rFonts w:ascii="仿宋" w:hAnsi="仿宋" w:eastAsia="仿宋"/>
          <w:sz w:val="28"/>
          <w:szCs w:val="28"/>
        </w:rPr>
      </w:pPr>
      <w:r>
        <w:rPr>
          <w:rFonts w:ascii="仿宋" w:hAnsi="仿宋" w:eastAsia="仿宋"/>
          <w:sz w:val="28"/>
          <w:szCs w:val="28"/>
        </w:rPr>
        <w:t>（3）《湖南省电动汽车充（换）电基础设施建设三年行动计划（2021-2023）》，湘发改能源〔2021〕639号；</w:t>
      </w:r>
    </w:p>
    <w:p>
      <w:pPr>
        <w:spacing w:line="360" w:lineRule="auto"/>
        <w:ind w:firstLine="560" w:firstLineChars="200"/>
        <w:rPr>
          <w:rFonts w:ascii="仿宋" w:hAnsi="仿宋" w:eastAsia="仿宋"/>
          <w:sz w:val="28"/>
          <w:szCs w:val="28"/>
        </w:rPr>
      </w:pPr>
      <w:r>
        <w:rPr>
          <w:rFonts w:ascii="仿宋" w:hAnsi="仿宋" w:eastAsia="仿宋"/>
          <w:sz w:val="28"/>
          <w:szCs w:val="28"/>
        </w:rPr>
        <w:t>（4）《湖南省电动汽车充电基础设施建设与运营管理办法》，湘发改能源〔2021〕916号；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）《湖南省电动汽车充电设施涉及标准》（DBT43/016-2020）湘建科（2021）222号。</w:t>
      </w:r>
    </w:p>
    <w:p>
      <w:pPr>
        <w:pStyle w:val="68"/>
        <w:tabs>
          <w:tab w:val="left" w:pos="1276"/>
          <w:tab w:val="clear" w:pos="1036"/>
        </w:tabs>
        <w:ind w:firstLine="560" w:firstLineChars="200"/>
        <w:rPr>
          <w:rFonts w:ascii="仿宋" w:hAnsi="仿宋" w:eastAsia="仿宋"/>
          <w:bCs/>
          <w:sz w:val="28"/>
          <w:szCs w:val="28"/>
        </w:rPr>
      </w:pPr>
      <w:r>
        <w:rPr>
          <w:rFonts w:ascii="仿宋" w:hAnsi="仿宋" w:eastAsia="仿宋"/>
          <w:bCs/>
          <w:sz w:val="28"/>
          <w:szCs w:val="28"/>
        </w:rPr>
        <w:t>3、岳阳市制订的充电设施规划、城乡总体规划、国民经济和社会发展规划和相关文件</w:t>
      </w:r>
    </w:p>
    <w:p>
      <w:pPr>
        <w:spacing w:line="360" w:lineRule="auto"/>
        <w:ind w:firstLine="560" w:firstLineChars="200"/>
        <w:rPr>
          <w:rFonts w:ascii="仿宋" w:hAnsi="仿宋" w:eastAsia="仿宋"/>
          <w:sz w:val="28"/>
          <w:szCs w:val="28"/>
        </w:rPr>
      </w:pPr>
      <w:r>
        <w:rPr>
          <w:rFonts w:ascii="仿宋" w:hAnsi="仿宋" w:eastAsia="仿宋"/>
          <w:sz w:val="28"/>
          <w:szCs w:val="28"/>
        </w:rPr>
        <w:t>（1）岳阳市人民政府办公室《关于加快我市电动汽车充（换）电基础设施建设的通知》，岳政办发〔2021〕13号；</w:t>
      </w:r>
    </w:p>
    <w:p>
      <w:pPr>
        <w:spacing w:line="360" w:lineRule="auto"/>
        <w:ind w:firstLine="560" w:firstLineChars="200"/>
        <w:rPr>
          <w:rFonts w:ascii="仿宋" w:hAnsi="仿宋" w:eastAsia="仿宋"/>
          <w:sz w:val="28"/>
          <w:szCs w:val="28"/>
        </w:rPr>
      </w:pPr>
      <w:r>
        <w:rPr>
          <w:rFonts w:ascii="仿宋" w:hAnsi="仿宋" w:eastAsia="仿宋"/>
          <w:sz w:val="28"/>
          <w:szCs w:val="28"/>
        </w:rPr>
        <w:t>（2）《岳阳市国民经济和社会发展第十四个五年规划和二〇三五年远景目标纲要》，2021年1月22日岳阳市第八届人民代表大会第六次会议批准；</w:t>
      </w:r>
    </w:p>
    <w:p>
      <w:pPr>
        <w:spacing w:line="360" w:lineRule="auto"/>
        <w:ind w:firstLine="560" w:firstLineChars="200"/>
        <w:rPr>
          <w:rFonts w:ascii="仿宋" w:hAnsi="仿宋" w:eastAsia="仿宋"/>
          <w:sz w:val="28"/>
          <w:szCs w:val="28"/>
        </w:rPr>
      </w:pPr>
      <w:r>
        <w:rPr>
          <w:rFonts w:ascii="仿宋" w:hAnsi="仿宋" w:eastAsia="仿宋"/>
          <w:sz w:val="28"/>
          <w:szCs w:val="28"/>
        </w:rPr>
        <w:t>（3）《岳阳市“十四五”能源发展规划》，岳阳市发展和改革委员会，2020年11月；</w:t>
      </w:r>
    </w:p>
    <w:p>
      <w:pPr>
        <w:spacing w:line="360" w:lineRule="auto"/>
        <w:ind w:firstLine="560" w:firstLineChars="200"/>
        <w:rPr>
          <w:rFonts w:ascii="仿宋" w:hAnsi="仿宋" w:eastAsia="仿宋"/>
          <w:sz w:val="28"/>
          <w:szCs w:val="28"/>
        </w:rPr>
      </w:pPr>
      <w:r>
        <w:rPr>
          <w:rFonts w:ascii="仿宋" w:hAnsi="仿宋" w:eastAsia="仿宋"/>
          <w:sz w:val="28"/>
          <w:szCs w:val="28"/>
        </w:rPr>
        <w:t>（4）《岳阳市“十四五”新型城镇化发展规划》，岳阳市发展和改革委员会，2021年12月；</w:t>
      </w:r>
    </w:p>
    <w:p>
      <w:pPr>
        <w:spacing w:line="360" w:lineRule="auto"/>
        <w:ind w:firstLine="560" w:firstLineChars="200"/>
        <w:rPr>
          <w:rFonts w:ascii="仿宋" w:hAnsi="仿宋" w:eastAsia="仿宋"/>
          <w:sz w:val="28"/>
          <w:szCs w:val="28"/>
        </w:rPr>
      </w:pPr>
      <w:r>
        <w:rPr>
          <w:rFonts w:ascii="仿宋" w:hAnsi="仿宋" w:eastAsia="仿宋"/>
          <w:sz w:val="28"/>
          <w:szCs w:val="28"/>
        </w:rPr>
        <w:t>（5）《岳阳市交通运输“十四五”发展规划》（送审稿），岳阳市交通运输局，2021年12月；</w:t>
      </w:r>
    </w:p>
    <w:p>
      <w:pPr>
        <w:spacing w:line="360" w:lineRule="auto"/>
        <w:ind w:firstLine="560" w:firstLineChars="200"/>
        <w:rPr>
          <w:rFonts w:ascii="仿宋" w:hAnsi="仿宋" w:eastAsia="仿宋"/>
          <w:sz w:val="28"/>
          <w:szCs w:val="28"/>
        </w:rPr>
      </w:pPr>
      <w:r>
        <w:rPr>
          <w:rFonts w:ascii="仿宋" w:hAnsi="仿宋" w:eastAsia="仿宋"/>
          <w:sz w:val="28"/>
          <w:szCs w:val="28"/>
        </w:rPr>
        <w:t>（6）《岳阳市城区电动汽车基础设施发展规划（2018-2035年）》（征求意见稿），岳阳市发展和改革委员会；</w:t>
      </w:r>
    </w:p>
    <w:p>
      <w:pPr>
        <w:spacing w:line="360" w:lineRule="auto"/>
        <w:ind w:firstLine="560" w:firstLineChars="200"/>
        <w:rPr>
          <w:rFonts w:ascii="仿宋" w:hAnsi="仿宋" w:eastAsia="仿宋"/>
          <w:sz w:val="28"/>
          <w:szCs w:val="28"/>
        </w:rPr>
      </w:pPr>
      <w:r>
        <w:rPr>
          <w:rFonts w:ascii="仿宋" w:hAnsi="仿宋" w:eastAsia="仿宋"/>
          <w:sz w:val="28"/>
          <w:szCs w:val="28"/>
        </w:rPr>
        <w:t>（7）《岳阳统计年鉴》（2016-2021年），岳阳市统计局官网。</w:t>
      </w:r>
    </w:p>
    <w:p>
      <w:pPr>
        <w:pStyle w:val="10"/>
        <w:ind w:firstLine="560"/>
        <w:rPr>
          <w:rFonts w:ascii="仿宋" w:hAnsi="仿宋" w:eastAsia="仿宋"/>
        </w:rPr>
      </w:pPr>
    </w:p>
    <w:p>
      <w:pPr>
        <w:pStyle w:val="10"/>
        <w:ind w:firstLine="560"/>
        <w:rPr>
          <w:rFonts w:ascii="仿宋" w:hAnsi="仿宋" w:eastAsia="仿宋"/>
        </w:rPr>
      </w:pPr>
    </w:p>
    <w:p>
      <w:pPr>
        <w:pStyle w:val="10"/>
        <w:ind w:firstLine="560"/>
        <w:rPr>
          <w:rFonts w:ascii="仿宋" w:hAnsi="仿宋" w:eastAsia="仿宋"/>
        </w:rPr>
        <w:sectPr>
          <w:footerReference r:id="rId11" w:type="default"/>
          <w:pgSz w:w="11906" w:h="16838"/>
          <w:pgMar w:top="1440" w:right="1800" w:bottom="1440" w:left="1800" w:header="851" w:footer="992" w:gutter="0"/>
          <w:pgNumType w:start="1"/>
          <w:cols w:space="425" w:num="1"/>
          <w:docGrid w:type="lines" w:linePitch="312" w:charSpace="0"/>
        </w:sectPr>
      </w:pPr>
    </w:p>
    <w:p>
      <w:pPr>
        <w:pStyle w:val="2"/>
        <w:tabs>
          <w:tab w:val="left" w:pos="2694"/>
          <w:tab w:val="left" w:pos="2977"/>
          <w:tab w:val="clear" w:pos="3970"/>
        </w:tabs>
        <w:spacing w:line="560" w:lineRule="exact"/>
        <w:ind w:left="2977" w:hanging="2835"/>
        <w:rPr>
          <w:rFonts w:ascii="仿宋" w:hAnsi="仿宋" w:eastAsia="仿宋"/>
          <w:sz w:val="36"/>
          <w:szCs w:val="36"/>
        </w:rPr>
      </w:pPr>
      <w:bookmarkStart w:id="77" w:name="_Toc68014571"/>
      <w:bookmarkStart w:id="78" w:name="_Toc101299793"/>
      <w:r>
        <w:rPr>
          <w:rFonts w:ascii="仿宋" w:hAnsi="仿宋" w:eastAsia="仿宋"/>
          <w:sz w:val="36"/>
          <w:szCs w:val="36"/>
        </w:rPr>
        <w:t>社会经济发展概况</w:t>
      </w:r>
      <w:bookmarkEnd w:id="77"/>
      <w:bookmarkEnd w:id="78"/>
    </w:p>
    <w:p>
      <w:pPr>
        <w:pStyle w:val="3"/>
        <w:spacing w:line="560" w:lineRule="exact"/>
        <w:rPr>
          <w:rFonts w:ascii="仿宋" w:hAnsi="仿宋" w:eastAsia="仿宋"/>
          <w:color w:val="auto"/>
          <w:szCs w:val="22"/>
        </w:rPr>
      </w:pPr>
      <w:bookmarkStart w:id="79" w:name="_Toc101299794"/>
      <w:r>
        <w:rPr>
          <w:rFonts w:ascii="仿宋" w:hAnsi="仿宋" w:eastAsia="仿宋"/>
          <w:color w:val="auto"/>
          <w:szCs w:val="22"/>
        </w:rPr>
        <w:t>地区基本概况</w:t>
      </w:r>
      <w:bookmarkEnd w:id="79"/>
    </w:p>
    <w:p>
      <w:pPr>
        <w:spacing w:line="360" w:lineRule="auto"/>
        <w:ind w:firstLine="560" w:firstLineChars="200"/>
        <w:rPr>
          <w:rFonts w:ascii="仿宋" w:hAnsi="仿宋" w:eastAsia="仿宋"/>
          <w:sz w:val="28"/>
          <w:szCs w:val="28"/>
        </w:rPr>
      </w:pPr>
      <w:r>
        <w:rPr>
          <w:rFonts w:ascii="仿宋" w:hAnsi="仿宋" w:eastAsia="仿宋"/>
          <w:sz w:val="28"/>
          <w:szCs w:val="28"/>
        </w:rPr>
        <w:t>岳阳市位于湖南东北部长江南岸，素称“湘北门户”。地处北纬28°25′33″～29°51′00″，东经112°18′31″～114°09′06″之间。东邻江西省铜鼓县、修水县和湖北省通城县；南抵湖南省浏阳市、长沙市、望城区；西接湖南省沅江市、南县、安乡县；北接湖北省赤壁、洪湖、监利、石首县（市）。市东西横跨177.84公里，南北纵长157.87公里，总面积15019.68平方公里。</w:t>
      </w:r>
    </w:p>
    <w:p>
      <w:pPr>
        <w:pStyle w:val="10"/>
        <w:ind w:firstLine="20"/>
        <w:rPr>
          <w:rFonts w:ascii="仿宋" w:hAnsi="仿宋" w:eastAsia="仿宋"/>
        </w:rPr>
      </w:pPr>
      <w:r>
        <w:rPr>
          <w:rFonts w:ascii="仿宋" w:hAnsi="仿宋" w:eastAsia="仿宋"/>
          <w:snapToGrid w:val="0"/>
          <w:color w:val="000000"/>
          <w:w w:val="0"/>
          <w:sz w:val="0"/>
          <w:szCs w:val="0"/>
          <w:u w:color="000000"/>
          <w:shd w:val="clear" w:color="000000" w:fill="000000"/>
        </w:rPr>
        <w:drawing>
          <wp:inline distT="0" distB="0" distL="0" distR="0">
            <wp:extent cx="5273675" cy="371919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675" cy="3719195"/>
                    </a:xfrm>
                    <a:prstGeom prst="rect">
                      <a:avLst/>
                    </a:prstGeom>
                    <a:noFill/>
                  </pic:spPr>
                </pic:pic>
              </a:graphicData>
            </a:graphic>
          </wp:inline>
        </w:drawing>
      </w:r>
    </w:p>
    <w:p>
      <w:pPr>
        <w:pStyle w:val="8"/>
        <w:spacing w:after="0" w:afterLines="0"/>
        <w:ind w:firstLine="420" w:firstLineChars="200"/>
        <w:rPr>
          <w:rFonts w:ascii="仿宋" w:hAnsi="仿宋" w:eastAsia="仿宋" w:cs="仿宋"/>
          <w:b w:val="0"/>
        </w:rPr>
      </w:pPr>
      <w:r>
        <w:rPr>
          <w:rFonts w:hint="eastAsia" w:ascii="仿宋" w:hAnsi="仿宋" w:eastAsia="仿宋" w:cs="仿宋"/>
          <w:b w:val="0"/>
        </w:rPr>
        <w:t xml:space="preserve">图 </w:t>
      </w:r>
      <w:r>
        <w:rPr>
          <w:rFonts w:hint="eastAsia" w:ascii="仿宋" w:hAnsi="仿宋" w:eastAsia="仿宋" w:cs="仿宋"/>
          <w:b w:val="0"/>
        </w:rPr>
        <w:fldChar w:fldCharType="begin"/>
      </w:r>
      <w:r>
        <w:rPr>
          <w:rFonts w:hint="eastAsia" w:ascii="仿宋" w:hAnsi="仿宋" w:eastAsia="仿宋" w:cs="仿宋"/>
          <w:b w:val="0"/>
        </w:rPr>
        <w:instrText xml:space="preserve"> STYLEREF 1 \s </w:instrText>
      </w:r>
      <w:r>
        <w:rPr>
          <w:rFonts w:hint="eastAsia" w:ascii="仿宋" w:hAnsi="仿宋" w:eastAsia="仿宋" w:cs="仿宋"/>
          <w:b w:val="0"/>
        </w:rPr>
        <w:fldChar w:fldCharType="separate"/>
      </w:r>
      <w:r>
        <w:rPr>
          <w:rFonts w:ascii="仿宋" w:hAnsi="仿宋" w:eastAsia="仿宋" w:cs="仿宋"/>
          <w:b w:val="0"/>
        </w:rPr>
        <w:t>2</w:t>
      </w:r>
      <w:r>
        <w:rPr>
          <w:rFonts w:hint="eastAsia" w:ascii="仿宋" w:hAnsi="仿宋" w:eastAsia="仿宋" w:cs="仿宋"/>
          <w:b w:val="0"/>
        </w:rPr>
        <w:fldChar w:fldCharType="end"/>
      </w:r>
      <w:r>
        <w:rPr>
          <w:rFonts w:hint="eastAsia" w:ascii="仿宋" w:hAnsi="仿宋" w:eastAsia="仿宋" w:cs="仿宋"/>
          <w:b w:val="0"/>
        </w:rPr>
        <w:noBreakHyphen/>
      </w:r>
      <w:r>
        <w:rPr>
          <w:rFonts w:hint="eastAsia" w:ascii="仿宋" w:hAnsi="仿宋" w:eastAsia="仿宋" w:cs="仿宋"/>
          <w:b w:val="0"/>
        </w:rPr>
        <w:fldChar w:fldCharType="begin"/>
      </w:r>
      <w:r>
        <w:rPr>
          <w:rFonts w:hint="eastAsia" w:ascii="仿宋" w:hAnsi="仿宋" w:eastAsia="仿宋" w:cs="仿宋"/>
          <w:b w:val="0"/>
        </w:rPr>
        <w:instrText xml:space="preserve"> SEQ 图 \* ARABIC \s 1 </w:instrText>
      </w:r>
      <w:r>
        <w:rPr>
          <w:rFonts w:hint="eastAsia" w:ascii="仿宋" w:hAnsi="仿宋" w:eastAsia="仿宋" w:cs="仿宋"/>
          <w:b w:val="0"/>
        </w:rPr>
        <w:fldChar w:fldCharType="separate"/>
      </w:r>
      <w:r>
        <w:rPr>
          <w:rFonts w:ascii="仿宋" w:hAnsi="仿宋" w:eastAsia="仿宋" w:cs="仿宋"/>
          <w:b w:val="0"/>
        </w:rPr>
        <w:t>1</w:t>
      </w:r>
      <w:r>
        <w:rPr>
          <w:rFonts w:hint="eastAsia" w:ascii="仿宋" w:hAnsi="仿宋" w:eastAsia="仿宋" w:cs="仿宋"/>
          <w:b w:val="0"/>
        </w:rPr>
        <w:fldChar w:fldCharType="end"/>
      </w:r>
      <w:r>
        <w:rPr>
          <w:rFonts w:hint="eastAsia" w:ascii="仿宋" w:hAnsi="仿宋" w:eastAsia="仿宋" w:cs="仿宋"/>
          <w:b w:val="0"/>
        </w:rPr>
        <w:t xml:space="preserve">  岳阳市行政区划图</w:t>
      </w:r>
    </w:p>
    <w:p>
      <w:pPr>
        <w:spacing w:line="360" w:lineRule="auto"/>
        <w:ind w:firstLine="560" w:firstLineChars="200"/>
        <w:rPr>
          <w:rFonts w:ascii="仿宋" w:hAnsi="仿宋" w:eastAsia="仿宋"/>
          <w:sz w:val="28"/>
          <w:szCs w:val="28"/>
        </w:rPr>
      </w:pPr>
      <w:r>
        <w:rPr>
          <w:rFonts w:ascii="仿宋" w:hAnsi="仿宋" w:eastAsia="仿宋"/>
          <w:bCs/>
          <w:sz w:val="28"/>
          <w:szCs w:val="28"/>
        </w:rPr>
        <w:t>交通区位</w:t>
      </w:r>
      <w:r>
        <w:rPr>
          <w:rFonts w:ascii="仿宋" w:hAnsi="仿宋" w:eastAsia="仿宋"/>
          <w:sz w:val="28"/>
          <w:szCs w:val="28"/>
        </w:rPr>
        <w:t>：岳阳是一座交通枢纽城市。地理位置独特优越，既是湖南省“一带一部”的重要节点城市，也是长江中游水陆运输“金十字架”城市，2018年岳阳三荷机场正式通航，境内高速公路网、干线公路网、干线铁路网及内河水运体系发达，是全国性综合交通枢纽城市。岳阳港是长江航运中的湖南的一站，岳阳港是国家一类水运口岸，城陵矶港是湖南最大的国际集装箱港口。城陵矶顺长江而上可到重庆，顺江而下可到武汉、南京、上海。境内有京广铁路，京广高速铁路，荆岳铁路（在建），岳常铁路（规划），月益铁路华容段，岳九铁路（规划），岳吉铁路（规划）等。</w:t>
      </w:r>
    </w:p>
    <w:p>
      <w:pPr>
        <w:spacing w:line="360" w:lineRule="auto"/>
        <w:ind w:firstLine="560" w:firstLineChars="200"/>
        <w:rPr>
          <w:rFonts w:ascii="仿宋" w:hAnsi="仿宋" w:eastAsia="仿宋"/>
          <w:sz w:val="28"/>
          <w:szCs w:val="28"/>
        </w:rPr>
      </w:pPr>
      <w:r>
        <w:rPr>
          <w:rFonts w:ascii="仿宋" w:hAnsi="仿宋" w:eastAsia="仿宋"/>
          <w:bCs/>
          <w:sz w:val="28"/>
          <w:szCs w:val="28"/>
        </w:rPr>
        <w:t>气候特点</w:t>
      </w:r>
      <w:r>
        <w:rPr>
          <w:rFonts w:ascii="仿宋" w:hAnsi="仿宋" w:eastAsia="仿宋"/>
          <w:sz w:val="28"/>
          <w:szCs w:val="28"/>
        </w:rPr>
        <w:t>：岳阳市处在东亚季风气候区中，气候带上具有中亚热带向北亚热带过渡性质，属湿润的大陆性季风气候。其主要特征：温暖湿润，四季分明，季节性强；热量丰富，严寒期短、无霜期长，春温多变，盛夏酷热；雨水充沛，雨季明显，降水集中；“湖陆风”盛行，“洞庭秋月”明；湖区气候均一，山地气候悬殊。</w:t>
      </w:r>
    </w:p>
    <w:p>
      <w:pPr>
        <w:spacing w:line="360" w:lineRule="auto"/>
        <w:ind w:firstLine="560" w:firstLineChars="200"/>
        <w:rPr>
          <w:rFonts w:ascii="仿宋" w:hAnsi="仿宋" w:eastAsia="仿宋"/>
          <w:sz w:val="28"/>
          <w:szCs w:val="28"/>
        </w:rPr>
      </w:pPr>
      <w:r>
        <w:rPr>
          <w:rFonts w:ascii="仿宋" w:hAnsi="仿宋" w:eastAsia="仿宋"/>
          <w:bCs/>
          <w:sz w:val="28"/>
          <w:szCs w:val="28"/>
        </w:rPr>
        <w:t>资源概况</w:t>
      </w:r>
      <w:r>
        <w:rPr>
          <w:rFonts w:ascii="仿宋" w:hAnsi="仿宋" w:eastAsia="仿宋"/>
          <w:sz w:val="28"/>
          <w:szCs w:val="28"/>
        </w:rPr>
        <w:t>：岳阳市境内矿产资源比较丰富，矿藏、矿点近200处，其种类可划分为四类：一是金属矿产，有黄金、铅、钒、铁、锰、铜、钨、锡、锑等。二是非金属矿产，有白云石、萤石、钾长石、重晶石、耐火粘土、高岭土、石英、白云母、磷、草炭、大理石、石膏、花岗岩、石灰石、烟煤等。三是稀有及轻稀土金属矿产，有铌、钽、铍、锂、铷、铯、独居石等。四是地下矿泉水与热水，境内矿泉水达到饮料标准的有近30处；达到命名标准的近10处，其中温泉命名的有2处，分布地点在岳阳、汨罗、华容、平江等地。</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80" w:name="_Toc101299795"/>
      <w:bookmarkStart w:id="81" w:name="_Toc68014573"/>
      <w:bookmarkStart w:id="82" w:name="_Toc101299796"/>
      <w:r>
        <w:rPr>
          <w:rFonts w:ascii="仿宋" w:hAnsi="仿宋" w:eastAsia="仿宋"/>
          <w:color w:val="auto"/>
          <w:szCs w:val="22"/>
        </w:rPr>
        <w:t>经济发展概况</w:t>
      </w:r>
      <w:bookmarkEnd w:id="80"/>
    </w:p>
    <w:p>
      <w:pPr>
        <w:spacing w:line="360" w:lineRule="auto"/>
        <w:ind w:firstLine="560" w:firstLineChars="200"/>
        <w:rPr>
          <w:rFonts w:ascii="仿宋" w:hAnsi="仿宋" w:eastAsia="仿宋"/>
          <w:sz w:val="28"/>
          <w:szCs w:val="28"/>
        </w:rPr>
      </w:pPr>
      <w:r>
        <w:rPr>
          <w:rFonts w:ascii="仿宋" w:hAnsi="仿宋" w:eastAsia="仿宋"/>
          <w:bCs/>
          <w:sz w:val="28"/>
          <w:szCs w:val="28"/>
        </w:rPr>
        <w:t>综合实力稳步提升</w:t>
      </w:r>
      <w:r>
        <w:rPr>
          <w:rFonts w:ascii="仿宋" w:hAnsi="仿宋" w:eastAsia="仿宋"/>
          <w:sz w:val="28"/>
          <w:szCs w:val="28"/>
        </w:rPr>
        <w:t>。岳阳地区生产总值从2015年的2886.3亿元增加到2020年的4001.55亿元，连续跨越3000亿元和4000亿元2个台阶，年均增长7.1%，总量稳居全省第二，在中部地区处于前列；2020年，全市人均GDP达到6.9万元，是2015年的1.35倍。岳阳进入国家区域性中心城市和湖南省大城市行列，被确定为省域副中心城市，连续多年跻身“中国城市GDP百强榜”。</w:t>
      </w:r>
    </w:p>
    <w:p>
      <w:pPr>
        <w:pStyle w:val="8"/>
        <w:spacing w:after="0" w:afterLines="0" w:line="240" w:lineRule="auto"/>
        <w:rPr>
          <w:rFonts w:ascii="仿宋" w:hAnsi="仿宋" w:eastAsia="仿宋" w:cs="仿宋"/>
          <w:b w:val="0"/>
        </w:rPr>
      </w:pPr>
      <w:r>
        <w:rPr>
          <w:rFonts w:hint="eastAsia" w:ascii="仿宋" w:hAnsi="仿宋" w:eastAsia="仿宋" w:cs="仿宋"/>
          <w:b w:val="0"/>
        </w:rPr>
        <w:t xml:space="preserve">表 </w:t>
      </w:r>
      <w:r>
        <w:rPr>
          <w:rFonts w:hint="eastAsia" w:ascii="仿宋" w:hAnsi="仿宋" w:eastAsia="仿宋" w:cs="仿宋"/>
          <w:b w:val="0"/>
        </w:rPr>
        <w:fldChar w:fldCharType="begin"/>
      </w:r>
      <w:r>
        <w:rPr>
          <w:rFonts w:hint="eastAsia" w:ascii="仿宋" w:hAnsi="仿宋" w:eastAsia="仿宋" w:cs="仿宋"/>
          <w:b w:val="0"/>
        </w:rPr>
        <w:instrText xml:space="preserve"> STYLEREF 1 \s </w:instrText>
      </w:r>
      <w:r>
        <w:rPr>
          <w:rFonts w:hint="eastAsia" w:ascii="仿宋" w:hAnsi="仿宋" w:eastAsia="仿宋" w:cs="仿宋"/>
          <w:b w:val="0"/>
        </w:rPr>
        <w:fldChar w:fldCharType="separate"/>
      </w:r>
      <w:r>
        <w:rPr>
          <w:rFonts w:ascii="仿宋" w:hAnsi="仿宋" w:eastAsia="仿宋" w:cs="仿宋"/>
          <w:b w:val="0"/>
        </w:rPr>
        <w:t>2</w:t>
      </w:r>
      <w:r>
        <w:rPr>
          <w:rFonts w:hint="eastAsia" w:ascii="仿宋" w:hAnsi="仿宋" w:eastAsia="仿宋" w:cs="仿宋"/>
          <w:b w:val="0"/>
        </w:rPr>
        <w:fldChar w:fldCharType="end"/>
      </w:r>
      <w:r>
        <w:rPr>
          <w:rFonts w:hint="eastAsia" w:ascii="仿宋" w:hAnsi="仿宋" w:eastAsia="仿宋" w:cs="仿宋"/>
          <w:b w:val="0"/>
        </w:rPr>
        <w:noBreakHyphen/>
      </w:r>
      <w:r>
        <w:rPr>
          <w:rFonts w:hint="eastAsia" w:ascii="仿宋" w:hAnsi="仿宋" w:eastAsia="仿宋" w:cs="仿宋"/>
          <w:b w:val="0"/>
        </w:rPr>
        <w:fldChar w:fldCharType="begin"/>
      </w:r>
      <w:r>
        <w:rPr>
          <w:rFonts w:hint="eastAsia" w:ascii="仿宋" w:hAnsi="仿宋" w:eastAsia="仿宋" w:cs="仿宋"/>
          <w:b w:val="0"/>
        </w:rPr>
        <w:instrText xml:space="preserve"> SEQ 表 \* ARABIC \s 1 </w:instrText>
      </w:r>
      <w:r>
        <w:rPr>
          <w:rFonts w:hint="eastAsia" w:ascii="仿宋" w:hAnsi="仿宋" w:eastAsia="仿宋" w:cs="仿宋"/>
          <w:b w:val="0"/>
        </w:rPr>
        <w:fldChar w:fldCharType="separate"/>
      </w:r>
      <w:r>
        <w:rPr>
          <w:rFonts w:ascii="仿宋" w:hAnsi="仿宋" w:eastAsia="仿宋" w:cs="仿宋"/>
          <w:b w:val="0"/>
        </w:rPr>
        <w:t>1</w:t>
      </w:r>
      <w:r>
        <w:rPr>
          <w:rFonts w:hint="eastAsia" w:ascii="仿宋" w:hAnsi="仿宋" w:eastAsia="仿宋" w:cs="仿宋"/>
          <w:b w:val="0"/>
        </w:rPr>
        <w:fldChar w:fldCharType="end"/>
      </w:r>
      <w:r>
        <w:rPr>
          <w:rFonts w:hint="eastAsia" w:ascii="仿宋" w:hAnsi="仿宋" w:eastAsia="仿宋" w:cs="仿宋"/>
          <w:b w:val="0"/>
        </w:rPr>
        <w:t xml:space="preserve">  岳阳市经济社会历史发展情况</w:t>
      </w:r>
    </w:p>
    <w:tbl>
      <w:tblPr>
        <w:tblStyle w:val="25"/>
        <w:tblW w:w="8296" w:type="dxa"/>
        <w:tblInd w:w="0" w:type="dxa"/>
        <w:tblLayout w:type="fixed"/>
        <w:tblCellMar>
          <w:top w:w="0" w:type="dxa"/>
          <w:left w:w="108" w:type="dxa"/>
          <w:bottom w:w="0" w:type="dxa"/>
          <w:right w:w="108" w:type="dxa"/>
        </w:tblCellMar>
      </w:tblPr>
      <w:tblGrid>
        <w:gridCol w:w="1272"/>
        <w:gridCol w:w="1133"/>
        <w:gridCol w:w="1558"/>
        <w:gridCol w:w="1276"/>
        <w:gridCol w:w="1419"/>
        <w:gridCol w:w="1638"/>
      </w:tblGrid>
      <w:tr>
        <w:tblPrEx>
          <w:tblCellMar>
            <w:top w:w="0" w:type="dxa"/>
            <w:left w:w="108" w:type="dxa"/>
            <w:bottom w:w="0" w:type="dxa"/>
            <w:right w:w="108" w:type="dxa"/>
          </w:tblCellMar>
        </w:tblPrEx>
        <w:trPr>
          <w:trHeight w:val="340" w:hRule="atLeast"/>
          <w:tblHeader/>
        </w:trPr>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1133"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土地面积（km2）</w:t>
            </w:r>
          </w:p>
        </w:tc>
        <w:tc>
          <w:tcPr>
            <w:tcW w:w="155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GDP（亿元）</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常住人口（万人）</w:t>
            </w:r>
          </w:p>
        </w:tc>
        <w:tc>
          <w:tcPr>
            <w:tcW w:w="141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人均GDP（万元/人）</w:t>
            </w:r>
          </w:p>
        </w:tc>
        <w:tc>
          <w:tcPr>
            <w:tcW w:w="163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城镇化率（%）</w:t>
            </w:r>
          </w:p>
        </w:tc>
      </w:tr>
      <w:tr>
        <w:tblPrEx>
          <w:tblCellMar>
            <w:top w:w="0" w:type="dxa"/>
            <w:left w:w="108" w:type="dxa"/>
            <w:bottom w:w="0" w:type="dxa"/>
            <w:right w:w="108" w:type="dxa"/>
          </w:tblCellMar>
        </w:tblPrEx>
        <w:trPr>
          <w:trHeight w:val="340" w:hRule="atLeast"/>
        </w:trPr>
        <w:tc>
          <w:tcPr>
            <w:tcW w:w="1272" w:type="dxa"/>
            <w:tcBorders>
              <w:top w:val="nil"/>
              <w:left w:val="single" w:color="auto" w:sz="4" w:space="0"/>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2016</w:t>
            </w:r>
          </w:p>
        </w:tc>
        <w:tc>
          <w:tcPr>
            <w:tcW w:w="1133"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15019</w:t>
            </w:r>
          </w:p>
        </w:tc>
        <w:tc>
          <w:tcPr>
            <w:tcW w:w="155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3100.87</w:t>
            </w:r>
          </w:p>
        </w:tc>
        <w:tc>
          <w:tcPr>
            <w:tcW w:w="1276"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568.11</w:t>
            </w:r>
          </w:p>
        </w:tc>
        <w:tc>
          <w:tcPr>
            <w:tcW w:w="1419"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5.46</w:t>
            </w:r>
          </w:p>
        </w:tc>
        <w:tc>
          <w:tcPr>
            <w:tcW w:w="163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55.62</w:t>
            </w:r>
          </w:p>
        </w:tc>
      </w:tr>
      <w:tr>
        <w:tblPrEx>
          <w:tblCellMar>
            <w:top w:w="0" w:type="dxa"/>
            <w:left w:w="108" w:type="dxa"/>
            <w:bottom w:w="0" w:type="dxa"/>
            <w:right w:w="108" w:type="dxa"/>
          </w:tblCellMar>
        </w:tblPrEx>
        <w:trPr>
          <w:trHeight w:val="340" w:hRule="atLeast"/>
        </w:trPr>
        <w:tc>
          <w:tcPr>
            <w:tcW w:w="1272" w:type="dxa"/>
            <w:tcBorders>
              <w:top w:val="nil"/>
              <w:left w:val="single" w:color="auto" w:sz="4" w:space="0"/>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2017</w:t>
            </w:r>
          </w:p>
        </w:tc>
        <w:tc>
          <w:tcPr>
            <w:tcW w:w="1133"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15019</w:t>
            </w:r>
          </w:p>
        </w:tc>
        <w:tc>
          <w:tcPr>
            <w:tcW w:w="155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3258.03</w:t>
            </w:r>
          </w:p>
        </w:tc>
        <w:tc>
          <w:tcPr>
            <w:tcW w:w="1276"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573.33</w:t>
            </w:r>
          </w:p>
        </w:tc>
        <w:tc>
          <w:tcPr>
            <w:tcW w:w="1419"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5.68</w:t>
            </w:r>
          </w:p>
        </w:tc>
        <w:tc>
          <w:tcPr>
            <w:tcW w:w="163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57.21</w:t>
            </w:r>
          </w:p>
        </w:tc>
      </w:tr>
      <w:tr>
        <w:tblPrEx>
          <w:tblCellMar>
            <w:top w:w="0" w:type="dxa"/>
            <w:left w:w="108" w:type="dxa"/>
            <w:bottom w:w="0" w:type="dxa"/>
            <w:right w:w="108" w:type="dxa"/>
          </w:tblCellMar>
        </w:tblPrEx>
        <w:trPr>
          <w:trHeight w:val="340" w:hRule="atLeast"/>
        </w:trPr>
        <w:tc>
          <w:tcPr>
            <w:tcW w:w="1272" w:type="dxa"/>
            <w:tcBorders>
              <w:top w:val="nil"/>
              <w:left w:val="single" w:color="auto" w:sz="4" w:space="0"/>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2018</w:t>
            </w:r>
          </w:p>
        </w:tc>
        <w:tc>
          <w:tcPr>
            <w:tcW w:w="1133"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15019</w:t>
            </w:r>
          </w:p>
        </w:tc>
        <w:tc>
          <w:tcPr>
            <w:tcW w:w="155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3411.01</w:t>
            </w:r>
          </w:p>
        </w:tc>
        <w:tc>
          <w:tcPr>
            <w:tcW w:w="1276"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579.71</w:t>
            </w:r>
          </w:p>
        </w:tc>
        <w:tc>
          <w:tcPr>
            <w:tcW w:w="1419"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5.88</w:t>
            </w:r>
          </w:p>
        </w:tc>
        <w:tc>
          <w:tcPr>
            <w:tcW w:w="163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58</w:t>
            </w:r>
          </w:p>
        </w:tc>
      </w:tr>
      <w:tr>
        <w:tblPrEx>
          <w:tblCellMar>
            <w:top w:w="0" w:type="dxa"/>
            <w:left w:w="108" w:type="dxa"/>
            <w:bottom w:w="0" w:type="dxa"/>
            <w:right w:w="108" w:type="dxa"/>
          </w:tblCellMar>
        </w:tblPrEx>
        <w:trPr>
          <w:trHeight w:val="340" w:hRule="atLeast"/>
        </w:trPr>
        <w:tc>
          <w:tcPr>
            <w:tcW w:w="1272" w:type="dxa"/>
            <w:tcBorders>
              <w:top w:val="nil"/>
              <w:left w:val="single" w:color="auto" w:sz="4" w:space="0"/>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2019</w:t>
            </w:r>
          </w:p>
        </w:tc>
        <w:tc>
          <w:tcPr>
            <w:tcW w:w="1133"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15019</w:t>
            </w:r>
          </w:p>
        </w:tc>
        <w:tc>
          <w:tcPr>
            <w:tcW w:w="155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3780.41</w:t>
            </w:r>
          </w:p>
        </w:tc>
        <w:tc>
          <w:tcPr>
            <w:tcW w:w="1276"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577.13</w:t>
            </w:r>
          </w:p>
        </w:tc>
        <w:tc>
          <w:tcPr>
            <w:tcW w:w="1419"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6.55</w:t>
            </w:r>
          </w:p>
        </w:tc>
        <w:tc>
          <w:tcPr>
            <w:tcW w:w="163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59.2</w:t>
            </w:r>
          </w:p>
        </w:tc>
      </w:tr>
      <w:tr>
        <w:tblPrEx>
          <w:tblCellMar>
            <w:top w:w="0" w:type="dxa"/>
            <w:left w:w="108" w:type="dxa"/>
            <w:bottom w:w="0" w:type="dxa"/>
            <w:right w:w="108" w:type="dxa"/>
          </w:tblCellMar>
        </w:tblPrEx>
        <w:trPr>
          <w:trHeight w:val="340" w:hRule="atLeast"/>
        </w:trPr>
        <w:tc>
          <w:tcPr>
            <w:tcW w:w="1272" w:type="dxa"/>
            <w:tcBorders>
              <w:top w:val="nil"/>
              <w:left w:val="single" w:color="auto" w:sz="4" w:space="0"/>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2020</w:t>
            </w:r>
          </w:p>
        </w:tc>
        <w:tc>
          <w:tcPr>
            <w:tcW w:w="1133"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15019</w:t>
            </w:r>
          </w:p>
        </w:tc>
        <w:tc>
          <w:tcPr>
            <w:tcW w:w="155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4001.55</w:t>
            </w:r>
          </w:p>
        </w:tc>
        <w:tc>
          <w:tcPr>
            <w:tcW w:w="1276"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505.19</w:t>
            </w:r>
          </w:p>
        </w:tc>
        <w:tc>
          <w:tcPr>
            <w:tcW w:w="1419"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7.92</w:t>
            </w:r>
          </w:p>
        </w:tc>
        <w:tc>
          <w:tcPr>
            <w:tcW w:w="1638" w:type="dxa"/>
            <w:tcBorders>
              <w:top w:val="nil"/>
              <w:left w:val="nil"/>
              <w:bottom w:val="single" w:color="auto" w:sz="4" w:space="0"/>
              <w:right w:val="single" w:color="auto" w:sz="4" w:space="0"/>
            </w:tcBorders>
            <w:shd w:val="clear" w:color="auto" w:fill="auto"/>
          </w:tcPr>
          <w:p>
            <w:pPr>
              <w:jc w:val="center"/>
              <w:rPr>
                <w:rFonts w:ascii="仿宋" w:hAnsi="仿宋" w:eastAsia="仿宋"/>
              </w:rPr>
            </w:pPr>
            <w:r>
              <w:rPr>
                <w:rFonts w:ascii="仿宋" w:hAnsi="仿宋" w:eastAsia="仿宋"/>
              </w:rPr>
              <w:t>60.66</w:t>
            </w:r>
          </w:p>
        </w:tc>
      </w:tr>
    </w:tbl>
    <w:p>
      <w:pPr>
        <w:pStyle w:val="8"/>
        <w:spacing w:after="156"/>
        <w:rPr>
          <w:rFonts w:ascii="仿宋" w:hAnsi="仿宋" w:eastAsia="仿宋"/>
          <w:b w:val="0"/>
        </w:rPr>
      </w:pPr>
      <w:r>
        <w:rPr>
          <w:rFonts w:ascii="仿宋" w:hAnsi="仿宋" w:eastAsia="仿宋"/>
          <w:b w:val="0"/>
        </w:rPr>
        <w:drawing>
          <wp:inline distT="0" distB="0" distL="0" distR="0">
            <wp:extent cx="4572000" cy="2743200"/>
            <wp:effectExtent l="4445" t="4445" r="14605" b="1460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8"/>
        <w:spacing w:after="0" w:afterLines="0" w:line="240" w:lineRule="auto"/>
        <w:rPr>
          <w:rFonts w:ascii="仿宋" w:hAnsi="仿宋" w:eastAsia="仿宋" w:cs="仿宋"/>
          <w:b w:val="0"/>
        </w:rPr>
      </w:pPr>
      <w:r>
        <w:rPr>
          <w:rFonts w:hint="eastAsia" w:ascii="仿宋" w:hAnsi="仿宋" w:eastAsia="仿宋" w:cs="仿宋"/>
          <w:b w:val="0"/>
        </w:rPr>
        <w:t xml:space="preserve">图 </w:t>
      </w:r>
      <w:r>
        <w:rPr>
          <w:rFonts w:hint="eastAsia" w:ascii="仿宋" w:hAnsi="仿宋" w:eastAsia="仿宋" w:cs="仿宋"/>
          <w:b w:val="0"/>
        </w:rPr>
        <w:fldChar w:fldCharType="begin"/>
      </w:r>
      <w:r>
        <w:rPr>
          <w:rFonts w:hint="eastAsia" w:ascii="仿宋" w:hAnsi="仿宋" w:eastAsia="仿宋" w:cs="仿宋"/>
          <w:b w:val="0"/>
        </w:rPr>
        <w:instrText xml:space="preserve"> STYLEREF 1 \s </w:instrText>
      </w:r>
      <w:r>
        <w:rPr>
          <w:rFonts w:hint="eastAsia" w:ascii="仿宋" w:hAnsi="仿宋" w:eastAsia="仿宋" w:cs="仿宋"/>
          <w:b w:val="0"/>
        </w:rPr>
        <w:fldChar w:fldCharType="separate"/>
      </w:r>
      <w:r>
        <w:rPr>
          <w:rFonts w:ascii="仿宋" w:hAnsi="仿宋" w:eastAsia="仿宋" w:cs="仿宋"/>
          <w:b w:val="0"/>
        </w:rPr>
        <w:t>2</w:t>
      </w:r>
      <w:r>
        <w:rPr>
          <w:rFonts w:hint="eastAsia" w:ascii="仿宋" w:hAnsi="仿宋" w:eastAsia="仿宋" w:cs="仿宋"/>
          <w:b w:val="0"/>
        </w:rPr>
        <w:fldChar w:fldCharType="end"/>
      </w:r>
      <w:r>
        <w:rPr>
          <w:rFonts w:hint="eastAsia" w:ascii="仿宋" w:hAnsi="仿宋" w:eastAsia="仿宋" w:cs="仿宋"/>
          <w:b w:val="0"/>
        </w:rPr>
        <w:noBreakHyphen/>
      </w:r>
      <w:r>
        <w:rPr>
          <w:rFonts w:hint="eastAsia" w:ascii="仿宋" w:hAnsi="仿宋" w:eastAsia="仿宋" w:cs="仿宋"/>
          <w:b w:val="0"/>
        </w:rPr>
        <w:fldChar w:fldCharType="begin"/>
      </w:r>
      <w:r>
        <w:rPr>
          <w:rFonts w:hint="eastAsia" w:ascii="仿宋" w:hAnsi="仿宋" w:eastAsia="仿宋" w:cs="仿宋"/>
          <w:b w:val="0"/>
        </w:rPr>
        <w:instrText xml:space="preserve"> SEQ 图 \* ARABIC \s 1 </w:instrText>
      </w:r>
      <w:r>
        <w:rPr>
          <w:rFonts w:hint="eastAsia" w:ascii="仿宋" w:hAnsi="仿宋" w:eastAsia="仿宋" w:cs="仿宋"/>
          <w:b w:val="0"/>
        </w:rPr>
        <w:fldChar w:fldCharType="separate"/>
      </w:r>
      <w:r>
        <w:rPr>
          <w:rFonts w:ascii="仿宋" w:hAnsi="仿宋" w:eastAsia="仿宋" w:cs="仿宋"/>
          <w:b w:val="0"/>
        </w:rPr>
        <w:t>2</w:t>
      </w:r>
      <w:r>
        <w:rPr>
          <w:rFonts w:hint="eastAsia" w:ascii="仿宋" w:hAnsi="仿宋" w:eastAsia="仿宋" w:cs="仿宋"/>
          <w:b w:val="0"/>
        </w:rPr>
        <w:fldChar w:fldCharType="end"/>
      </w:r>
      <w:r>
        <w:rPr>
          <w:rFonts w:hint="eastAsia" w:ascii="仿宋" w:hAnsi="仿宋" w:eastAsia="仿宋" w:cs="仿宋"/>
          <w:b w:val="0"/>
        </w:rPr>
        <w:t xml:space="preserve">  2016-2020年全市地区生产总值及增长速度</w:t>
      </w:r>
    </w:p>
    <w:p>
      <w:pPr>
        <w:spacing w:line="360" w:lineRule="auto"/>
        <w:ind w:firstLine="560" w:firstLineChars="200"/>
        <w:rPr>
          <w:rFonts w:ascii="仿宋" w:hAnsi="仿宋" w:eastAsia="仿宋"/>
          <w:sz w:val="28"/>
          <w:szCs w:val="28"/>
        </w:rPr>
      </w:pPr>
      <w:r>
        <w:rPr>
          <w:rFonts w:ascii="仿宋" w:hAnsi="仿宋" w:eastAsia="仿宋"/>
          <w:bCs/>
          <w:sz w:val="28"/>
          <w:szCs w:val="28"/>
        </w:rPr>
        <w:t>产业发展迈开新路</w:t>
      </w:r>
      <w:r>
        <w:rPr>
          <w:rFonts w:ascii="仿宋" w:hAnsi="仿宋" w:eastAsia="仿宋"/>
          <w:sz w:val="28"/>
          <w:szCs w:val="28"/>
        </w:rPr>
        <w:t>。新型工业化成效显著，新金宝年产1300万台喷墨打印机、己内酰胺产业链搬迁与升级转型发展等一批重大产业项目落地实施，新型功能材料产业集群列入国家战略性产业集群名单，城陵矶新港区获批国家先进装备制造高新技术产业化基地，湖南工程机械配套产业园落户汨罗。现代服务业提速发展，现代物流、文化旅游产业成为千亿产业，岳阳获批港口型国家物流枢纽，平江县获批首批省级全域旅游示范区，屈子文化园获批4A级景区；金融体系更加完善，股份制商业银行达到7家，上市企业数量达到11家，居全省第二位。农业现代化深入推进，农业产业化龙头企业达到285家、“两品一标”有效数达到263个。</w:t>
      </w:r>
    </w:p>
    <w:p>
      <w:pPr>
        <w:spacing w:line="360" w:lineRule="auto"/>
        <w:ind w:firstLine="560" w:firstLineChars="200"/>
        <w:rPr>
          <w:rFonts w:ascii="仿宋" w:hAnsi="仿宋" w:eastAsia="仿宋"/>
          <w:sz w:val="28"/>
          <w:szCs w:val="28"/>
        </w:rPr>
      </w:pPr>
      <w:r>
        <w:rPr>
          <w:rFonts w:ascii="仿宋" w:hAnsi="仿宋" w:eastAsia="仿宋"/>
          <w:bCs/>
          <w:sz w:val="28"/>
          <w:szCs w:val="28"/>
        </w:rPr>
        <w:t>开放崛起取得突破</w:t>
      </w:r>
      <w:r>
        <w:rPr>
          <w:rFonts w:ascii="仿宋" w:hAnsi="仿宋" w:eastAsia="仿宋"/>
          <w:sz w:val="28"/>
          <w:szCs w:val="28"/>
        </w:rPr>
        <w:t>。口岸平台功能明显增强，口岸经济持续升温加力，先后获批国家跨境电商综合试验区、湖南自贸区岳阳片区，城陵矶新港二期工程竣工，城陵矶港获批汽车平行进口试点，岳阳航运交易中心挂牌成立，国际贸易“单一窗口”上线运行，首届湖南（岳阳）口岸经贸博览会成功举办。三荷机场通航运营，2020年完成旅客吞吐量达到56.4万人次，三荷机场改扩建、航空口岸申报、通用航空建设有序推进，“双港驱动”发展格局初具雏形。全市进出口总额达到419.84亿元，总量跃升至全省第2位，城陵矶新港集装箱吞吐量达到50.87万标箱，岳阳连续三年入围“中国外贸百强城市”榜单。</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r>
        <w:rPr>
          <w:rFonts w:ascii="仿宋" w:hAnsi="仿宋" w:eastAsia="仿宋"/>
          <w:color w:val="auto"/>
          <w:szCs w:val="22"/>
        </w:rPr>
        <w:t>规划情况</w:t>
      </w:r>
      <w:bookmarkEnd w:id="81"/>
      <w:bookmarkEnd w:id="82"/>
    </w:p>
    <w:p>
      <w:pPr>
        <w:pStyle w:val="4"/>
        <w:spacing w:before="0" w:after="0" w:line="560" w:lineRule="exact"/>
        <w:rPr>
          <w:rFonts w:ascii="仿宋" w:hAnsi="仿宋" w:eastAsia="仿宋"/>
        </w:rPr>
      </w:pPr>
      <w:r>
        <w:rPr>
          <w:rFonts w:ascii="仿宋" w:hAnsi="仿宋" w:eastAsia="仿宋"/>
        </w:rPr>
        <w:t>城市发展规划</w:t>
      </w:r>
    </w:p>
    <w:p>
      <w:pPr>
        <w:spacing w:line="360" w:lineRule="auto"/>
        <w:ind w:firstLine="560" w:firstLineChars="200"/>
        <w:rPr>
          <w:rFonts w:ascii="仿宋" w:hAnsi="仿宋" w:eastAsia="仿宋"/>
          <w:sz w:val="28"/>
          <w:szCs w:val="28"/>
        </w:rPr>
      </w:pPr>
      <w:r>
        <w:rPr>
          <w:rFonts w:ascii="仿宋" w:hAnsi="仿宋" w:eastAsia="仿宋"/>
          <w:sz w:val="28"/>
          <w:szCs w:val="28"/>
        </w:rPr>
        <w:t>根据《岳阳市国民经济和社会发展第十四个五年规划和二〇三五年远景目标纲要》，全市大力实施“三高四新”战略，做优做强七大千亿产业，扎实推进“三区一中心”建设，着力打造长江经济带绿色发展示范区、中部地区先进制造业聚集区、湖南通江达海开放引领区，加快建设现代化省域副中心城市。</w:t>
      </w:r>
    </w:p>
    <w:p>
      <w:pPr>
        <w:spacing w:line="360" w:lineRule="auto"/>
        <w:ind w:firstLine="560" w:firstLineChars="200"/>
        <w:rPr>
          <w:rFonts w:ascii="仿宋" w:hAnsi="仿宋" w:eastAsia="仿宋"/>
          <w:sz w:val="28"/>
          <w:szCs w:val="28"/>
        </w:rPr>
      </w:pPr>
      <w:r>
        <w:rPr>
          <w:rFonts w:ascii="仿宋" w:hAnsi="仿宋" w:eastAsia="仿宋"/>
          <w:sz w:val="28"/>
          <w:szCs w:val="28"/>
        </w:rPr>
        <w:t>“十四五”期间，岳阳市地区生产总值预期增速7.5%；居民人均可支配收入7.5%以上；预计至“十四五”末岳阳市常住人口城镇化率达到65%。</w:t>
      </w:r>
    </w:p>
    <w:p>
      <w:pPr>
        <w:pStyle w:val="8"/>
        <w:spacing w:after="0" w:afterLines="0" w:line="240" w:lineRule="auto"/>
        <w:rPr>
          <w:rFonts w:ascii="仿宋" w:hAnsi="仿宋" w:eastAsia="仿宋" w:cs="仿宋"/>
          <w:b w:val="0"/>
        </w:rPr>
      </w:pPr>
      <w:r>
        <w:rPr>
          <w:rFonts w:hint="eastAsia" w:ascii="仿宋" w:hAnsi="仿宋" w:eastAsia="仿宋" w:cs="仿宋"/>
          <w:b w:val="0"/>
        </w:rPr>
        <w:t xml:space="preserve">表 </w:t>
      </w:r>
      <w:r>
        <w:rPr>
          <w:rFonts w:hint="eastAsia" w:ascii="仿宋" w:hAnsi="仿宋" w:eastAsia="仿宋" w:cs="仿宋"/>
          <w:b w:val="0"/>
        </w:rPr>
        <w:fldChar w:fldCharType="begin"/>
      </w:r>
      <w:r>
        <w:rPr>
          <w:rFonts w:hint="eastAsia" w:ascii="仿宋" w:hAnsi="仿宋" w:eastAsia="仿宋" w:cs="仿宋"/>
          <w:b w:val="0"/>
        </w:rPr>
        <w:instrText xml:space="preserve"> STYLEREF 1 \s </w:instrText>
      </w:r>
      <w:r>
        <w:rPr>
          <w:rFonts w:hint="eastAsia" w:ascii="仿宋" w:hAnsi="仿宋" w:eastAsia="仿宋" w:cs="仿宋"/>
          <w:b w:val="0"/>
        </w:rPr>
        <w:fldChar w:fldCharType="separate"/>
      </w:r>
      <w:r>
        <w:rPr>
          <w:rFonts w:ascii="仿宋" w:hAnsi="仿宋" w:eastAsia="仿宋" w:cs="仿宋"/>
          <w:b w:val="0"/>
        </w:rPr>
        <w:t>2</w:t>
      </w:r>
      <w:r>
        <w:rPr>
          <w:rFonts w:hint="eastAsia" w:ascii="仿宋" w:hAnsi="仿宋" w:eastAsia="仿宋" w:cs="仿宋"/>
          <w:b w:val="0"/>
        </w:rPr>
        <w:fldChar w:fldCharType="end"/>
      </w:r>
      <w:r>
        <w:rPr>
          <w:rFonts w:hint="eastAsia" w:ascii="仿宋" w:hAnsi="仿宋" w:eastAsia="仿宋" w:cs="仿宋"/>
          <w:b w:val="0"/>
        </w:rPr>
        <w:noBreakHyphen/>
      </w:r>
      <w:r>
        <w:rPr>
          <w:rFonts w:hint="eastAsia" w:ascii="仿宋" w:hAnsi="仿宋" w:eastAsia="仿宋" w:cs="仿宋"/>
          <w:b w:val="0"/>
        </w:rPr>
        <w:t>2  岳阳市“十四五”经济社会发展主要指标</w:t>
      </w:r>
    </w:p>
    <w:tbl>
      <w:tblPr>
        <w:tblStyle w:val="25"/>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57"/>
        <w:gridCol w:w="430"/>
        <w:gridCol w:w="3828"/>
        <w:gridCol w:w="850"/>
        <w:gridCol w:w="851"/>
        <w:gridCol w:w="1153"/>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1" w:hRule="atLeast"/>
        </w:trPr>
        <w:tc>
          <w:tcPr>
            <w:tcW w:w="557"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类别</w:t>
            </w:r>
          </w:p>
        </w:tc>
        <w:tc>
          <w:tcPr>
            <w:tcW w:w="430"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序号</w:t>
            </w:r>
          </w:p>
        </w:tc>
        <w:tc>
          <w:tcPr>
            <w:tcW w:w="3828"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指标名称</w:t>
            </w:r>
          </w:p>
        </w:tc>
        <w:tc>
          <w:tcPr>
            <w:tcW w:w="850"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2020年</w:t>
            </w:r>
          </w:p>
        </w:tc>
        <w:tc>
          <w:tcPr>
            <w:tcW w:w="851"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2025年</w:t>
            </w:r>
          </w:p>
        </w:tc>
        <w:tc>
          <w:tcPr>
            <w:tcW w:w="1153"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年均增速</w:t>
            </w:r>
          </w:p>
        </w:tc>
        <w:tc>
          <w:tcPr>
            <w:tcW w:w="921" w:type="dxa"/>
            <w:tcMar>
              <w:top w:w="57" w:type="dxa"/>
              <w:left w:w="57" w:type="dxa"/>
              <w:bottom w:w="57" w:type="dxa"/>
              <w:right w:w="57" w:type="dxa"/>
            </w:tcMar>
            <w:vAlign w:val="center"/>
          </w:tcPr>
          <w:p>
            <w:pPr>
              <w:pStyle w:val="37"/>
              <w:rPr>
                <w:rFonts w:ascii="仿宋" w:hAnsi="仿宋" w:eastAsia="仿宋" w:cs="Times New Roman"/>
              </w:rPr>
            </w:pPr>
            <w:r>
              <w:rPr>
                <w:rFonts w:ascii="仿宋" w:hAnsi="仿宋" w:eastAsia="仿宋" w:cs="Times New Roman"/>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restart"/>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经济</w:t>
            </w:r>
          </w:p>
          <w:p>
            <w:pPr>
              <w:pStyle w:val="37"/>
              <w:rPr>
                <w:rFonts w:ascii="仿宋" w:hAnsi="仿宋" w:eastAsia="仿宋" w:cs="Times New Roman"/>
                <w:bCs w:val="0"/>
              </w:rPr>
            </w:pPr>
            <w:r>
              <w:rPr>
                <w:rFonts w:ascii="仿宋" w:hAnsi="仿宋" w:eastAsia="仿宋" w:cs="Times New Roman"/>
                <w:bCs w:val="0"/>
              </w:rPr>
              <w:t>发展</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地区生产总值增长（%）</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4.2</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7.5</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全员劳动生产率增长（%）</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7.5以上</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3</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制造业增加值占GDP比例（%）</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31.8</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33</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产业投资占固定资产投资比重（%）</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65</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68</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5</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最终消费支出对GDP贡献率（%）</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61.1</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62</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对外贸易依存度（%）</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10.5</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15.6</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地方一般公共预算收入占GDP比重（%）</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3.8</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3.8</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8</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常住人口城镇化率（%）</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60.8</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65</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restart"/>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创新</w:t>
            </w:r>
          </w:p>
          <w:p>
            <w:pPr>
              <w:pStyle w:val="37"/>
              <w:rPr>
                <w:rFonts w:ascii="仿宋" w:hAnsi="仿宋" w:eastAsia="仿宋" w:cs="Times New Roman"/>
                <w:bCs w:val="0"/>
              </w:rPr>
            </w:pPr>
            <w:r>
              <w:rPr>
                <w:rFonts w:ascii="仿宋" w:hAnsi="仿宋" w:eastAsia="仿宋" w:cs="Times New Roman"/>
                <w:bCs w:val="0"/>
              </w:rPr>
              <w:t>驱动</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9</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全社会研发经费投入增长（%）</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15</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10</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每万人口高价值发明专利拥有量（件）</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11</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数字经济核心产业增加值占GDP比重（%）</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11</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restart"/>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民生</w:t>
            </w:r>
          </w:p>
          <w:p>
            <w:pPr>
              <w:pStyle w:val="37"/>
              <w:rPr>
                <w:rFonts w:ascii="仿宋" w:hAnsi="仿宋" w:eastAsia="仿宋" w:cs="Times New Roman"/>
                <w:bCs w:val="0"/>
              </w:rPr>
            </w:pPr>
            <w:r>
              <w:rPr>
                <w:rFonts w:ascii="仿宋" w:hAnsi="仿宋" w:eastAsia="仿宋" w:cs="Times New Roman"/>
                <w:bCs w:val="0"/>
              </w:rPr>
              <w:t>福祉</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12</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居民人均可支配收入增长（%）</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5.6</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7.5以上</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13</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城镇调查失业率（%）</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5.5</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5.5以内</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14</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劳动年龄人口平均受教育年限（年）</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11.41</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11.51</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15</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每千人口拥有执业（助理）医师数（人）</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2.35</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2.8</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16</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基本养老保险参保率（%）</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100</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100</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17</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每千人口拥有3岁以下婴幼儿托位数（个）</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0.62</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4.5</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18</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人均预期寿命（岁）</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77</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78</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1" w:hRule="atLeast"/>
        </w:trPr>
        <w:tc>
          <w:tcPr>
            <w:tcW w:w="557"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类别</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序号</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指标名称</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2020年</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2025年</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年均增速</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restart"/>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绿色生态</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19</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单位GDP能源消耗降低（%）</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2004" w:type="dxa"/>
            <w:gridSpan w:val="2"/>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完成省下达任务</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20</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单位GDP二氧化碳排放降低（%）</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2004" w:type="dxa"/>
            <w:gridSpan w:val="2"/>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完成省下达任务</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21</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城市空气质量优良天数比例（%）</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90.7</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86</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22</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地表水达到或优于Ⅲ类水体比例（%）</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93.8</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94.1以上</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23</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森林覆盖率（%）</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45.31</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45.31</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restart"/>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安全</w:t>
            </w:r>
          </w:p>
          <w:p>
            <w:pPr>
              <w:pStyle w:val="37"/>
              <w:rPr>
                <w:rFonts w:ascii="仿宋" w:hAnsi="仿宋" w:eastAsia="仿宋" w:cs="Times New Roman"/>
                <w:bCs w:val="0"/>
              </w:rPr>
            </w:pPr>
            <w:r>
              <w:rPr>
                <w:rFonts w:ascii="仿宋" w:hAnsi="仿宋" w:eastAsia="仿宋" w:cs="Times New Roman"/>
                <w:bCs w:val="0"/>
              </w:rPr>
              <w:t>保障</w:t>
            </w: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24</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粮食综合生产能力（万吨）</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283</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290</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8"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25</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能源综合生产能力（万吨标准煤）</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20</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50</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5" w:hRule="atLeast"/>
        </w:trPr>
        <w:tc>
          <w:tcPr>
            <w:tcW w:w="557" w:type="dxa"/>
            <w:vMerge w:val="continue"/>
            <w:tcMar>
              <w:top w:w="57" w:type="dxa"/>
              <w:left w:w="57" w:type="dxa"/>
              <w:bottom w:w="57" w:type="dxa"/>
              <w:right w:w="57" w:type="dxa"/>
            </w:tcMar>
            <w:vAlign w:val="center"/>
          </w:tcPr>
          <w:p>
            <w:pPr>
              <w:pStyle w:val="37"/>
              <w:rPr>
                <w:rFonts w:ascii="仿宋" w:hAnsi="仿宋" w:eastAsia="仿宋" w:cs="Times New Roman"/>
                <w:bCs w:val="0"/>
              </w:rPr>
            </w:pPr>
          </w:p>
        </w:tc>
        <w:tc>
          <w:tcPr>
            <w:tcW w:w="43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26</w:t>
            </w:r>
          </w:p>
        </w:tc>
        <w:tc>
          <w:tcPr>
            <w:tcW w:w="3828"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亿元GDP生产安全事故死亡率（人/亿元）</w:t>
            </w:r>
          </w:p>
        </w:tc>
        <w:tc>
          <w:tcPr>
            <w:tcW w:w="850"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0.026</w:t>
            </w:r>
          </w:p>
        </w:tc>
        <w:tc>
          <w:tcPr>
            <w:tcW w:w="85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0.015</w:t>
            </w:r>
          </w:p>
        </w:tc>
        <w:tc>
          <w:tcPr>
            <w:tcW w:w="1153"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w:t>
            </w:r>
          </w:p>
        </w:tc>
        <w:tc>
          <w:tcPr>
            <w:tcW w:w="921" w:type="dxa"/>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5" w:hRule="atLeast"/>
        </w:trPr>
        <w:tc>
          <w:tcPr>
            <w:tcW w:w="8590" w:type="dxa"/>
            <w:gridSpan w:val="7"/>
            <w:tcMar>
              <w:top w:w="57" w:type="dxa"/>
              <w:left w:w="57" w:type="dxa"/>
              <w:bottom w:w="57" w:type="dxa"/>
              <w:right w:w="57" w:type="dxa"/>
            </w:tcMar>
            <w:vAlign w:val="center"/>
          </w:tcPr>
          <w:p>
            <w:pPr>
              <w:pStyle w:val="37"/>
              <w:rPr>
                <w:rFonts w:ascii="仿宋" w:hAnsi="仿宋" w:eastAsia="仿宋" w:cs="Times New Roman"/>
                <w:bCs w:val="0"/>
              </w:rPr>
            </w:pPr>
            <w:r>
              <w:rPr>
                <w:rFonts w:ascii="仿宋" w:hAnsi="仿宋" w:eastAsia="仿宋" w:cs="Times New Roman"/>
                <w:bCs w:val="0"/>
              </w:rPr>
              <w:t>注：1.常住人口城镇化率2020年数据为预计数。2.每万人口高价值发明专利拥有量和数字经济核心产业增加值占GDP比重指标目前没有统计口径，我市2025年目标与全省目标保持一致。3.城市空气质量优良天数比例指标2020年受新冠肺炎疫情等因素影响，数值明显高于正常年份，2025年目标考虑了“十三五”时期平均水平，因此数值低于2020年。</w:t>
            </w:r>
          </w:p>
        </w:tc>
      </w:tr>
    </w:tbl>
    <w:p>
      <w:pPr>
        <w:spacing w:line="360" w:lineRule="auto"/>
        <w:ind w:firstLine="560" w:firstLineChars="200"/>
        <w:rPr>
          <w:rFonts w:ascii="仿宋" w:hAnsi="仿宋" w:eastAsia="仿宋"/>
          <w:sz w:val="28"/>
          <w:szCs w:val="28"/>
        </w:rPr>
      </w:pPr>
      <w:r>
        <w:rPr>
          <w:rFonts w:ascii="仿宋" w:hAnsi="仿宋" w:eastAsia="仿宋"/>
          <w:sz w:val="28"/>
          <w:szCs w:val="28"/>
        </w:rPr>
        <w:t>按照统筹规划、合理布局、分工协作、以大带小的原则，立足地理区位条件和资源环境承载能力，推动构建大中小城市和小城镇协调发展的城镇化空间格局。</w:t>
      </w:r>
    </w:p>
    <w:p>
      <w:pPr>
        <w:spacing w:line="360" w:lineRule="auto"/>
        <w:ind w:firstLine="560" w:firstLineChars="200"/>
        <w:rPr>
          <w:rFonts w:ascii="仿宋" w:hAnsi="仿宋" w:eastAsia="仿宋"/>
          <w:sz w:val="28"/>
          <w:szCs w:val="28"/>
        </w:rPr>
      </w:pPr>
      <w:r>
        <w:rPr>
          <w:rFonts w:ascii="仿宋" w:hAnsi="仿宋" w:eastAsia="仿宋"/>
          <w:sz w:val="28"/>
          <w:szCs w:val="28"/>
        </w:rPr>
        <w:t>着力提升中心城区首位度。注重做大做强做优做美中心城区，优化中心城区内部空间组织，加快推动城市扩容提质，更好地发挥岳阳作为大城市的集聚辐射作用。按照“江湖城共生、港产城融合”的空间组织思路，推动形成“一心四组团”空间格局。“一心”即城市服务核心，以岳阳楼区为主体，加快发展现代商贸、现代金融、商务服务、研发设计、文化创意、养老托育等生产性和生活服务业，培育发展平台经济、数字经济、总部经济和夜间经济等新经济新业态新模式，进一步提高城市品质和服务功能，打造湘鄂赣省际边界区域现代服务业发展中心。“四组团”即城北制造业绿色转型发展组团、城东产城融合发展组团、西部江湖特色旅游组团、南部宜居康养组团。城北组团包括城陵矶新港区、云溪区以及临湘滨江片区，以发展先进制造业和现代物流业为重点，加快推动“区港一体”联动发展，着力培育优势产业集群，打造全市高质量发展核心增长带。城东组团以岳阳经开区为主体，以强化产业功能、推进产城融合为重点，深化园区体制机制改革，培育发展高端制造和临空经济、总部经济，打造全市经济发展主引擎和增长极。西部组团包括君山区、岳阳楼区滨湖片区以及南湖新区滨湖片区，强化生态保护、注重战略“留白”，着力发展体现“江湖融汇、文化交融”特色的服务经济和绿色经济，彰显城市魅力。南部组团包括南湖新区（南湖以南片区）和岳阳县北部片区，以发展高端居住、生态康养、科教为重点。全面推动岳阳县、临湘市融城发展，进一步扩大城市规模，增强城市带动作用。到2025年，中心城区常住人口达到170万人。</w:t>
      </w:r>
    </w:p>
    <w:p>
      <w:pPr>
        <w:spacing w:line="360" w:lineRule="auto"/>
        <w:ind w:firstLine="560" w:firstLineChars="200"/>
        <w:rPr>
          <w:rFonts w:ascii="仿宋" w:hAnsi="仿宋" w:eastAsia="仿宋"/>
          <w:sz w:val="28"/>
          <w:szCs w:val="28"/>
        </w:rPr>
      </w:pPr>
      <w:r>
        <w:rPr>
          <w:rFonts w:ascii="仿宋" w:hAnsi="仿宋" w:eastAsia="仿宋"/>
          <w:sz w:val="28"/>
          <w:szCs w:val="28"/>
        </w:rPr>
        <w:t>加快培育现代化中小城市。坚持把县城和县级市城区作为培育中小城市的主要载体，着力提高六县（市）城区吸纳人口、集聚产业的综合承载能力和公共服务水平，培育成为具有较强带动作用的现代化中小城市。加快推进县城城镇化补短板强弱项，积极引导交通市政等基础设施、教育医疗等公共服务资源和产业向六县（市）城区布局，促进公共服务设施提标扩面、环境卫生设施提级扩能、市政公用设施提挡升级、产业培育设施提质增效。因地制宜发展特色产业和劳动密集产业，扩大就业空间，建设成为农村人口就近就业和居住的重要载体。力争到2025年，平江县城常住人口达到50万人，成为中等城市；其他五个县（市）城区常住人口均达到20万人，进入Ⅰ型小城市行列。</w:t>
      </w:r>
    </w:p>
    <w:p>
      <w:pPr>
        <w:spacing w:line="360" w:lineRule="auto"/>
        <w:ind w:firstLine="560" w:firstLineChars="200"/>
        <w:rPr>
          <w:rFonts w:ascii="仿宋" w:hAnsi="仿宋" w:eastAsia="仿宋"/>
          <w:sz w:val="28"/>
          <w:szCs w:val="28"/>
        </w:rPr>
      </w:pPr>
      <w:r>
        <w:rPr>
          <w:rFonts w:ascii="仿宋" w:hAnsi="仿宋" w:eastAsia="仿宋"/>
          <w:sz w:val="28"/>
          <w:szCs w:val="28"/>
        </w:rPr>
        <w:t>积极发展特色小城镇。按照突出重点、彰显特色、引领示范的原则，以多样化、专业化和特色化为方向，着力培育一批工业强镇、商贸重镇、旅游名镇。注重抓好全国重点镇建设，创新投融资模式，完善基础设施，提高公共服务水平，打造成为宜居宜业的现代化小城镇。积极支持省际边界镇和毗邻长沙城镇建设，着力增强承载功能，提升建设品质，打造精致形象。坚持以产业特而强、功能聚而合、形态小而美、机制新而活为指引，结合产业空间布局优化和产城融合发展要求，科学合理布局建设一批特色小镇，发挥特色小镇在集聚特色产业和推动城乡融合发展中的重要作用。</w:t>
      </w:r>
    </w:p>
    <w:p>
      <w:pPr>
        <w:pStyle w:val="4"/>
        <w:spacing w:before="0" w:after="0" w:line="560" w:lineRule="exact"/>
        <w:rPr>
          <w:rFonts w:ascii="仿宋" w:hAnsi="仿宋" w:eastAsia="仿宋"/>
          <w:szCs w:val="22"/>
        </w:rPr>
      </w:pPr>
      <w:r>
        <w:rPr>
          <w:rFonts w:ascii="仿宋" w:hAnsi="仿宋" w:eastAsia="仿宋"/>
          <w:szCs w:val="22"/>
        </w:rPr>
        <w:t>交通发展规划</w:t>
      </w:r>
    </w:p>
    <w:p>
      <w:pPr>
        <w:pStyle w:val="56"/>
        <w:ind w:firstLine="560"/>
      </w:pPr>
      <w:r>
        <w:t>围绕实施湖南省“三高四新”战略、“三区一中心”建设，打造全国性综合交通枢纽城市的总体要求，聚焦高质量发展,践行“四好”理念，奋力推动全市交通发展迈上新台阶。到2025 年，综合交通运输供给能力显著提升，基础设施结构更加合理，运输方式衔接更加顺畅，运输服务质量和效率显著提高，行业治理体系和治理能力现代化水平不断提升，支持保障能力更加高效，“布局完善、畅通高效、智慧绿色、安全便捷”的现代化综合立体交通体系基本形成。全力实施“123456”工程。</w:t>
      </w:r>
    </w:p>
    <w:p>
      <w:pPr>
        <w:spacing w:line="360" w:lineRule="auto"/>
        <w:ind w:firstLine="560" w:firstLineChars="200"/>
        <w:rPr>
          <w:rFonts w:ascii="仿宋" w:hAnsi="仿宋" w:eastAsia="仿宋"/>
          <w:sz w:val="28"/>
          <w:szCs w:val="28"/>
        </w:rPr>
      </w:pPr>
      <w:r>
        <w:rPr>
          <w:rFonts w:ascii="仿宋" w:hAnsi="仿宋" w:eastAsia="仿宋"/>
          <w:sz w:val="28"/>
          <w:szCs w:val="28"/>
        </w:rPr>
        <w:t>“1”张网——形成“发达的公路网、全贯通的铁路网、通江达海水运网、高质量的航空网、畅通的城际网和均衡的枢纽网”的一体化综合立体交通网。</w:t>
      </w:r>
    </w:p>
    <w:p>
      <w:pPr>
        <w:spacing w:line="360" w:lineRule="auto"/>
        <w:ind w:firstLine="560" w:firstLineChars="200"/>
        <w:rPr>
          <w:rFonts w:ascii="仿宋" w:hAnsi="仿宋" w:eastAsia="仿宋"/>
          <w:sz w:val="28"/>
          <w:szCs w:val="28"/>
        </w:rPr>
      </w:pPr>
      <w:r>
        <w:rPr>
          <w:rFonts w:ascii="仿宋" w:hAnsi="仿宋" w:eastAsia="仿宋"/>
          <w:sz w:val="28"/>
          <w:szCs w:val="28"/>
        </w:rPr>
        <w:t>“2”环线：以岳阳市区为中心塑造两条环线。一是内环线，建成西环线G240、北环线G353，启动西环线南延工程、东环线延伸线建设，以已建长康路为东环线、以南湖新区赶山路为南环线，形成的内环线总里程45 公里；二是外环线，以G107 改线提质工程为东外环，北外环为S301 乘风至羊楼司公路，以已建荣家湾至新墙段以及S310 新墙至杨林街段提质改造为南外环、以G240 改线提质工程、规划S208 长江经济带沿江公路以及已建长江大道为西外环，围合形成的外环线总里程220 公里。</w:t>
      </w:r>
    </w:p>
    <w:p>
      <w:pPr>
        <w:spacing w:line="360" w:lineRule="auto"/>
        <w:ind w:firstLine="560" w:firstLineChars="200"/>
        <w:rPr>
          <w:rFonts w:ascii="仿宋" w:hAnsi="仿宋" w:eastAsia="仿宋"/>
          <w:sz w:val="28"/>
          <w:szCs w:val="28"/>
        </w:rPr>
      </w:pPr>
      <w:r>
        <w:rPr>
          <w:rFonts w:ascii="仿宋" w:hAnsi="仿宋" w:eastAsia="仿宋"/>
          <w:sz w:val="28"/>
          <w:szCs w:val="28"/>
        </w:rPr>
        <w:t>“3”通道：一是打通成渝-岳阳-武汉-长三角沿江运输通道和连接常德、益阳、岳阳的环洞庭湖运输通道；二是加快建设S210 汨杨公路等连接长沙和长株潭城市群的高质量岳长运输通道；三是建设S201 虹桥至加义公路、S316 石牛寨-长庆公路等湘赣边红色旅游公路通道，谋划荆岳昌高铁、常岳九铁路等连通江西的铁路运输通道，形成全方位的对外衔接的交通新格局。</w:t>
      </w:r>
    </w:p>
    <w:p>
      <w:pPr>
        <w:spacing w:line="360" w:lineRule="auto"/>
        <w:ind w:firstLine="560" w:firstLineChars="200"/>
        <w:rPr>
          <w:rFonts w:ascii="仿宋" w:hAnsi="仿宋" w:eastAsia="仿宋"/>
          <w:sz w:val="28"/>
          <w:szCs w:val="28"/>
        </w:rPr>
      </w:pPr>
      <w:r>
        <w:rPr>
          <w:rFonts w:ascii="仿宋" w:hAnsi="仿宋" w:eastAsia="仿宋"/>
          <w:sz w:val="28"/>
          <w:szCs w:val="28"/>
        </w:rPr>
        <w:t>“4”轴线：强化两纵两横交通轴线，打通跨市出省通道。纵轴1：S206-S208 长江经济带沿江公路-长江大道-南湖隧道-G240-S210；纵轴2：G107改线提质；横轴1：G353 贯穿岳阳东西；横轴2：G536-G106-S202 拉通岳阳南部湘阴县、汨罗市、平江县两县一市。多交通轴支撑岳阳市交通发展，提高全市交通联络水平。</w:t>
      </w:r>
    </w:p>
    <w:p>
      <w:pPr>
        <w:spacing w:line="360" w:lineRule="auto"/>
        <w:ind w:firstLine="560" w:firstLineChars="200"/>
        <w:rPr>
          <w:rFonts w:ascii="仿宋" w:hAnsi="仿宋" w:eastAsia="仿宋"/>
          <w:sz w:val="28"/>
          <w:szCs w:val="28"/>
        </w:rPr>
      </w:pPr>
      <w:r>
        <w:rPr>
          <w:rFonts w:ascii="仿宋" w:hAnsi="仿宋" w:eastAsia="仿宋"/>
          <w:sz w:val="28"/>
          <w:szCs w:val="28"/>
        </w:rPr>
        <w:t>“5”体系：打造完善的基础设施体系、快捷惠民的客运出行体系、现代高效的交通物流体系、智慧化的运输服务体系、现代化的交通治理体系。</w:t>
      </w:r>
    </w:p>
    <w:p>
      <w:pPr>
        <w:pStyle w:val="8"/>
        <w:spacing w:after="0" w:afterLines="0" w:line="240" w:lineRule="auto"/>
        <w:rPr>
          <w:rFonts w:ascii="仿宋" w:hAnsi="仿宋" w:eastAsia="仿宋" w:cs="仿宋"/>
          <w:b w:val="0"/>
        </w:rPr>
      </w:pPr>
      <w:r>
        <w:rPr>
          <w:rFonts w:ascii="仿宋" w:hAnsi="仿宋" w:eastAsia="仿宋" w:cs="仿宋"/>
          <w:b w:val="0"/>
        </w:rPr>
        <w:drawing>
          <wp:anchor distT="0" distB="0" distL="0" distR="0" simplePos="0" relativeHeight="251662336" behindDoc="0" locked="0" layoutInCell="1" allowOverlap="1">
            <wp:simplePos x="0" y="0"/>
            <wp:positionH relativeFrom="column">
              <wp:posOffset>0</wp:posOffset>
            </wp:positionH>
            <wp:positionV relativeFrom="paragraph">
              <wp:posOffset>38100</wp:posOffset>
            </wp:positionV>
            <wp:extent cx="5274310" cy="3884295"/>
            <wp:effectExtent l="0" t="0" r="2540" b="190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3884295"/>
                    </a:xfrm>
                    <a:prstGeom prst="rect">
                      <a:avLst/>
                    </a:prstGeom>
                  </pic:spPr>
                </pic:pic>
              </a:graphicData>
            </a:graphic>
          </wp:anchor>
        </w:drawing>
      </w:r>
      <w:r>
        <w:rPr>
          <w:rFonts w:ascii="仿宋" w:hAnsi="仿宋" w:eastAsia="仿宋" w:cs="仿宋"/>
          <w:b w:val="0"/>
        </w:rPr>
        <w:t xml:space="preserve">图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2</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t>3 岳阳市“十四五”综合交通规划图</w:t>
      </w:r>
    </w:p>
    <w:p>
      <w:pPr>
        <w:pStyle w:val="4"/>
        <w:spacing w:before="0" w:after="0" w:line="560" w:lineRule="exact"/>
        <w:rPr>
          <w:rFonts w:ascii="仿宋" w:hAnsi="仿宋" w:eastAsia="仿宋"/>
          <w:szCs w:val="22"/>
        </w:rPr>
      </w:pPr>
      <w:r>
        <w:rPr>
          <w:rFonts w:ascii="仿宋" w:hAnsi="仿宋" w:eastAsia="仿宋"/>
          <w:szCs w:val="22"/>
        </w:rPr>
        <w:t>电网发展规划</w:t>
      </w:r>
    </w:p>
    <w:p>
      <w:pPr>
        <w:spacing w:line="360" w:lineRule="auto"/>
        <w:ind w:firstLine="560" w:firstLineChars="200"/>
        <w:rPr>
          <w:rFonts w:ascii="仿宋" w:hAnsi="仿宋" w:eastAsia="仿宋"/>
          <w:sz w:val="28"/>
          <w:szCs w:val="28"/>
        </w:rPr>
      </w:pPr>
      <w:r>
        <w:rPr>
          <w:rFonts w:ascii="仿宋" w:hAnsi="仿宋" w:eastAsia="仿宋"/>
          <w:sz w:val="28"/>
          <w:szCs w:val="28"/>
        </w:rPr>
        <w:t>根据《岳阳供电公司“十四五”电网发展规划报告》，“十四五”期间，岳阳将全面建成现代化智慧配电网。以满足新形势下用电需求为目标，适应电网智能化发展趋势，考虑分布式电源、电动汽车等多元化负荷接入影响，全面建成“安全可靠、优质高效、智能、互动、服务多元”的岳阳现代化智慧配电网。加强完善电力基础设施，110千伏层面重点解决设备重过载问题，以满足新增负荷增长需求为主，同步完善城区电网结构，新建变电站30座，扩建改造变电站31座，净增容量317.7万千伏安，比2019年底增长84%，容载比提升至1.98，所有变电站均实现双电源供电，110千伏电网基本形成以链式结构为主的高可靠性供电网络。35千伏电网发展原则为“市城区、县城区和工业园区不再建设，现状电网逐步退出运行，农村区域按需发展”，预计2025年末，岳阳地区将有35千伏变电站65座，变电容量101.2万千伏安，容载比由1.49提升至1.83。10千伏层面聚焦解决供电瓶颈、降低线损、满足区域居民生活用电需求，新增配变5095台，新增容量145万千伏安，改造配变1605台，容量为44.4万千伏安，将大幅提升农村地区的户均配变容量，缩短台区的供电半径，改善末端的用电质量。至“十四五”末，岳阳地区各供电指标全面优化，供电可靠率由99.836%提升至99.973%，综合线损率由7.44%降至7.01%，综合电压合格率由99.824%提升至99.995%。率先建成智慧配电网，建成全覆盖的配电自动化系统和配网智能化、信息化管控体系，实现配电设备运行状态全息感知、远程智能化监控、自动监测预警、故障精准定位、快速隔离、倒闸操作“一键顺控”；采用虚拟技术，将分布式电源、用户侧可控负荷、电动汽车、储能等虚拟为电厂参与电力市场和电网运行，推动“源随荷动”模式向“源荷互动”模式转变；开展能源分析与优化等定制化服务，完善“互联网+供电服务”体系，提供多元化、互动化、移动化、智能化的用电综合服务。</w:t>
      </w:r>
    </w:p>
    <w:p>
      <w:pPr>
        <w:spacing w:line="360" w:lineRule="auto"/>
        <w:ind w:firstLine="560" w:firstLineChars="200"/>
        <w:rPr>
          <w:rFonts w:ascii="仿宋" w:hAnsi="仿宋" w:eastAsia="仿宋"/>
          <w:sz w:val="28"/>
          <w:szCs w:val="28"/>
        </w:rPr>
        <w:sectPr>
          <w:pgSz w:w="11906" w:h="16838"/>
          <w:pgMar w:top="1440" w:right="1800" w:bottom="1440" w:left="1800" w:header="851" w:footer="992" w:gutter="0"/>
          <w:cols w:space="425" w:num="1"/>
          <w:docGrid w:type="lines" w:linePitch="312" w:charSpace="0"/>
        </w:sectPr>
      </w:pPr>
    </w:p>
    <w:p>
      <w:pPr>
        <w:pStyle w:val="2"/>
        <w:spacing w:line="560" w:lineRule="exact"/>
        <w:ind w:hanging="3828"/>
        <w:rPr>
          <w:rFonts w:ascii="仿宋" w:hAnsi="仿宋" w:eastAsia="仿宋"/>
          <w:sz w:val="36"/>
          <w:szCs w:val="36"/>
        </w:rPr>
      </w:pPr>
      <w:bookmarkStart w:id="83" w:name="_Toc101299797"/>
      <w:bookmarkStart w:id="84" w:name="_Toc68014574"/>
      <w:r>
        <w:rPr>
          <w:rFonts w:ascii="仿宋" w:hAnsi="仿宋" w:eastAsia="仿宋"/>
          <w:sz w:val="36"/>
          <w:szCs w:val="36"/>
        </w:rPr>
        <w:t>电动汽车及充电设施现状分析</w:t>
      </w:r>
      <w:bookmarkEnd w:id="83"/>
      <w:bookmarkEnd w:id="84"/>
    </w:p>
    <w:p>
      <w:pPr>
        <w:pStyle w:val="3"/>
        <w:spacing w:line="560" w:lineRule="exact"/>
        <w:rPr>
          <w:rFonts w:ascii="仿宋" w:hAnsi="仿宋" w:eastAsia="仿宋"/>
          <w:color w:val="auto"/>
          <w:szCs w:val="22"/>
        </w:rPr>
      </w:pPr>
      <w:bookmarkStart w:id="85" w:name="_Toc68014575"/>
      <w:bookmarkStart w:id="86" w:name="_Toc101299798"/>
      <w:r>
        <w:rPr>
          <w:rFonts w:ascii="仿宋" w:hAnsi="仿宋" w:eastAsia="仿宋"/>
          <w:color w:val="auto"/>
          <w:szCs w:val="22"/>
        </w:rPr>
        <w:t>政策环境</w:t>
      </w:r>
      <w:bookmarkEnd w:id="85"/>
      <w:bookmarkEnd w:id="86"/>
    </w:p>
    <w:p>
      <w:pPr>
        <w:spacing w:line="360" w:lineRule="auto"/>
        <w:ind w:firstLine="560" w:firstLineChars="200"/>
        <w:rPr>
          <w:rFonts w:ascii="仿宋" w:hAnsi="仿宋" w:eastAsia="仿宋"/>
          <w:sz w:val="28"/>
          <w:szCs w:val="28"/>
        </w:rPr>
      </w:pPr>
      <w:r>
        <w:rPr>
          <w:rFonts w:ascii="仿宋" w:hAnsi="仿宋" w:eastAsia="仿宋"/>
          <w:sz w:val="28"/>
          <w:szCs w:val="28"/>
        </w:rPr>
        <w:t>为解决充电桩瓶颈，推动我国新能源汽车产业发展，国家及湖南省政府、岳阳市政府发布了一系列利好政策加快充电设施建设。</w:t>
      </w:r>
    </w:p>
    <w:p>
      <w:pPr>
        <w:pStyle w:val="4"/>
        <w:spacing w:before="0" w:after="0" w:line="560" w:lineRule="exact"/>
        <w:rPr>
          <w:rFonts w:ascii="仿宋" w:hAnsi="仿宋" w:eastAsia="仿宋"/>
          <w:szCs w:val="22"/>
        </w:rPr>
      </w:pPr>
      <w:r>
        <w:rPr>
          <w:rFonts w:ascii="仿宋" w:hAnsi="仿宋" w:eastAsia="仿宋"/>
          <w:szCs w:val="22"/>
        </w:rPr>
        <w:t>国家层面</w:t>
      </w:r>
    </w:p>
    <w:p>
      <w:pPr>
        <w:spacing w:line="360" w:lineRule="auto"/>
        <w:ind w:firstLine="560" w:firstLineChars="200"/>
        <w:rPr>
          <w:rFonts w:ascii="仿宋" w:hAnsi="仿宋" w:eastAsia="仿宋"/>
          <w:sz w:val="28"/>
          <w:szCs w:val="28"/>
        </w:rPr>
      </w:pPr>
      <w:r>
        <w:rPr>
          <w:rFonts w:ascii="仿宋" w:hAnsi="仿宋" w:eastAsia="仿宋"/>
          <w:sz w:val="28"/>
          <w:szCs w:val="28"/>
        </w:rPr>
        <w:t>（1）《新能源汽车产业发展规划（2021-2035年）》</w:t>
      </w:r>
    </w:p>
    <w:p>
      <w:pPr>
        <w:spacing w:line="360" w:lineRule="auto"/>
        <w:ind w:firstLine="560" w:firstLineChars="200"/>
        <w:rPr>
          <w:rFonts w:ascii="仿宋" w:hAnsi="仿宋" w:eastAsia="仿宋"/>
          <w:sz w:val="28"/>
          <w:szCs w:val="28"/>
        </w:rPr>
      </w:pPr>
      <w:r>
        <w:rPr>
          <w:rFonts w:ascii="仿宋" w:hAnsi="仿宋" w:eastAsia="仿宋"/>
          <w:sz w:val="28"/>
          <w:szCs w:val="28"/>
        </w:rPr>
        <w:t>国务院办公厅于2020年11月发布《新能源汽车产业发展规划（2021-2035年）》，《规划》不仅提出要加强与城乡建设规划、电网规划及物业管理等的统筹协调,加快形成适度超前、快充为主、慢充为辅的高速公路和城乡公共充电网络。同时还要加快技术和商业模式创新,积极推动产业融合创新发展。</w:t>
      </w:r>
    </w:p>
    <w:p>
      <w:pPr>
        <w:spacing w:line="360" w:lineRule="auto"/>
        <w:ind w:firstLine="560" w:firstLineChars="200"/>
        <w:rPr>
          <w:rFonts w:ascii="仿宋" w:hAnsi="仿宋" w:eastAsia="仿宋"/>
          <w:sz w:val="28"/>
          <w:szCs w:val="28"/>
        </w:rPr>
      </w:pPr>
      <w:r>
        <w:rPr>
          <w:rFonts w:ascii="仿宋" w:hAnsi="仿宋" w:eastAsia="仿宋"/>
          <w:sz w:val="28"/>
          <w:szCs w:val="28"/>
        </w:rPr>
        <w:t>（2）《关于完善新能源汽车推广应用财政补贴政策的通知》</w:t>
      </w:r>
    </w:p>
    <w:p>
      <w:pPr>
        <w:spacing w:line="360" w:lineRule="auto"/>
        <w:ind w:firstLine="560" w:firstLineChars="200"/>
        <w:rPr>
          <w:rFonts w:ascii="仿宋" w:hAnsi="仿宋" w:eastAsia="仿宋"/>
          <w:sz w:val="28"/>
          <w:szCs w:val="28"/>
        </w:rPr>
      </w:pPr>
      <w:r>
        <w:rPr>
          <w:rFonts w:ascii="仿宋" w:hAnsi="仿宋" w:eastAsia="仿宋"/>
          <w:sz w:val="28"/>
          <w:szCs w:val="28"/>
        </w:rPr>
        <w:t>国家财政部于2020年4月发布《关于完善新能源汽车推广应用财政补贴政策的通知》（财建〔2020〕86号），《通知》指出，将原定2020年底到期的补贴政策合理延长到2022年底，平缓补贴退坡力度和节奏。</w:t>
      </w:r>
    </w:p>
    <w:p>
      <w:pPr>
        <w:pStyle w:val="4"/>
        <w:spacing w:before="0" w:after="0" w:line="560" w:lineRule="exact"/>
        <w:rPr>
          <w:rFonts w:ascii="仿宋" w:hAnsi="仿宋" w:eastAsia="仿宋"/>
          <w:szCs w:val="22"/>
        </w:rPr>
      </w:pPr>
      <w:r>
        <w:rPr>
          <w:rFonts w:ascii="仿宋" w:hAnsi="仿宋" w:eastAsia="仿宋"/>
          <w:szCs w:val="22"/>
        </w:rPr>
        <w:t>省级层面</w:t>
      </w:r>
    </w:p>
    <w:p>
      <w:pPr>
        <w:spacing w:line="360" w:lineRule="auto"/>
        <w:ind w:firstLine="560" w:firstLineChars="200"/>
        <w:rPr>
          <w:rFonts w:ascii="仿宋" w:hAnsi="仿宋" w:eastAsia="仿宋"/>
          <w:sz w:val="28"/>
          <w:szCs w:val="28"/>
        </w:rPr>
      </w:pPr>
      <w:r>
        <w:rPr>
          <w:rFonts w:ascii="仿宋" w:hAnsi="仿宋" w:eastAsia="仿宋"/>
          <w:sz w:val="28"/>
          <w:szCs w:val="28"/>
        </w:rPr>
        <w:t>（1）《湖南省“十四五”能源发展规划》（征求意见稿）</w:t>
      </w:r>
    </w:p>
    <w:p>
      <w:pPr>
        <w:spacing w:line="360" w:lineRule="auto"/>
        <w:ind w:firstLine="560" w:firstLineChars="200"/>
        <w:rPr>
          <w:rFonts w:ascii="仿宋" w:hAnsi="仿宋" w:eastAsia="仿宋"/>
          <w:sz w:val="28"/>
          <w:szCs w:val="28"/>
        </w:rPr>
      </w:pPr>
      <w:r>
        <w:rPr>
          <w:rFonts w:ascii="仿宋" w:hAnsi="仿宋" w:eastAsia="仿宋"/>
          <w:sz w:val="28"/>
          <w:szCs w:val="28"/>
        </w:rPr>
        <w:t>统筹推进充电基础设施建设，到2025年全省充电桩保有量达35万个，基本形成高速公路全覆盖、城市内部充电服务半径小于2.5公里、骨干路网充电间隔小于50公里的互联互通、智能高效充电网。</w:t>
      </w:r>
    </w:p>
    <w:p>
      <w:pPr>
        <w:spacing w:line="360" w:lineRule="auto"/>
        <w:ind w:firstLine="560" w:firstLineChars="200"/>
        <w:rPr>
          <w:rFonts w:ascii="仿宋" w:hAnsi="仿宋" w:eastAsia="仿宋"/>
          <w:sz w:val="28"/>
          <w:szCs w:val="28"/>
        </w:rPr>
      </w:pPr>
      <w:r>
        <w:rPr>
          <w:rFonts w:ascii="仿宋" w:hAnsi="仿宋" w:eastAsia="仿宋"/>
          <w:sz w:val="28"/>
          <w:szCs w:val="28"/>
        </w:rPr>
        <w:t>（2）《湖南省电动汽车充（换）电基础设施建设三年行动计划》（2020-2022年）</w:t>
      </w:r>
    </w:p>
    <w:p>
      <w:pPr>
        <w:spacing w:line="360" w:lineRule="auto"/>
        <w:ind w:firstLine="560" w:firstLineChars="200"/>
        <w:rPr>
          <w:rFonts w:ascii="仿宋" w:hAnsi="仿宋" w:eastAsia="仿宋"/>
          <w:sz w:val="28"/>
          <w:szCs w:val="28"/>
        </w:rPr>
      </w:pPr>
      <w:r>
        <w:rPr>
          <w:rFonts w:ascii="仿宋" w:hAnsi="仿宋" w:eastAsia="仿宋"/>
          <w:sz w:val="28"/>
          <w:szCs w:val="28"/>
        </w:rPr>
        <w:t>《计划》明确了2020-2022年全省及各地市州的充（换）电基础设施建设目标。</w:t>
      </w:r>
    </w:p>
    <w:p>
      <w:pPr>
        <w:spacing w:line="360" w:lineRule="auto"/>
        <w:ind w:firstLine="560" w:firstLineChars="200"/>
        <w:rPr>
          <w:rFonts w:ascii="仿宋" w:hAnsi="仿宋" w:eastAsia="仿宋"/>
          <w:sz w:val="28"/>
          <w:szCs w:val="28"/>
        </w:rPr>
      </w:pPr>
      <w:r>
        <w:rPr>
          <w:rFonts w:ascii="仿宋" w:hAnsi="仿宋" w:eastAsia="仿宋"/>
          <w:sz w:val="28"/>
          <w:szCs w:val="28"/>
        </w:rPr>
        <w:t>（3）《湖南省人民政府办公厅关于加快电动汽车充（换）电基础设施建设的实施意见》（湘政办发〔2021〕4号）</w:t>
      </w:r>
    </w:p>
    <w:p>
      <w:pPr>
        <w:spacing w:line="360" w:lineRule="auto"/>
        <w:ind w:firstLine="560" w:firstLineChars="200"/>
        <w:rPr>
          <w:rFonts w:ascii="仿宋" w:hAnsi="仿宋" w:eastAsia="仿宋"/>
          <w:sz w:val="28"/>
          <w:szCs w:val="28"/>
        </w:rPr>
      </w:pPr>
      <w:r>
        <w:rPr>
          <w:rFonts w:ascii="仿宋" w:hAnsi="仿宋" w:eastAsia="仿宋"/>
          <w:sz w:val="28"/>
          <w:szCs w:val="28"/>
        </w:rPr>
        <w:t>《意见》明确了全省电动汽车充（换）电基础设施建设总体目标、重点任务、保障措施及全省各市州充电设施建设预期目标。</w:t>
      </w:r>
    </w:p>
    <w:p>
      <w:pPr>
        <w:pStyle w:val="4"/>
        <w:spacing w:before="0" w:after="0" w:line="560" w:lineRule="exact"/>
        <w:rPr>
          <w:rFonts w:ascii="仿宋" w:hAnsi="仿宋" w:eastAsia="仿宋"/>
          <w:szCs w:val="22"/>
        </w:rPr>
      </w:pPr>
      <w:r>
        <w:rPr>
          <w:rFonts w:ascii="仿宋" w:hAnsi="仿宋" w:eastAsia="仿宋"/>
          <w:szCs w:val="22"/>
        </w:rPr>
        <w:t>市级层面</w:t>
      </w:r>
    </w:p>
    <w:p>
      <w:pPr>
        <w:spacing w:line="360" w:lineRule="auto"/>
        <w:ind w:firstLine="560" w:firstLineChars="200"/>
        <w:rPr>
          <w:rFonts w:ascii="仿宋" w:hAnsi="仿宋" w:eastAsia="仿宋"/>
          <w:sz w:val="28"/>
          <w:szCs w:val="28"/>
        </w:rPr>
      </w:pPr>
      <w:r>
        <w:rPr>
          <w:rFonts w:ascii="仿宋" w:hAnsi="仿宋" w:eastAsia="仿宋"/>
          <w:sz w:val="28"/>
          <w:szCs w:val="28"/>
        </w:rPr>
        <w:t>《关于加快我市电动汽车充（换）电基础设施建设的通知》，岳政办发〔2021〕13号</w:t>
      </w:r>
    </w:p>
    <w:p>
      <w:pPr>
        <w:spacing w:line="360" w:lineRule="auto"/>
        <w:ind w:firstLine="560" w:firstLineChars="200"/>
        <w:rPr>
          <w:rFonts w:ascii="仿宋" w:hAnsi="仿宋" w:eastAsia="仿宋"/>
          <w:sz w:val="28"/>
          <w:szCs w:val="28"/>
        </w:rPr>
      </w:pPr>
      <w:r>
        <w:rPr>
          <w:rFonts w:ascii="仿宋" w:hAnsi="仿宋" w:eastAsia="仿宋"/>
          <w:sz w:val="28"/>
          <w:szCs w:val="28"/>
        </w:rPr>
        <w:t>岳阳市人民政府办公室发布《关于加快我市电动汽车充（换）电基础设施建设的通知》，提出了电动汽车充（换）电基础设施建设总体目标、重点任务、保障措施，以及全市各县市区充电设施建设预期目标：</w:t>
      </w:r>
      <w:r>
        <w:rPr>
          <w:rFonts w:hint="eastAsia" w:ascii="仿宋" w:hAnsi="仿宋" w:eastAsia="仿宋"/>
          <w:sz w:val="28"/>
          <w:szCs w:val="28"/>
        </w:rPr>
        <w:t>到2022年底，全市建成公共充电桩（不含专用充电桩）2300个，其他类充电桩8300个，满足超过23600辆电动汽车充电需求；到2025年底，全市建成公共充电桩（不含专用充电桩）5100个，其他类充电桩23000个，满足超过38600辆电动汽车充电需求，城市建成区公共充电设施服务半径小于2公里。建立相对完善的标准规范和市场监管体系，构建可持续发展的“互联网+充电基础设施”产业格局</w:t>
      </w:r>
      <w:r>
        <w:rPr>
          <w:rFonts w:ascii="仿宋" w:hAnsi="仿宋" w:eastAsia="仿宋"/>
          <w:sz w:val="28"/>
          <w:szCs w:val="28"/>
        </w:rPr>
        <w:t>。</w:t>
      </w:r>
    </w:p>
    <w:p>
      <w:pPr>
        <w:pStyle w:val="3"/>
        <w:spacing w:line="560" w:lineRule="exact"/>
        <w:rPr>
          <w:rFonts w:ascii="仿宋" w:hAnsi="仿宋" w:eastAsia="仿宋"/>
          <w:color w:val="auto"/>
          <w:szCs w:val="22"/>
        </w:rPr>
      </w:pPr>
      <w:bookmarkStart w:id="87" w:name="_Toc68014576"/>
      <w:bookmarkStart w:id="88" w:name="_Toc101299799"/>
      <w:r>
        <w:rPr>
          <w:rFonts w:ascii="仿宋" w:hAnsi="仿宋" w:eastAsia="仿宋"/>
          <w:color w:val="auto"/>
          <w:szCs w:val="22"/>
        </w:rPr>
        <w:t>汽车与电动汽车现状</w:t>
      </w:r>
      <w:bookmarkEnd w:id="87"/>
      <w:bookmarkEnd w:id="88"/>
    </w:p>
    <w:p>
      <w:pPr>
        <w:pStyle w:val="4"/>
        <w:spacing w:before="0" w:after="0" w:line="560" w:lineRule="exact"/>
        <w:rPr>
          <w:rFonts w:ascii="仿宋" w:hAnsi="仿宋" w:eastAsia="仿宋"/>
          <w:szCs w:val="22"/>
        </w:rPr>
      </w:pPr>
      <w:r>
        <w:rPr>
          <w:rFonts w:ascii="仿宋" w:hAnsi="仿宋" w:eastAsia="仿宋"/>
          <w:szCs w:val="22"/>
        </w:rPr>
        <w:t>机动车辆发展现状</w:t>
      </w:r>
    </w:p>
    <w:p>
      <w:pPr>
        <w:spacing w:line="360" w:lineRule="auto"/>
        <w:ind w:firstLine="560" w:firstLineChars="200"/>
        <w:rPr>
          <w:rFonts w:ascii="仿宋" w:hAnsi="仿宋" w:eastAsia="仿宋"/>
          <w:sz w:val="28"/>
          <w:szCs w:val="28"/>
        </w:rPr>
      </w:pPr>
      <w:r>
        <w:rPr>
          <w:rFonts w:ascii="仿宋" w:hAnsi="仿宋" w:eastAsia="仿宋"/>
          <w:sz w:val="28"/>
          <w:szCs w:val="28"/>
        </w:rPr>
        <w:t>截至2020年年底，岳阳市共有民用汽车71.13万辆，千人汽车拥有量约为140辆/千人，高于全省平均水平（128辆/千人）。“十三五”期间，岳阳市民用汽车保有量年均增长率达到15%。</w:t>
      </w:r>
    </w:p>
    <w:p>
      <w:pPr>
        <w:pStyle w:val="10"/>
        <w:ind w:firstLine="560"/>
        <w:rPr>
          <w:rFonts w:ascii="仿宋" w:hAnsi="仿宋" w:eastAsia="仿宋"/>
        </w:rPr>
      </w:pPr>
      <w:r>
        <w:rPr>
          <w:rFonts w:ascii="仿宋" w:hAnsi="仿宋" w:eastAsia="仿宋"/>
        </w:rPr>
        <w:drawing>
          <wp:inline distT="0" distB="0" distL="0" distR="0">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8"/>
        <w:spacing w:after="0" w:afterLines="0" w:line="240" w:lineRule="auto"/>
        <w:rPr>
          <w:rFonts w:ascii="仿宋" w:hAnsi="仿宋" w:eastAsia="仿宋" w:cs="仿宋"/>
          <w:b w:val="0"/>
        </w:rPr>
      </w:pPr>
      <w:r>
        <w:rPr>
          <w:rFonts w:ascii="仿宋" w:hAnsi="仿宋" w:eastAsia="仿宋" w:cs="仿宋"/>
          <w:b w:val="0"/>
        </w:rPr>
        <w:t>图 3-1 岳阳市“十三五”民用汽车保有量增长情况</w:t>
      </w:r>
    </w:p>
    <w:p>
      <w:pPr>
        <w:pStyle w:val="10"/>
        <w:ind w:firstLine="420"/>
        <w:jc w:val="center"/>
        <w:rPr>
          <w:rFonts w:ascii="仿宋" w:hAnsi="仿宋" w:eastAsia="仿宋"/>
          <w:sz w:val="21"/>
          <w:szCs w:val="21"/>
        </w:rPr>
      </w:pPr>
      <w:r>
        <w:rPr>
          <w:rFonts w:ascii="仿宋" w:hAnsi="仿宋" w:eastAsia="仿宋"/>
          <w:sz w:val="21"/>
          <w:szCs w:val="21"/>
        </w:rPr>
        <w:t>备注：数据来源于2016-2020年《岳阳市统计年鉴》</w:t>
      </w:r>
    </w:p>
    <w:p>
      <w:pPr>
        <w:pStyle w:val="8"/>
        <w:spacing w:after="0" w:afterLines="0" w:line="240" w:lineRule="auto"/>
        <w:rPr>
          <w:rFonts w:ascii="仿宋" w:hAnsi="仿宋" w:eastAsia="仿宋" w:cs="仿宋"/>
          <w:b w:val="0"/>
        </w:rPr>
      </w:pPr>
      <w:r>
        <w:rPr>
          <w:rFonts w:ascii="仿宋" w:hAnsi="仿宋" w:eastAsia="仿宋" w:cs="仿宋"/>
          <w:b w:val="0"/>
        </w:rPr>
        <w:t xml:space="preserve">表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fldChar w:fldCharType="begin"/>
      </w:r>
      <w:r>
        <w:rPr>
          <w:rFonts w:ascii="仿宋" w:hAnsi="仿宋" w:eastAsia="仿宋" w:cs="仿宋"/>
          <w:b w:val="0"/>
        </w:rPr>
        <w:instrText xml:space="preserve"> SEQ 表 \* ARABIC \s 1 </w:instrText>
      </w:r>
      <w:r>
        <w:rPr>
          <w:rFonts w:ascii="仿宋" w:hAnsi="仿宋" w:eastAsia="仿宋" w:cs="仿宋"/>
          <w:b w:val="0"/>
        </w:rPr>
        <w:fldChar w:fldCharType="separate"/>
      </w:r>
      <w:r>
        <w:rPr>
          <w:rFonts w:ascii="仿宋" w:hAnsi="仿宋" w:eastAsia="仿宋" w:cs="仿宋"/>
          <w:b w:val="0"/>
        </w:rPr>
        <w:t>1</w:t>
      </w:r>
      <w:r>
        <w:rPr>
          <w:rFonts w:ascii="仿宋" w:hAnsi="仿宋" w:eastAsia="仿宋" w:cs="仿宋"/>
          <w:b w:val="0"/>
        </w:rPr>
        <w:fldChar w:fldCharType="end"/>
      </w:r>
      <w:r>
        <w:rPr>
          <w:rFonts w:ascii="仿宋" w:hAnsi="仿宋" w:eastAsia="仿宋" w:cs="仿宋"/>
          <w:b w:val="0"/>
        </w:rPr>
        <w:t xml:space="preserve"> 岳阳市历年公路水路客货运输量及机动车保有量发展状况</w:t>
      </w:r>
    </w:p>
    <w:tbl>
      <w:tblPr>
        <w:tblStyle w:val="25"/>
        <w:tblW w:w="8625" w:type="dxa"/>
        <w:tblInd w:w="0" w:type="dxa"/>
        <w:tblLayout w:type="fixed"/>
        <w:tblCellMar>
          <w:top w:w="15" w:type="dxa"/>
          <w:left w:w="15" w:type="dxa"/>
          <w:bottom w:w="15" w:type="dxa"/>
          <w:right w:w="15" w:type="dxa"/>
        </w:tblCellMar>
      </w:tblPr>
      <w:tblGrid>
        <w:gridCol w:w="847"/>
        <w:gridCol w:w="855"/>
        <w:gridCol w:w="852"/>
        <w:gridCol w:w="860"/>
        <w:gridCol w:w="857"/>
        <w:gridCol w:w="856"/>
        <w:gridCol w:w="858"/>
        <w:gridCol w:w="923"/>
        <w:gridCol w:w="862"/>
        <w:gridCol w:w="855"/>
      </w:tblGrid>
      <w:tr>
        <w:tblPrEx>
          <w:tblCellMar>
            <w:top w:w="15" w:type="dxa"/>
            <w:left w:w="15" w:type="dxa"/>
            <w:bottom w:w="15" w:type="dxa"/>
            <w:right w:w="15" w:type="dxa"/>
          </w:tblCellMar>
        </w:tblPrEx>
        <w:trPr>
          <w:trHeight w:val="283" w:hRule="atLeast"/>
        </w:trPr>
        <w:tc>
          <w:tcPr>
            <w:tcW w:w="847"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年份</w:t>
            </w:r>
          </w:p>
        </w:tc>
        <w:tc>
          <w:tcPr>
            <w:tcW w:w="3424" w:type="dxa"/>
            <w:gridSpan w:val="4"/>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客运</w:t>
            </w:r>
          </w:p>
        </w:tc>
        <w:tc>
          <w:tcPr>
            <w:tcW w:w="3499" w:type="dxa"/>
            <w:gridSpan w:val="4"/>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货运</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rPr>
              <w:t>民用汽车保有量（万辆）</w:t>
            </w:r>
          </w:p>
        </w:tc>
      </w:tr>
      <w:tr>
        <w:tblPrEx>
          <w:tblCellMar>
            <w:top w:w="15" w:type="dxa"/>
            <w:left w:w="15" w:type="dxa"/>
            <w:bottom w:w="15" w:type="dxa"/>
            <w:right w:w="15" w:type="dxa"/>
          </w:tblCellMar>
        </w:tblPrEx>
        <w:trPr>
          <w:trHeight w:val="523" w:hRule="atLeast"/>
        </w:trPr>
        <w:tc>
          <w:tcPr>
            <w:tcW w:w="847"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p>
        </w:tc>
        <w:tc>
          <w:tcPr>
            <w:tcW w:w="1707"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客运量（万人）</w:t>
            </w:r>
          </w:p>
        </w:tc>
        <w:tc>
          <w:tcPr>
            <w:tcW w:w="1717"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hint="eastAsia" w:ascii="仿宋" w:hAnsi="仿宋" w:eastAsia="仿宋" w:cs="Times New Roman"/>
                <w:lang w:eastAsia="zh-CN"/>
              </w:rPr>
            </w:pPr>
            <w:r>
              <w:rPr>
                <w:rFonts w:ascii="仿宋" w:hAnsi="仿宋" w:eastAsia="仿宋" w:cs="Times New Roman"/>
              </w:rPr>
              <w:t>旅客周转量</w:t>
            </w:r>
          </w:p>
          <w:p>
            <w:pPr>
              <w:pStyle w:val="37"/>
              <w:rPr>
                <w:rFonts w:ascii="仿宋" w:hAnsi="仿宋" w:eastAsia="仿宋" w:cs="Times New Roman"/>
              </w:rPr>
            </w:pPr>
            <w:r>
              <w:rPr>
                <w:rFonts w:ascii="仿宋" w:hAnsi="仿宋" w:eastAsia="仿宋" w:cs="Times New Roman"/>
              </w:rPr>
              <w:t>（万人公里）</w:t>
            </w:r>
          </w:p>
        </w:tc>
        <w:tc>
          <w:tcPr>
            <w:tcW w:w="1714"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货运量（万吨）</w:t>
            </w:r>
          </w:p>
        </w:tc>
        <w:tc>
          <w:tcPr>
            <w:tcW w:w="1785"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hint="eastAsia" w:ascii="仿宋" w:hAnsi="仿宋" w:eastAsia="仿宋" w:cs="Times New Roman"/>
                <w:lang w:eastAsia="zh-CN"/>
              </w:rPr>
            </w:pPr>
            <w:r>
              <w:rPr>
                <w:rFonts w:ascii="仿宋" w:hAnsi="仿宋" w:eastAsia="仿宋" w:cs="Times New Roman"/>
              </w:rPr>
              <w:t>货物周转量</w:t>
            </w:r>
          </w:p>
          <w:p>
            <w:pPr>
              <w:pStyle w:val="37"/>
              <w:rPr>
                <w:rFonts w:ascii="仿宋" w:hAnsi="仿宋" w:eastAsia="仿宋" w:cs="Times New Roman"/>
              </w:rPr>
            </w:pPr>
            <w:r>
              <w:rPr>
                <w:rFonts w:ascii="仿宋" w:hAnsi="仿宋" w:eastAsia="仿宋" w:cs="Times New Roman"/>
              </w:rPr>
              <w:t>（万吨公里）</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r>
      <w:tr>
        <w:tblPrEx>
          <w:tblCellMar>
            <w:top w:w="15" w:type="dxa"/>
            <w:left w:w="15" w:type="dxa"/>
            <w:bottom w:w="15" w:type="dxa"/>
            <w:right w:w="15" w:type="dxa"/>
          </w:tblCellMar>
        </w:tblPrEx>
        <w:trPr>
          <w:trHeight w:val="269" w:hRule="atLeast"/>
        </w:trPr>
        <w:tc>
          <w:tcPr>
            <w:tcW w:w="847"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公路</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水路</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公路</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水路</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公路</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水路</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公路</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水路</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r>
      <w:tr>
        <w:tblPrEx>
          <w:tblCellMar>
            <w:top w:w="15" w:type="dxa"/>
            <w:left w:w="15" w:type="dxa"/>
            <w:bottom w:w="15" w:type="dxa"/>
            <w:right w:w="15" w:type="dxa"/>
          </w:tblCellMar>
        </w:tblPrEx>
        <w:trPr>
          <w:trHeight w:val="269" w:hRule="atLeast"/>
        </w:trPr>
        <w:tc>
          <w:tcPr>
            <w:tcW w:w="84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2016</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9678</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3.8</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19575</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9545</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3055106</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726636</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42.05</w:t>
            </w:r>
          </w:p>
        </w:tc>
      </w:tr>
      <w:tr>
        <w:tblPrEx>
          <w:tblCellMar>
            <w:top w:w="15" w:type="dxa"/>
            <w:left w:w="15" w:type="dxa"/>
            <w:bottom w:w="15" w:type="dxa"/>
            <w:right w:w="15" w:type="dxa"/>
          </w:tblCellMar>
        </w:tblPrEx>
        <w:trPr>
          <w:trHeight w:val="269" w:hRule="atLeast"/>
        </w:trPr>
        <w:tc>
          <w:tcPr>
            <w:tcW w:w="84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2017</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9383</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492527</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67.1</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23379</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8926</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3574546</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682067</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48.95</w:t>
            </w:r>
          </w:p>
        </w:tc>
      </w:tr>
      <w:tr>
        <w:tblPrEx>
          <w:tblCellMar>
            <w:top w:w="15" w:type="dxa"/>
            <w:left w:w="15" w:type="dxa"/>
            <w:bottom w:w="15" w:type="dxa"/>
            <w:right w:w="15" w:type="dxa"/>
          </w:tblCellMar>
        </w:tblPrEx>
        <w:trPr>
          <w:trHeight w:val="269" w:hRule="atLeast"/>
        </w:trPr>
        <w:tc>
          <w:tcPr>
            <w:tcW w:w="84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2018</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84318</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8.8</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441304</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132.5</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25853</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8856</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3838192</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684665</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49.44</w:t>
            </w:r>
          </w:p>
        </w:tc>
      </w:tr>
      <w:tr>
        <w:tblPrEx>
          <w:tblCellMar>
            <w:top w:w="15" w:type="dxa"/>
            <w:left w:w="15" w:type="dxa"/>
            <w:bottom w:w="15" w:type="dxa"/>
            <w:right w:w="15" w:type="dxa"/>
          </w:tblCellMar>
        </w:tblPrEx>
        <w:trPr>
          <w:trHeight w:val="269" w:hRule="atLeast"/>
        </w:trPr>
        <w:tc>
          <w:tcPr>
            <w:tcW w:w="84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2019</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76608</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6.9</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415885</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96.3</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30534</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9309</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4309662</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758721</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64.62</w:t>
            </w:r>
          </w:p>
        </w:tc>
      </w:tr>
      <w:tr>
        <w:tblPrEx>
          <w:tblCellMar>
            <w:top w:w="15" w:type="dxa"/>
            <w:left w:w="15" w:type="dxa"/>
            <w:bottom w:w="15" w:type="dxa"/>
            <w:right w:w="15" w:type="dxa"/>
          </w:tblCellMar>
        </w:tblPrEx>
        <w:trPr>
          <w:trHeight w:val="283" w:hRule="atLeast"/>
        </w:trPr>
        <w:tc>
          <w:tcPr>
            <w:tcW w:w="84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2020</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3118</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2.8</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175213</w:t>
            </w:r>
          </w:p>
        </w:tc>
        <w:tc>
          <w:tcPr>
            <w:tcW w:w="85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39.6</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9849.87</w:t>
            </w:r>
          </w:p>
        </w:tc>
        <w:tc>
          <w:tcPr>
            <w:tcW w:w="92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71.13</w:t>
            </w:r>
          </w:p>
        </w:tc>
      </w:tr>
      <w:tr>
        <w:tblPrEx>
          <w:tblCellMar>
            <w:top w:w="15" w:type="dxa"/>
            <w:left w:w="15" w:type="dxa"/>
            <w:bottom w:w="15" w:type="dxa"/>
            <w:right w:w="15" w:type="dxa"/>
          </w:tblCellMar>
        </w:tblPrEx>
        <w:trPr>
          <w:trHeight w:val="312" w:hRule="atLeast"/>
        </w:trPr>
        <w:tc>
          <w:tcPr>
            <w:tcW w:w="847"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年均增长率</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-24.66%</w:t>
            </w:r>
          </w:p>
        </w:tc>
        <w:tc>
          <w:tcPr>
            <w:tcW w:w="852"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-7.35%</w:t>
            </w:r>
          </w:p>
        </w:tc>
        <w:tc>
          <w:tcPr>
            <w:tcW w:w="860"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-29.14%</w:t>
            </w:r>
          </w:p>
        </w:tc>
        <w:tc>
          <w:tcPr>
            <w:tcW w:w="857"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-16.12%</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15.97%</w:t>
            </w:r>
          </w:p>
        </w:tc>
        <w:tc>
          <w:tcPr>
            <w:tcW w:w="858"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0.79%</w:t>
            </w:r>
          </w:p>
        </w:tc>
        <w:tc>
          <w:tcPr>
            <w:tcW w:w="923"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12.15%</w:t>
            </w:r>
          </w:p>
        </w:tc>
        <w:tc>
          <w:tcPr>
            <w:tcW w:w="862"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1.45%</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14.04%</w:t>
            </w:r>
          </w:p>
        </w:tc>
      </w:tr>
      <w:tr>
        <w:tblPrEx>
          <w:tblCellMar>
            <w:top w:w="15" w:type="dxa"/>
            <w:left w:w="15" w:type="dxa"/>
            <w:bottom w:w="15" w:type="dxa"/>
            <w:right w:w="15" w:type="dxa"/>
          </w:tblCellMar>
        </w:tblPrEx>
        <w:trPr>
          <w:trHeight w:val="312" w:hRule="atLeast"/>
        </w:trPr>
        <w:tc>
          <w:tcPr>
            <w:tcW w:w="847"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2"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60"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7"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923"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62"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r>
    </w:tbl>
    <w:p>
      <w:pPr>
        <w:pStyle w:val="4"/>
        <w:spacing w:before="0" w:after="0" w:line="560" w:lineRule="exact"/>
        <w:rPr>
          <w:rFonts w:ascii="仿宋" w:hAnsi="仿宋" w:eastAsia="仿宋"/>
          <w:szCs w:val="22"/>
        </w:rPr>
      </w:pPr>
      <w:r>
        <w:rPr>
          <w:rFonts w:ascii="仿宋" w:hAnsi="仿宋" w:eastAsia="仿宋"/>
          <w:szCs w:val="22"/>
        </w:rPr>
        <w:t>电动汽车发展现状</w:t>
      </w:r>
    </w:p>
    <w:p>
      <w:pPr>
        <w:spacing w:line="360" w:lineRule="auto"/>
        <w:ind w:firstLine="560" w:firstLineChars="200"/>
        <w:rPr>
          <w:rFonts w:ascii="仿宋" w:hAnsi="仿宋" w:eastAsia="仿宋"/>
          <w:sz w:val="28"/>
          <w:szCs w:val="28"/>
        </w:rPr>
      </w:pPr>
      <w:r>
        <w:rPr>
          <w:rFonts w:ascii="仿宋" w:hAnsi="仿宋" w:eastAsia="仿宋"/>
          <w:sz w:val="28"/>
          <w:szCs w:val="28"/>
        </w:rPr>
        <w:t>截至2021年年底，岳阳市电动汽车1.4527万辆，占比1.86%。其中，私人乘用车11872辆，出租、网约车190辆，公交车1323辆，环卫车9辆，公务车804辆，旅游、通勤、公路客运329辆。从电动汽车构成来看，电动汽车主要分布在私家车、公交车，其中私电动家车占比达到83%；电动公交车1323辆，占比7.5%，占公交车总量的70%。各区县2021年各类型电动汽车保有量见下表：</w:t>
      </w:r>
    </w:p>
    <w:p>
      <w:pPr>
        <w:pStyle w:val="8"/>
        <w:spacing w:after="0" w:afterLines="0" w:line="240" w:lineRule="auto"/>
        <w:rPr>
          <w:rFonts w:ascii="仿宋" w:hAnsi="仿宋" w:eastAsia="仿宋" w:cs="仿宋"/>
          <w:b w:val="0"/>
        </w:rPr>
      </w:pPr>
      <w:r>
        <w:rPr>
          <w:rFonts w:ascii="仿宋" w:hAnsi="仿宋" w:eastAsia="仿宋" w:cs="仿宋"/>
          <w:b w:val="0"/>
        </w:rPr>
        <w:t xml:space="preserve">表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fldChar w:fldCharType="begin"/>
      </w:r>
      <w:r>
        <w:rPr>
          <w:rFonts w:ascii="仿宋" w:hAnsi="仿宋" w:eastAsia="仿宋" w:cs="仿宋"/>
          <w:b w:val="0"/>
        </w:rPr>
        <w:instrText xml:space="preserve"> SEQ 表 \* ARABIC \s 1 </w:instrText>
      </w:r>
      <w:r>
        <w:rPr>
          <w:rFonts w:ascii="仿宋" w:hAnsi="仿宋" w:eastAsia="仿宋" w:cs="仿宋"/>
          <w:b w:val="0"/>
        </w:rPr>
        <w:fldChar w:fldCharType="separate"/>
      </w:r>
      <w:r>
        <w:rPr>
          <w:rFonts w:ascii="仿宋" w:hAnsi="仿宋" w:eastAsia="仿宋" w:cs="仿宋"/>
          <w:b w:val="0"/>
        </w:rPr>
        <w:t>2</w:t>
      </w:r>
      <w:r>
        <w:rPr>
          <w:rFonts w:ascii="仿宋" w:hAnsi="仿宋" w:eastAsia="仿宋" w:cs="仿宋"/>
          <w:b w:val="0"/>
        </w:rPr>
        <w:fldChar w:fldCharType="end"/>
      </w:r>
      <w:r>
        <w:rPr>
          <w:rFonts w:ascii="仿宋" w:hAnsi="仿宋" w:eastAsia="仿宋" w:cs="仿宋"/>
          <w:b w:val="0"/>
        </w:rPr>
        <w:t xml:space="preserve">  岳阳市各区县电动汽车2021年发展情况</w:t>
      </w:r>
    </w:p>
    <w:p>
      <w:pPr>
        <w:keepNext/>
        <w:keepLines/>
        <w:adjustRightInd w:val="0"/>
        <w:snapToGrid w:val="0"/>
        <w:ind w:firstLine="420" w:firstLineChars="200"/>
        <w:jc w:val="right"/>
        <w:rPr>
          <w:rFonts w:ascii="仿宋" w:hAnsi="仿宋" w:eastAsia="仿宋"/>
        </w:rPr>
      </w:pPr>
      <w:r>
        <w:rPr>
          <w:rFonts w:ascii="仿宋" w:hAnsi="仿宋" w:eastAsia="仿宋"/>
          <w:lang w:bidi="ar"/>
        </w:rPr>
        <w:t>单位：辆</w:t>
      </w:r>
    </w:p>
    <w:tbl>
      <w:tblPr>
        <w:tblStyle w:val="25"/>
        <w:tblW w:w="8294" w:type="dxa"/>
        <w:jc w:val="center"/>
        <w:tblLayout w:type="fixed"/>
        <w:tblCellMar>
          <w:top w:w="15" w:type="dxa"/>
          <w:left w:w="15" w:type="dxa"/>
          <w:bottom w:w="15" w:type="dxa"/>
          <w:right w:w="15" w:type="dxa"/>
        </w:tblCellMar>
      </w:tblPr>
      <w:tblGrid>
        <w:gridCol w:w="1129"/>
        <w:gridCol w:w="1134"/>
        <w:gridCol w:w="993"/>
        <w:gridCol w:w="850"/>
        <w:gridCol w:w="992"/>
        <w:gridCol w:w="993"/>
        <w:gridCol w:w="1329"/>
        <w:gridCol w:w="874"/>
      </w:tblGrid>
      <w:tr>
        <w:tblPrEx>
          <w:tblCellMar>
            <w:top w:w="15" w:type="dxa"/>
            <w:left w:w="15" w:type="dxa"/>
            <w:bottom w:w="15" w:type="dxa"/>
            <w:right w:w="15" w:type="dxa"/>
          </w:tblCellMar>
        </w:tblPrEx>
        <w:trPr>
          <w:trHeight w:val="585"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类型</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私家车</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出租车、网约车</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公交车</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环卫车</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公务车</w:t>
            </w:r>
          </w:p>
        </w:tc>
        <w:tc>
          <w:tcPr>
            <w:tcW w:w="132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旅游、通勤、公路客运</w:t>
            </w:r>
          </w:p>
        </w:tc>
        <w:tc>
          <w:tcPr>
            <w:tcW w:w="874"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合计</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岳阳市中心城区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4023</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36</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595</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234</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4888</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平江县</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1565</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150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117</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1898</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岳阳县</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1367</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91</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90</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87</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1635</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华容县</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580</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26</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52</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54</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712</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湘阴县</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1980</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68</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146</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122</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2318</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临湘市</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339</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30</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125</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585</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汨罗市</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1227</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91</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95</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80</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1493</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云溪区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203</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36</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16</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37</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292</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君山区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448</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72</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35</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0</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555</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屈原管理区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140</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11</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0</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151</w:t>
            </w:r>
          </w:p>
        </w:tc>
      </w:tr>
      <w:tr>
        <w:tblPrEx>
          <w:tblCellMar>
            <w:top w:w="15" w:type="dxa"/>
            <w:left w:w="15" w:type="dxa"/>
            <w:bottom w:w="15" w:type="dxa"/>
            <w:right w:w="15" w:type="dxa"/>
          </w:tblCellMar>
        </w:tblPrEx>
        <w:trPr>
          <w:trHeight w:val="459" w:hRule="atLeast"/>
          <w:jc w:val="center"/>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合</w:t>
            </w:r>
            <w:r>
              <w:rPr>
                <w:rFonts w:ascii="仿宋" w:hAnsi="仿宋" w:eastAsia="仿宋"/>
                <w:szCs w:val="21"/>
              </w:rPr>
              <w:t>计</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11872</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190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1323</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9</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804</w:t>
            </w:r>
          </w:p>
        </w:tc>
        <w:tc>
          <w:tcPr>
            <w:tcW w:w="132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329</w:t>
            </w:r>
          </w:p>
        </w:tc>
        <w:tc>
          <w:tcPr>
            <w:tcW w:w="8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ascii="仿宋" w:hAnsi="仿宋" w:eastAsia="仿宋"/>
                <w:szCs w:val="21"/>
              </w:rPr>
              <w:t>14527</w:t>
            </w:r>
          </w:p>
        </w:tc>
      </w:tr>
    </w:tbl>
    <w:p>
      <w:pPr>
        <w:rPr>
          <w:rFonts w:ascii="仿宋" w:hAnsi="仿宋" w:eastAsia="仿宋"/>
          <w:szCs w:val="21"/>
        </w:rPr>
      </w:pPr>
    </w:p>
    <w:p>
      <w:pPr>
        <w:jc w:val="center"/>
        <w:rPr>
          <w:rFonts w:ascii="仿宋" w:hAnsi="仿宋" w:eastAsia="仿宋"/>
        </w:rPr>
      </w:pPr>
      <w:r>
        <w:rPr>
          <w:rFonts w:ascii="仿宋" w:hAnsi="仿宋" w:eastAsia="仿宋"/>
        </w:rPr>
        <w:drawing>
          <wp:inline distT="0" distB="0" distL="0" distR="0">
            <wp:extent cx="4235450" cy="2233930"/>
            <wp:effectExtent l="0" t="0" r="12700" b="1397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8"/>
        <w:spacing w:after="0" w:afterLines="0" w:line="240" w:lineRule="auto"/>
        <w:rPr>
          <w:rFonts w:ascii="仿宋" w:hAnsi="仿宋" w:eastAsia="仿宋" w:cs="仿宋"/>
          <w:b w:val="0"/>
        </w:rPr>
      </w:pPr>
      <w:r>
        <w:rPr>
          <w:rFonts w:ascii="仿宋" w:hAnsi="仿宋" w:eastAsia="仿宋" w:cs="仿宋"/>
          <w:b w:val="0"/>
        </w:rPr>
        <w:t xml:space="preserve">图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fldChar w:fldCharType="begin"/>
      </w:r>
      <w:r>
        <w:rPr>
          <w:rFonts w:ascii="仿宋" w:hAnsi="仿宋" w:eastAsia="仿宋" w:cs="仿宋"/>
          <w:b w:val="0"/>
        </w:rPr>
        <w:instrText xml:space="preserve"> SEQ 表 \* ARABIC \s 1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t xml:space="preserve">  岳阳市2021年电动汽车保有情况（单位：辆，%）</w:t>
      </w:r>
    </w:p>
    <w:p>
      <w:pPr>
        <w:pStyle w:val="3"/>
        <w:spacing w:line="560" w:lineRule="exact"/>
        <w:rPr>
          <w:rFonts w:ascii="仿宋" w:hAnsi="仿宋" w:eastAsia="仿宋"/>
          <w:color w:val="auto"/>
          <w:szCs w:val="22"/>
        </w:rPr>
      </w:pPr>
      <w:bookmarkStart w:id="89" w:name="_Toc101299800"/>
      <w:bookmarkStart w:id="90" w:name="_Toc68014577"/>
      <w:r>
        <w:rPr>
          <w:rFonts w:ascii="仿宋" w:hAnsi="仿宋" w:eastAsia="仿宋"/>
          <w:color w:val="auto"/>
          <w:szCs w:val="22"/>
        </w:rPr>
        <w:t>充（换）电设施现状</w:t>
      </w:r>
      <w:bookmarkEnd w:id="89"/>
      <w:bookmarkEnd w:id="90"/>
    </w:p>
    <w:p>
      <w:pPr>
        <w:spacing w:line="360" w:lineRule="auto"/>
        <w:ind w:firstLine="560" w:firstLineChars="200"/>
        <w:rPr>
          <w:rFonts w:ascii="仿宋" w:hAnsi="仿宋" w:eastAsia="仿宋"/>
          <w:sz w:val="28"/>
          <w:szCs w:val="28"/>
        </w:rPr>
      </w:pPr>
      <w:r>
        <w:rPr>
          <w:rFonts w:ascii="仿宋" w:hAnsi="仿宋" w:eastAsia="仿宋"/>
          <w:sz w:val="28"/>
          <w:szCs w:val="28"/>
        </w:rPr>
        <w:t>截至2022年2月，全市共有公共充电点119处，充电桩1416</w:t>
      </w:r>
      <w:r>
        <w:rPr>
          <w:rFonts w:hint="eastAsia" w:ascii="仿宋" w:hAnsi="仿宋" w:eastAsia="仿宋"/>
          <w:sz w:val="28"/>
          <w:szCs w:val="28"/>
        </w:rPr>
        <w:t>个</w:t>
      </w:r>
      <w:r>
        <w:rPr>
          <w:rFonts w:ascii="仿宋" w:hAnsi="仿宋" w:eastAsia="仿宋"/>
          <w:sz w:val="28"/>
          <w:szCs w:val="28"/>
        </w:rPr>
        <w:t>，换电站1处（蔚来充换电站一座）。其中：直流桩1243</w:t>
      </w:r>
      <w:r>
        <w:rPr>
          <w:rFonts w:hint="eastAsia" w:ascii="仿宋" w:hAnsi="仿宋" w:eastAsia="仿宋"/>
          <w:sz w:val="28"/>
          <w:szCs w:val="28"/>
        </w:rPr>
        <w:t>个</w:t>
      </w:r>
      <w:r>
        <w:rPr>
          <w:rFonts w:ascii="仿宋" w:hAnsi="仿宋" w:eastAsia="仿宋"/>
          <w:sz w:val="28"/>
          <w:szCs w:val="28"/>
        </w:rPr>
        <w:t>，功率74070千瓦；交流桩173</w:t>
      </w:r>
      <w:r>
        <w:rPr>
          <w:rFonts w:hint="eastAsia" w:ascii="仿宋" w:hAnsi="仿宋" w:eastAsia="仿宋"/>
          <w:sz w:val="28"/>
          <w:szCs w:val="28"/>
        </w:rPr>
        <w:t>个</w:t>
      </w:r>
      <w:r>
        <w:rPr>
          <w:rFonts w:ascii="仿宋" w:hAnsi="仿宋" w:eastAsia="仿宋"/>
          <w:sz w:val="28"/>
          <w:szCs w:val="28"/>
        </w:rPr>
        <w:t>，功率1211千瓦。交流充电桩以7千瓦/枪为主，直流充电桩主要有60千瓦/枪、120千瓦/枪等规格。</w:t>
      </w:r>
    </w:p>
    <w:p>
      <w:pPr>
        <w:spacing w:line="360" w:lineRule="auto"/>
        <w:ind w:firstLine="560" w:firstLineChars="200"/>
        <w:rPr>
          <w:rFonts w:ascii="仿宋" w:hAnsi="仿宋" w:eastAsia="仿宋"/>
          <w:sz w:val="28"/>
          <w:szCs w:val="28"/>
        </w:rPr>
      </w:pPr>
      <w:r>
        <w:rPr>
          <w:rFonts w:ascii="仿宋" w:hAnsi="仿宋" w:eastAsia="仿宋"/>
          <w:sz w:val="28"/>
          <w:szCs w:val="28"/>
        </w:rPr>
        <w:t>已建设充电设施中，公交车专用充电站19座，充电桩556</w:t>
      </w:r>
      <w:r>
        <w:rPr>
          <w:rFonts w:hint="eastAsia" w:ascii="仿宋" w:hAnsi="仿宋" w:eastAsia="仿宋"/>
          <w:sz w:val="28"/>
          <w:szCs w:val="28"/>
        </w:rPr>
        <w:t>个</w:t>
      </w:r>
      <w:r>
        <w:rPr>
          <w:rFonts w:ascii="仿宋" w:hAnsi="仿宋" w:eastAsia="仿宋"/>
          <w:sz w:val="28"/>
          <w:szCs w:val="28"/>
        </w:rPr>
        <w:t>，客运专用充站站10座，充电桩208</w:t>
      </w:r>
      <w:r>
        <w:rPr>
          <w:rFonts w:hint="eastAsia" w:ascii="仿宋" w:hAnsi="仿宋" w:eastAsia="仿宋"/>
          <w:sz w:val="28"/>
          <w:szCs w:val="28"/>
        </w:rPr>
        <w:t>个，</w:t>
      </w:r>
      <w:r>
        <w:rPr>
          <w:rFonts w:ascii="仿宋" w:hAnsi="仿宋" w:eastAsia="仿宋"/>
          <w:sz w:val="28"/>
          <w:szCs w:val="28"/>
        </w:rPr>
        <w:t>均为直流充电桩；社会公用充电点90处，充电桩652</w:t>
      </w:r>
      <w:r>
        <w:rPr>
          <w:rFonts w:hint="eastAsia" w:ascii="仿宋" w:hAnsi="仿宋" w:eastAsia="仿宋"/>
          <w:sz w:val="28"/>
          <w:szCs w:val="28"/>
        </w:rPr>
        <w:t>个</w:t>
      </w:r>
      <w:r>
        <w:rPr>
          <w:rFonts w:ascii="仿宋" w:hAnsi="仿宋" w:eastAsia="仿宋"/>
          <w:sz w:val="28"/>
          <w:szCs w:val="28"/>
        </w:rPr>
        <w:t>，其中直流</w:t>
      </w:r>
      <w:r>
        <w:rPr>
          <w:rFonts w:hint="eastAsia" w:ascii="仿宋" w:hAnsi="仿宋" w:eastAsia="仿宋"/>
          <w:sz w:val="28"/>
          <w:szCs w:val="28"/>
        </w:rPr>
        <w:t>桩</w:t>
      </w:r>
      <w:r>
        <w:rPr>
          <w:rFonts w:ascii="仿宋" w:hAnsi="仿宋" w:eastAsia="仿宋"/>
          <w:sz w:val="28"/>
          <w:szCs w:val="28"/>
        </w:rPr>
        <w:t>479</w:t>
      </w:r>
      <w:r>
        <w:rPr>
          <w:rFonts w:hint="eastAsia" w:ascii="仿宋" w:hAnsi="仿宋" w:eastAsia="仿宋"/>
          <w:sz w:val="28"/>
          <w:szCs w:val="28"/>
        </w:rPr>
        <w:t>个</w:t>
      </w:r>
      <w:r>
        <w:rPr>
          <w:rFonts w:ascii="仿宋" w:hAnsi="仿宋" w:eastAsia="仿宋"/>
          <w:sz w:val="28"/>
          <w:szCs w:val="28"/>
        </w:rPr>
        <w:t>，交流</w:t>
      </w:r>
      <w:r>
        <w:rPr>
          <w:rFonts w:hint="eastAsia" w:ascii="仿宋" w:hAnsi="仿宋" w:eastAsia="仿宋"/>
          <w:sz w:val="28"/>
          <w:szCs w:val="28"/>
        </w:rPr>
        <w:t>桩</w:t>
      </w:r>
      <w:r>
        <w:rPr>
          <w:rFonts w:ascii="仿宋" w:hAnsi="仿宋" w:eastAsia="仿宋"/>
          <w:sz w:val="28"/>
          <w:szCs w:val="28"/>
        </w:rPr>
        <w:t>173</w:t>
      </w:r>
      <w:r>
        <w:rPr>
          <w:rFonts w:hint="eastAsia" w:ascii="仿宋" w:hAnsi="仿宋" w:eastAsia="仿宋"/>
          <w:sz w:val="28"/>
          <w:szCs w:val="28"/>
        </w:rPr>
        <w:t>个</w:t>
      </w:r>
      <w:r>
        <w:rPr>
          <w:rFonts w:ascii="仿宋" w:hAnsi="仿宋" w:eastAsia="仿宋"/>
          <w:sz w:val="28"/>
          <w:szCs w:val="28"/>
        </w:rPr>
        <w:t>。公交车专用充电桩主要位于在公交公司停车场、大型公交枢纽站等位置，社会公共充电桩主要位于景区、汽贸城和广场的公共停车场以及企事业单位、政府单位内部。</w:t>
      </w:r>
    </w:p>
    <w:p>
      <w:pPr>
        <w:pStyle w:val="8"/>
        <w:spacing w:after="0" w:afterLines="0" w:line="240" w:lineRule="auto"/>
        <w:rPr>
          <w:rFonts w:ascii="仿宋" w:hAnsi="仿宋" w:eastAsia="仿宋" w:cs="仿宋"/>
          <w:b w:val="0"/>
        </w:rPr>
      </w:pPr>
      <w:r>
        <w:rPr>
          <w:rFonts w:ascii="仿宋" w:hAnsi="仿宋" w:eastAsia="仿宋" w:cs="仿宋"/>
          <w:b w:val="0"/>
        </w:rPr>
        <w:t xml:space="preserve">表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t>3 各区县公共充电设施建设现状</w:t>
      </w:r>
    </w:p>
    <w:tbl>
      <w:tblPr>
        <w:tblStyle w:val="25"/>
        <w:tblW w:w="8473" w:type="dxa"/>
        <w:tblInd w:w="0" w:type="dxa"/>
        <w:tblLayout w:type="fixed"/>
        <w:tblCellMar>
          <w:top w:w="15" w:type="dxa"/>
          <w:left w:w="15" w:type="dxa"/>
          <w:bottom w:w="15" w:type="dxa"/>
          <w:right w:w="15" w:type="dxa"/>
        </w:tblCellMar>
      </w:tblPr>
      <w:tblGrid>
        <w:gridCol w:w="1838"/>
        <w:gridCol w:w="851"/>
        <w:gridCol w:w="850"/>
        <w:gridCol w:w="851"/>
        <w:gridCol w:w="850"/>
        <w:gridCol w:w="851"/>
        <w:gridCol w:w="850"/>
        <w:gridCol w:w="695"/>
        <w:gridCol w:w="837"/>
      </w:tblGrid>
      <w:tr>
        <w:tblPrEx>
          <w:tblCellMar>
            <w:top w:w="15" w:type="dxa"/>
            <w:left w:w="15" w:type="dxa"/>
            <w:bottom w:w="15" w:type="dxa"/>
            <w:right w:w="15" w:type="dxa"/>
          </w:tblCellMar>
        </w:tblPrEx>
        <w:trPr>
          <w:trHeight w:val="269" w:hRule="atLeast"/>
        </w:trPr>
        <w:tc>
          <w:tcPr>
            <w:tcW w:w="1838"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所属区县</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公交专用</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客运专用</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社会公用</w:t>
            </w:r>
          </w:p>
        </w:tc>
        <w:tc>
          <w:tcPr>
            <w:tcW w:w="1532"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合计</w:t>
            </w:r>
          </w:p>
        </w:tc>
      </w:tr>
      <w:tr>
        <w:tblPrEx>
          <w:tblCellMar>
            <w:top w:w="15" w:type="dxa"/>
            <w:left w:w="15" w:type="dxa"/>
            <w:bottom w:w="15" w:type="dxa"/>
            <w:right w:w="15" w:type="dxa"/>
          </w:tblCellMar>
        </w:tblPrEx>
        <w:trPr>
          <w:trHeight w:val="269" w:hRule="atLeast"/>
        </w:trPr>
        <w:tc>
          <w:tcPr>
            <w:tcW w:w="1838"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充电站</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充电桩</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充电站</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充电桩</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充电站</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充电桩</w:t>
            </w:r>
          </w:p>
        </w:tc>
        <w:tc>
          <w:tcPr>
            <w:tcW w:w="69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充电站</w:t>
            </w:r>
          </w:p>
        </w:tc>
        <w:tc>
          <w:tcPr>
            <w:tcW w:w="83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充电桩</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岳阳市中心城区</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270</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34</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316</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44</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608</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平江县</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57</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11</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101</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岳阳县</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20</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16</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63</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99</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华容县</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30</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86</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湘阴县</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33</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36</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8</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73</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临湘市</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40</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36</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76</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汨罗市</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88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52</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53</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193</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云溪区</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36</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48</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君山区</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39</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44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14</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97</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屈原管理区</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3</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12</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京港澳高速岳阳段</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23</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7</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23</w:t>
            </w:r>
          </w:p>
        </w:tc>
      </w:tr>
      <w:tr>
        <w:tblPrEx>
          <w:tblCellMar>
            <w:top w:w="15" w:type="dxa"/>
            <w:left w:w="15" w:type="dxa"/>
            <w:bottom w:w="15" w:type="dxa"/>
            <w:right w:w="15" w:type="dxa"/>
          </w:tblCellMar>
        </w:tblPrEx>
        <w:trPr>
          <w:trHeight w:val="269" w:hRule="atLeast"/>
        </w:trPr>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总计</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19</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556</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208</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90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652</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119</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1416</w:t>
            </w:r>
          </w:p>
        </w:tc>
      </w:tr>
    </w:tbl>
    <w:p>
      <w:pPr>
        <w:spacing w:line="360" w:lineRule="auto"/>
        <w:ind w:firstLine="560" w:firstLineChars="200"/>
        <w:rPr>
          <w:rFonts w:ascii="仿宋" w:hAnsi="仿宋" w:eastAsia="仿宋"/>
          <w:sz w:val="28"/>
          <w:szCs w:val="28"/>
        </w:rPr>
      </w:pPr>
      <w:r>
        <w:rPr>
          <w:rFonts w:ascii="仿宋" w:hAnsi="仿宋" w:eastAsia="仿宋"/>
          <w:sz w:val="28"/>
          <w:szCs w:val="28"/>
        </w:rPr>
        <w:t>截至2021年12月，全市共有私人充电桩2700个，均为交流慢充充电桩，私人充电桩占比23%，每4台私人电动车拥有1个私人充电桩。各县私人桩建设情况如表3-4所示。</w:t>
      </w:r>
    </w:p>
    <w:p>
      <w:pPr>
        <w:pStyle w:val="8"/>
        <w:spacing w:after="0" w:afterLines="0" w:line="240" w:lineRule="auto"/>
        <w:rPr>
          <w:rFonts w:ascii="仿宋" w:hAnsi="仿宋" w:eastAsia="仿宋" w:cs="仿宋"/>
          <w:b w:val="0"/>
        </w:rPr>
      </w:pPr>
      <w:r>
        <w:rPr>
          <w:rFonts w:ascii="仿宋" w:hAnsi="仿宋" w:eastAsia="仿宋" w:cs="仿宋"/>
          <w:b w:val="0"/>
        </w:rPr>
        <w:t xml:space="preserve">表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t>4 各区县私人充电桩建设情况</w:t>
      </w:r>
    </w:p>
    <w:tbl>
      <w:tblPr>
        <w:tblStyle w:val="25"/>
        <w:tblW w:w="807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838"/>
        <w:gridCol w:w="1843"/>
        <w:gridCol w:w="2745"/>
        <w:gridCol w:w="16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rPr>
            </w:pPr>
            <w:r>
              <w:rPr>
                <w:rFonts w:ascii="仿宋" w:hAnsi="仿宋" w:eastAsia="仿宋" w:cs="Times New Roman"/>
              </w:rPr>
              <w:t>区县</w:t>
            </w:r>
          </w:p>
        </w:tc>
        <w:tc>
          <w:tcPr>
            <w:tcW w:w="1843" w:type="dxa"/>
            <w:vAlign w:val="center"/>
          </w:tcPr>
          <w:p>
            <w:pPr>
              <w:pStyle w:val="37"/>
              <w:rPr>
                <w:rFonts w:ascii="仿宋" w:hAnsi="仿宋" w:eastAsia="仿宋" w:cs="Times New Roman"/>
              </w:rPr>
            </w:pPr>
            <w:r>
              <w:rPr>
                <w:rFonts w:ascii="仿宋" w:hAnsi="仿宋" w:eastAsia="仿宋" w:cs="Times New Roman"/>
              </w:rPr>
              <w:t>私人充电桩保有量</w:t>
            </w:r>
          </w:p>
        </w:tc>
        <w:tc>
          <w:tcPr>
            <w:tcW w:w="2745" w:type="dxa"/>
            <w:vAlign w:val="center"/>
          </w:tcPr>
          <w:p>
            <w:pPr>
              <w:pStyle w:val="37"/>
              <w:rPr>
                <w:rFonts w:ascii="仿宋" w:hAnsi="仿宋" w:eastAsia="仿宋" w:cs="Times New Roman"/>
              </w:rPr>
            </w:pPr>
            <w:r>
              <w:rPr>
                <w:rFonts w:ascii="仿宋" w:hAnsi="仿宋" w:eastAsia="仿宋" w:cs="Times New Roman"/>
              </w:rPr>
              <w:t>私人电动汽车保有量</w:t>
            </w:r>
          </w:p>
        </w:tc>
        <w:tc>
          <w:tcPr>
            <w:tcW w:w="1649" w:type="dxa"/>
            <w:vAlign w:val="center"/>
          </w:tcPr>
          <w:p>
            <w:pPr>
              <w:pStyle w:val="37"/>
              <w:rPr>
                <w:rFonts w:ascii="仿宋" w:hAnsi="仿宋" w:eastAsia="仿宋" w:cs="Times New Roman"/>
              </w:rPr>
            </w:pPr>
            <w:r>
              <w:rPr>
                <w:rFonts w:ascii="仿宋" w:hAnsi="仿宋" w:eastAsia="仿宋" w:cs="Times New Roman"/>
              </w:rPr>
              <w:t>私人充电桩占比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岳阳市中心城区</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907</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4023</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平江县</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423</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1565</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岳阳县</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189</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1367</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华容县</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90</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580</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湘阴县</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423</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1980</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临湘市</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115</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339</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汨罗市</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364</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1227</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云溪区</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61</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203</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君山区</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86</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448</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hint="eastAsia" w:ascii="仿宋" w:hAnsi="仿宋" w:eastAsia="仿宋" w:cs="Times New Roman"/>
                <w:bCs w:val="0"/>
              </w:rPr>
              <w:t>屈原管理区</w:t>
            </w:r>
          </w:p>
        </w:tc>
        <w:tc>
          <w:tcPr>
            <w:tcW w:w="1843" w:type="dxa"/>
            <w:vAlign w:val="center"/>
          </w:tcPr>
          <w:p>
            <w:pPr>
              <w:pStyle w:val="37"/>
              <w:rPr>
                <w:rFonts w:ascii="仿宋" w:hAnsi="仿宋" w:eastAsia="仿宋" w:cs="Times New Roman"/>
                <w:bCs w:val="0"/>
              </w:rPr>
            </w:pPr>
            <w:r>
              <w:rPr>
                <w:rFonts w:hint="eastAsia" w:ascii="仿宋" w:hAnsi="仿宋" w:eastAsia="仿宋" w:cs="Times New Roman"/>
                <w:bCs w:val="0"/>
              </w:rPr>
              <w:t>42</w:t>
            </w:r>
          </w:p>
        </w:tc>
        <w:tc>
          <w:tcPr>
            <w:tcW w:w="2745" w:type="dxa"/>
            <w:vAlign w:val="center"/>
          </w:tcPr>
          <w:p>
            <w:pPr>
              <w:pStyle w:val="37"/>
              <w:rPr>
                <w:rFonts w:ascii="仿宋" w:hAnsi="仿宋" w:eastAsia="仿宋" w:cs="Times New Roman"/>
                <w:bCs w:val="0"/>
              </w:rPr>
            </w:pPr>
            <w:r>
              <w:rPr>
                <w:rFonts w:hint="eastAsia" w:ascii="仿宋" w:hAnsi="仿宋" w:eastAsia="仿宋" w:cs="Times New Roman"/>
                <w:bCs w:val="0"/>
              </w:rPr>
              <w:t>140</w:t>
            </w:r>
          </w:p>
        </w:tc>
        <w:tc>
          <w:tcPr>
            <w:tcW w:w="1649" w:type="dxa"/>
            <w:vAlign w:val="center"/>
          </w:tcPr>
          <w:p>
            <w:pPr>
              <w:pStyle w:val="37"/>
              <w:rPr>
                <w:rFonts w:ascii="仿宋" w:hAnsi="仿宋" w:eastAsia="仿宋" w:cs="Times New Roman"/>
                <w:bCs w:val="0"/>
              </w:rPr>
            </w:pPr>
            <w:r>
              <w:rPr>
                <w:rFonts w:hint="eastAsia" w:ascii="仿宋" w:hAnsi="仿宋" w:eastAsia="仿宋" w:cs="Times New Roman"/>
                <w:bCs w:val="0"/>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8" w:hRule="atLeast"/>
          <w:jc w:val="center"/>
        </w:trPr>
        <w:tc>
          <w:tcPr>
            <w:tcW w:w="1838" w:type="dxa"/>
            <w:vAlign w:val="center"/>
          </w:tcPr>
          <w:p>
            <w:pPr>
              <w:pStyle w:val="37"/>
              <w:rPr>
                <w:rFonts w:ascii="仿宋" w:hAnsi="仿宋" w:eastAsia="仿宋" w:cs="Times New Roman"/>
                <w:bCs w:val="0"/>
              </w:rPr>
            </w:pPr>
            <w:r>
              <w:rPr>
                <w:rFonts w:ascii="仿宋" w:hAnsi="仿宋" w:eastAsia="仿宋" w:cs="Times New Roman"/>
                <w:bCs w:val="0"/>
              </w:rPr>
              <w:t>岳阳市合计</w:t>
            </w:r>
          </w:p>
        </w:tc>
        <w:tc>
          <w:tcPr>
            <w:tcW w:w="1843" w:type="dxa"/>
            <w:vAlign w:val="center"/>
          </w:tcPr>
          <w:p>
            <w:pPr>
              <w:pStyle w:val="37"/>
              <w:rPr>
                <w:rFonts w:ascii="仿宋" w:hAnsi="仿宋" w:eastAsia="仿宋" w:cs="Times New Roman"/>
                <w:bCs w:val="0"/>
              </w:rPr>
            </w:pPr>
            <w:r>
              <w:rPr>
                <w:rFonts w:ascii="仿宋" w:hAnsi="仿宋" w:eastAsia="仿宋" w:cs="Times New Roman"/>
                <w:bCs w:val="0"/>
              </w:rPr>
              <w:t>2700</w:t>
            </w:r>
          </w:p>
        </w:tc>
        <w:tc>
          <w:tcPr>
            <w:tcW w:w="2745" w:type="dxa"/>
            <w:vAlign w:val="center"/>
          </w:tcPr>
          <w:p>
            <w:pPr>
              <w:pStyle w:val="37"/>
              <w:rPr>
                <w:rFonts w:ascii="仿宋" w:hAnsi="仿宋" w:eastAsia="仿宋" w:cs="Times New Roman"/>
                <w:bCs w:val="0"/>
              </w:rPr>
            </w:pPr>
            <w:r>
              <w:rPr>
                <w:rFonts w:ascii="仿宋" w:hAnsi="仿宋" w:eastAsia="仿宋" w:cs="Times New Roman"/>
                <w:bCs w:val="0"/>
              </w:rPr>
              <w:t>11872</w:t>
            </w:r>
          </w:p>
        </w:tc>
        <w:tc>
          <w:tcPr>
            <w:tcW w:w="1649" w:type="dxa"/>
            <w:vAlign w:val="center"/>
          </w:tcPr>
          <w:p>
            <w:pPr>
              <w:pStyle w:val="37"/>
              <w:rPr>
                <w:rFonts w:ascii="仿宋" w:hAnsi="仿宋" w:eastAsia="仿宋" w:cs="Times New Roman"/>
                <w:bCs w:val="0"/>
              </w:rPr>
            </w:pPr>
            <w:r>
              <w:rPr>
                <w:rFonts w:ascii="仿宋" w:hAnsi="仿宋" w:eastAsia="仿宋" w:cs="Times New Roman"/>
                <w:bCs w:val="0"/>
              </w:rPr>
              <w:t>23%</w:t>
            </w:r>
          </w:p>
        </w:tc>
      </w:tr>
    </w:tbl>
    <w:p>
      <w:pPr>
        <w:pStyle w:val="3"/>
        <w:spacing w:before="360" w:line="560" w:lineRule="exact"/>
        <w:ind w:left="867" w:hanging="867" w:hangingChars="270"/>
        <w:rPr>
          <w:rFonts w:ascii="仿宋" w:hAnsi="仿宋" w:eastAsia="仿宋"/>
          <w:color w:val="auto"/>
          <w:szCs w:val="22"/>
        </w:rPr>
      </w:pPr>
      <w:bookmarkStart w:id="91" w:name="_Toc68014579"/>
      <w:bookmarkStart w:id="92" w:name="_Toc101299801"/>
      <w:r>
        <w:rPr>
          <w:rFonts w:ascii="仿宋" w:hAnsi="仿宋" w:eastAsia="仿宋"/>
          <w:color w:val="auto"/>
          <w:szCs w:val="22"/>
        </w:rPr>
        <w:t>充电设施运行分析</w:t>
      </w:r>
      <w:bookmarkEnd w:id="91"/>
      <w:bookmarkEnd w:id="92"/>
    </w:p>
    <w:p>
      <w:pPr>
        <w:pStyle w:val="4"/>
        <w:spacing w:before="0" w:after="0" w:line="560" w:lineRule="exact"/>
        <w:rPr>
          <w:rFonts w:ascii="仿宋" w:hAnsi="仿宋" w:eastAsia="仿宋"/>
          <w:szCs w:val="22"/>
        </w:rPr>
      </w:pPr>
      <w:r>
        <w:rPr>
          <w:rFonts w:ascii="仿宋" w:hAnsi="仿宋" w:eastAsia="仿宋"/>
          <w:szCs w:val="22"/>
        </w:rPr>
        <w:t>充电设施服务能力</w:t>
      </w:r>
    </w:p>
    <w:p>
      <w:pPr>
        <w:spacing w:line="360" w:lineRule="auto"/>
        <w:ind w:firstLine="560" w:firstLineChars="200"/>
        <w:rPr>
          <w:rFonts w:ascii="仿宋" w:hAnsi="仿宋" w:eastAsia="仿宋"/>
          <w:sz w:val="28"/>
          <w:szCs w:val="28"/>
        </w:rPr>
      </w:pPr>
      <w:r>
        <w:rPr>
          <w:rFonts w:ascii="仿宋" w:hAnsi="仿宋" w:eastAsia="仿宋"/>
          <w:sz w:val="28"/>
          <w:szCs w:val="28"/>
        </w:rPr>
        <w:t>根据现状统计数据，岳阳市电动汽车推广规模与充电设施建设规模的比例（车桩比）约为3.53:1，充电设施的服务能力仍需提升，以满足用户充电需求。从不同类型电动汽车的服务水平看，公交客运等电动专用充电设施能够满足日常充电需求；私家车的自用充电桩建设数量正快速增长。全市城区服务半径达1.53千米，岳阳市中心城区的服务半径0.47千米，云溪、君山、屈原城区服务半径超过2公里。</w:t>
      </w:r>
    </w:p>
    <w:p>
      <w:pPr>
        <w:pStyle w:val="8"/>
        <w:spacing w:after="0" w:afterLines="0" w:line="240" w:lineRule="auto"/>
        <w:rPr>
          <w:rFonts w:ascii="仿宋" w:hAnsi="仿宋" w:eastAsia="仿宋" w:cs="仿宋"/>
          <w:b w:val="0"/>
        </w:rPr>
      </w:pPr>
      <w:r>
        <w:rPr>
          <w:rFonts w:ascii="仿宋" w:hAnsi="仿宋" w:eastAsia="仿宋" w:cs="仿宋"/>
          <w:b w:val="0"/>
        </w:rPr>
        <w:t xml:space="preserve">表 </w:t>
      </w:r>
      <w:r>
        <w:rPr>
          <w:rFonts w:ascii="仿宋" w:hAnsi="仿宋" w:eastAsia="仿宋" w:cs="仿宋"/>
          <w:b w:val="0"/>
        </w:rPr>
        <w:fldChar w:fldCharType="begin"/>
      </w:r>
      <w:r>
        <w:rPr>
          <w:rFonts w:ascii="仿宋" w:hAnsi="仿宋" w:eastAsia="仿宋" w:cs="仿宋"/>
          <w:b w:val="0"/>
        </w:rPr>
        <w:instrText xml:space="preserve"> STYLEREF 1 \s </w:instrText>
      </w:r>
      <w:r>
        <w:rPr>
          <w:rFonts w:ascii="仿宋" w:hAnsi="仿宋" w:eastAsia="仿宋" w:cs="仿宋"/>
          <w:b w:val="0"/>
        </w:rPr>
        <w:fldChar w:fldCharType="separate"/>
      </w:r>
      <w:r>
        <w:rPr>
          <w:rFonts w:ascii="仿宋" w:hAnsi="仿宋" w:eastAsia="仿宋" w:cs="仿宋"/>
          <w:b w:val="0"/>
        </w:rPr>
        <w:t>3</w:t>
      </w:r>
      <w:r>
        <w:rPr>
          <w:rFonts w:ascii="仿宋" w:hAnsi="仿宋" w:eastAsia="仿宋" w:cs="仿宋"/>
          <w:b w:val="0"/>
        </w:rPr>
        <w:fldChar w:fldCharType="end"/>
      </w:r>
      <w:r>
        <w:rPr>
          <w:rFonts w:ascii="仿宋" w:hAnsi="仿宋" w:eastAsia="仿宋" w:cs="仿宋"/>
          <w:b w:val="0"/>
        </w:rPr>
        <w:noBreakHyphen/>
      </w:r>
      <w:r>
        <w:rPr>
          <w:rFonts w:ascii="仿宋" w:hAnsi="仿宋" w:eastAsia="仿宋" w:cs="仿宋"/>
          <w:b w:val="0"/>
        </w:rPr>
        <w:t>5 各区县充电设施服务能力</w:t>
      </w:r>
    </w:p>
    <w:tbl>
      <w:tblPr>
        <w:tblStyle w:val="25"/>
        <w:tblW w:w="8263" w:type="dxa"/>
        <w:tblInd w:w="0" w:type="dxa"/>
        <w:tblLayout w:type="fixed"/>
        <w:tblCellMar>
          <w:top w:w="15" w:type="dxa"/>
          <w:left w:w="15" w:type="dxa"/>
          <w:bottom w:w="15" w:type="dxa"/>
          <w:right w:w="15" w:type="dxa"/>
        </w:tblCellMar>
      </w:tblPr>
      <w:tblGrid>
        <w:gridCol w:w="893"/>
        <w:gridCol w:w="662"/>
        <w:gridCol w:w="739"/>
        <w:gridCol w:w="741"/>
        <w:gridCol w:w="761"/>
        <w:gridCol w:w="730"/>
        <w:gridCol w:w="755"/>
        <w:gridCol w:w="1033"/>
        <w:gridCol w:w="897"/>
        <w:gridCol w:w="1052"/>
      </w:tblGrid>
      <w:tr>
        <w:tblPrEx>
          <w:tblCellMar>
            <w:top w:w="15" w:type="dxa"/>
            <w:left w:w="15" w:type="dxa"/>
            <w:bottom w:w="15" w:type="dxa"/>
            <w:right w:w="15" w:type="dxa"/>
          </w:tblCellMar>
        </w:tblPrEx>
        <w:trPr>
          <w:trHeight w:val="298" w:hRule="atLeast"/>
        </w:trPr>
        <w:tc>
          <w:tcPr>
            <w:tcW w:w="893"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所属区县</w:t>
            </w:r>
          </w:p>
        </w:tc>
        <w:tc>
          <w:tcPr>
            <w:tcW w:w="662" w:type="dxa"/>
            <w:vMerge w:val="restart"/>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合计</w:t>
            </w:r>
          </w:p>
        </w:tc>
        <w:tc>
          <w:tcPr>
            <w:tcW w:w="1480" w:type="dxa"/>
            <w:gridSpan w:val="2"/>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分类型</w:t>
            </w:r>
          </w:p>
        </w:tc>
        <w:tc>
          <w:tcPr>
            <w:tcW w:w="2246" w:type="dxa"/>
            <w:gridSpan w:val="3"/>
            <w:tcBorders>
              <w:top w:val="single" w:color="000000" w:sz="4" w:space="0"/>
              <w:left w:val="single" w:color="000000" w:sz="4" w:space="0"/>
              <w:bottom w:val="single" w:color="000000" w:sz="4" w:space="0"/>
              <w:right w:val="single" w:color="000000" w:sz="4" w:space="0"/>
            </w:tcBorders>
            <w:vAlign w:val="bottom"/>
          </w:tcPr>
          <w:p>
            <w:pPr>
              <w:pStyle w:val="37"/>
              <w:rPr>
                <w:rFonts w:ascii="仿宋" w:hAnsi="仿宋" w:eastAsia="仿宋" w:cs="Times New Roman"/>
              </w:rPr>
            </w:pPr>
            <w:r>
              <w:rPr>
                <w:rFonts w:ascii="仿宋" w:hAnsi="仿宋" w:eastAsia="仿宋" w:cs="Times New Roman"/>
              </w:rPr>
              <w:t>分区域</w:t>
            </w:r>
          </w:p>
        </w:tc>
        <w:tc>
          <w:tcPr>
            <w:tcW w:w="2982" w:type="dxa"/>
            <w:gridSpan w:val="3"/>
            <w:tcBorders>
              <w:top w:val="single" w:color="000000" w:sz="4" w:space="0"/>
              <w:left w:val="single" w:color="000000" w:sz="4" w:space="0"/>
              <w:bottom w:val="single" w:color="000000" w:sz="4" w:space="0"/>
              <w:right w:val="single" w:color="000000" w:sz="4" w:space="0"/>
            </w:tcBorders>
            <w:vAlign w:val="bottom"/>
          </w:tcPr>
          <w:p>
            <w:pPr>
              <w:pStyle w:val="37"/>
              <w:rPr>
                <w:rFonts w:ascii="仿宋" w:hAnsi="仿宋" w:eastAsia="仿宋" w:cs="Times New Roman"/>
              </w:rPr>
            </w:pPr>
            <w:r>
              <w:rPr>
                <w:rFonts w:ascii="仿宋" w:hAnsi="仿宋" w:eastAsia="仿宋" w:cs="Times New Roman"/>
              </w:rPr>
              <w:t>服务能力</w:t>
            </w:r>
          </w:p>
        </w:tc>
      </w:tr>
      <w:tr>
        <w:tblPrEx>
          <w:tblCellMar>
            <w:top w:w="15" w:type="dxa"/>
            <w:left w:w="15" w:type="dxa"/>
            <w:bottom w:w="15" w:type="dxa"/>
            <w:right w:w="15" w:type="dxa"/>
          </w:tblCellMar>
        </w:tblPrEx>
        <w:trPr>
          <w:trHeight w:val="269" w:hRule="atLeast"/>
        </w:trPr>
        <w:tc>
          <w:tcPr>
            <w:tcW w:w="893"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p>
        </w:tc>
        <w:tc>
          <w:tcPr>
            <w:tcW w:w="662" w:type="dxa"/>
            <w:vMerge w:val="continue"/>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直流桩</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交流桩</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城区</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乡镇</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干线</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城区服务半径</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乡镇覆盖率</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rPr>
            </w:pPr>
            <w:r>
              <w:rPr>
                <w:rFonts w:ascii="仿宋" w:hAnsi="仿宋" w:eastAsia="仿宋" w:cs="Times New Roman"/>
              </w:rPr>
              <w:t>车桩比</w:t>
            </w:r>
          </w:p>
        </w:tc>
      </w:tr>
      <w:tr>
        <w:tblPrEx>
          <w:tblCellMar>
            <w:top w:w="15" w:type="dxa"/>
            <w:left w:w="15" w:type="dxa"/>
            <w:bottom w:w="15" w:type="dxa"/>
            <w:right w:w="15" w:type="dxa"/>
          </w:tblCellMar>
        </w:tblPrEx>
        <w:trPr>
          <w:trHeight w:val="523"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hint="eastAsia" w:ascii="仿宋" w:hAnsi="仿宋" w:eastAsia="仿宋" w:cs="Times New Roman"/>
                <w:bCs w:val="0"/>
                <w:lang w:eastAsia="zh-CN"/>
              </w:rPr>
            </w:pPr>
            <w:r>
              <w:rPr>
                <w:rFonts w:ascii="仿宋" w:hAnsi="仿宋" w:eastAsia="仿宋" w:cs="Times New Roman"/>
                <w:bCs w:val="0"/>
              </w:rPr>
              <w:t>岳阳市</w:t>
            </w:r>
          </w:p>
          <w:p>
            <w:pPr>
              <w:pStyle w:val="37"/>
              <w:rPr>
                <w:rFonts w:ascii="仿宋" w:hAnsi="仿宋" w:eastAsia="仿宋" w:cs="Times New Roman"/>
                <w:bCs w:val="0"/>
              </w:rPr>
            </w:pPr>
            <w:r>
              <w:rPr>
                <w:rFonts w:ascii="仿宋" w:hAnsi="仿宋" w:eastAsia="仿宋" w:cs="Times New Roman"/>
                <w:bCs w:val="0"/>
              </w:rPr>
              <w:t>中心城区</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316</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202</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114</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316</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0.53</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3.51:1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平江县</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62</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42</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20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57</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1.27</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4.17%</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3.59:1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岳阳县</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71</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38</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33</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55</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16</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8</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1.28</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21.43%</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5.94:1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华容县</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30</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30</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30</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1.11</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5.5:1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湘阴县</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36</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36</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32</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1.32</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7.14%</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4.73:1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临湘市</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46</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46</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46</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10</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1.53</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3.07:1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汨罗市</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53</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53</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36</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17</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0.87</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14.29%</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3.36:1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云溪区</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2</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3.51:1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君山区</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14</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14</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14</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3</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4.83:1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屈原管理区</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12</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2.4</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0.00%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hint="eastAsia" w:ascii="仿宋" w:hAnsi="仿宋" w:eastAsia="仿宋" w:cs="Times New Roman"/>
                <w:bCs w:val="0"/>
              </w:rPr>
              <w:t>2.8:1</w:t>
            </w:r>
          </w:p>
        </w:tc>
      </w:tr>
      <w:tr>
        <w:tblPrEx>
          <w:tblCellMar>
            <w:top w:w="15" w:type="dxa"/>
            <w:left w:w="15" w:type="dxa"/>
            <w:bottom w:w="15" w:type="dxa"/>
            <w:right w:w="15" w:type="dxa"/>
          </w:tblCellMar>
        </w:tblPrEx>
        <w:trPr>
          <w:trHeight w:val="466" w:hRule="atLeast"/>
        </w:trPr>
        <w:tc>
          <w:tcPr>
            <w:tcW w:w="89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岳阳市</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652</w:t>
            </w:r>
          </w:p>
        </w:tc>
        <w:tc>
          <w:tcPr>
            <w:tcW w:w="739"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462</w:t>
            </w:r>
          </w:p>
        </w:tc>
        <w:tc>
          <w:tcPr>
            <w:tcW w:w="74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190</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619</w:t>
            </w:r>
          </w:p>
        </w:tc>
        <w:tc>
          <w:tcPr>
            <w:tcW w:w="730"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33</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23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 xml:space="preserve">1.53 </w:t>
            </w:r>
          </w:p>
        </w:tc>
        <w:tc>
          <w:tcPr>
            <w:tcW w:w="897"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3.32%</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37"/>
              <w:rPr>
                <w:rFonts w:ascii="仿宋" w:hAnsi="仿宋" w:eastAsia="仿宋" w:cs="Times New Roman"/>
                <w:bCs w:val="0"/>
              </w:rPr>
            </w:pPr>
            <w:r>
              <w:rPr>
                <w:rFonts w:ascii="仿宋" w:hAnsi="仿宋" w:eastAsia="仿宋" w:cs="Times New Roman"/>
                <w:bCs w:val="0"/>
              </w:rPr>
              <w:t>3.53:1</w:t>
            </w:r>
          </w:p>
        </w:tc>
      </w:tr>
    </w:tbl>
    <w:p>
      <w:pPr>
        <w:pStyle w:val="4"/>
        <w:spacing w:before="0" w:after="0" w:line="560" w:lineRule="exact"/>
        <w:rPr>
          <w:rFonts w:ascii="仿宋" w:hAnsi="仿宋" w:eastAsia="仿宋"/>
          <w:szCs w:val="22"/>
        </w:rPr>
      </w:pPr>
      <w:r>
        <w:rPr>
          <w:rFonts w:ascii="仿宋" w:hAnsi="仿宋" w:eastAsia="仿宋"/>
          <w:szCs w:val="22"/>
        </w:rPr>
        <w:t>空间分布情况</w:t>
      </w:r>
    </w:p>
    <w:p>
      <w:pPr>
        <w:spacing w:line="360" w:lineRule="auto"/>
        <w:ind w:firstLine="560" w:firstLineChars="200"/>
        <w:rPr>
          <w:rFonts w:ascii="仿宋" w:hAnsi="仿宋" w:eastAsia="仿宋"/>
          <w:sz w:val="28"/>
          <w:szCs w:val="28"/>
        </w:rPr>
      </w:pPr>
      <w:r>
        <w:rPr>
          <w:rFonts w:ascii="仿宋" w:hAnsi="仿宋" w:eastAsia="仿宋"/>
          <w:sz w:val="28"/>
          <w:szCs w:val="28"/>
        </w:rPr>
        <w:t>从空间分布来看，本市现状已建各类充电设施总体上呈现空间分布不均的特征，充电设施主要集中在中心城区、县城区，乡镇地区数量少、分布零散。全市仅岳阳县张谷英镇、新开镇、柏祥镇，汨罗市新市镇、弼时镇，湘阴县金龙镇，平江县伍市镇等7个乡镇有公用充电桩，乡镇的公用充电桩覆盖率仅3.3%。</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93" w:name="_Toc101299802"/>
      <w:r>
        <w:rPr>
          <w:rFonts w:ascii="仿宋" w:hAnsi="仿宋" w:eastAsia="仿宋"/>
          <w:color w:val="auto"/>
          <w:szCs w:val="22"/>
        </w:rPr>
        <w:t>问题与挑战</w:t>
      </w:r>
      <w:bookmarkEnd w:id="93"/>
    </w:p>
    <w:p>
      <w:pPr>
        <w:spacing w:line="360" w:lineRule="auto"/>
        <w:ind w:firstLine="560" w:firstLineChars="200"/>
        <w:rPr>
          <w:rFonts w:ascii="仿宋" w:hAnsi="仿宋" w:eastAsia="仿宋"/>
          <w:sz w:val="28"/>
          <w:szCs w:val="28"/>
        </w:rPr>
      </w:pPr>
      <w:r>
        <w:rPr>
          <w:rFonts w:ascii="仿宋" w:hAnsi="仿宋" w:eastAsia="仿宋"/>
          <w:bCs/>
          <w:sz w:val="28"/>
          <w:szCs w:val="28"/>
        </w:rPr>
        <w:t>一是充电设施的建设规模与电动汽车发展不协调</w:t>
      </w:r>
      <w:r>
        <w:rPr>
          <w:rFonts w:ascii="仿宋" w:hAnsi="仿宋" w:eastAsia="仿宋"/>
          <w:sz w:val="28"/>
          <w:szCs w:val="28"/>
        </w:rPr>
        <w:t>。岳阳市充电基础设施的建设规模相对滞后，2021年，岳阳市的车桩比为3.53:1，离国家规定的远景目标（1：1）相差甚远。充电基础设施建设缺乏整体规划，布局不合理。以岳阳市中心城区为例，虽然平均供电半径仅0.53公里，但充电站主要集中在城东地区，区域发展不均衡。</w:t>
      </w:r>
    </w:p>
    <w:p>
      <w:pPr>
        <w:pStyle w:val="10"/>
        <w:ind w:firstLine="198" w:firstLineChars="71"/>
        <w:jc w:val="center"/>
        <w:rPr>
          <w:rFonts w:ascii="仿宋" w:hAnsi="仿宋" w:eastAsia="仿宋"/>
        </w:rPr>
      </w:pPr>
      <w:r>
        <w:rPr>
          <w:rFonts w:ascii="仿宋" w:hAnsi="仿宋" w:eastAsia="仿宋"/>
        </w:rPr>
        <w:drawing>
          <wp:inline distT="0" distB="0" distL="0" distR="0">
            <wp:extent cx="5083810" cy="2185670"/>
            <wp:effectExtent l="4445" t="4445" r="17145" b="1968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8"/>
        <w:spacing w:after="0" w:afterLines="0" w:line="240" w:lineRule="auto"/>
        <w:rPr>
          <w:rFonts w:ascii="仿宋" w:hAnsi="仿宋" w:eastAsia="仿宋" w:cs="仿宋"/>
          <w:b w:val="0"/>
        </w:rPr>
      </w:pPr>
      <w:r>
        <w:rPr>
          <w:rFonts w:ascii="仿宋" w:hAnsi="仿宋" w:eastAsia="仿宋" w:cs="仿宋"/>
          <w:b w:val="0"/>
        </w:rPr>
        <w:t>图 3</w:t>
      </w:r>
      <w:r>
        <w:rPr>
          <w:rFonts w:ascii="仿宋" w:hAnsi="仿宋" w:eastAsia="仿宋" w:cs="仿宋"/>
          <w:b w:val="0"/>
        </w:rPr>
        <w:noBreakHyphen/>
      </w:r>
      <w:r>
        <w:rPr>
          <w:rFonts w:ascii="仿宋" w:hAnsi="仿宋" w:eastAsia="仿宋" w:cs="仿宋"/>
          <w:b w:val="0"/>
        </w:rPr>
        <w:t>2  2021年岳阳市各区县城区公用充电设施服务半径（千米）</w:t>
      </w:r>
    </w:p>
    <w:p>
      <w:pPr>
        <w:spacing w:line="360" w:lineRule="auto"/>
        <w:ind w:firstLine="560" w:firstLineChars="200"/>
        <w:rPr>
          <w:rFonts w:ascii="仿宋" w:hAnsi="仿宋" w:eastAsia="仿宋"/>
          <w:sz w:val="28"/>
          <w:szCs w:val="28"/>
        </w:rPr>
      </w:pPr>
      <w:r>
        <w:rPr>
          <w:rFonts w:ascii="仿宋" w:hAnsi="仿宋" w:eastAsia="仿宋"/>
          <w:bCs/>
          <w:sz w:val="28"/>
          <w:szCs w:val="28"/>
        </w:rPr>
        <w:t>二是充电设施建设涉及利益主体多，推动难度大</w:t>
      </w:r>
      <w:r>
        <w:rPr>
          <w:rFonts w:ascii="仿宋" w:hAnsi="仿宋" w:eastAsia="仿宋"/>
          <w:sz w:val="28"/>
          <w:szCs w:val="28"/>
        </w:rPr>
        <w:t>。目前，岳阳市电动汽车推广应用及充电基础设施建设尚处于起步阶段，由于涉及到城市规划、建设用地、物业、电网改造、居住地安装条件、投资运营模式等多方面问题，涉及利益主体较多，推广难度较大。</w:t>
      </w:r>
    </w:p>
    <w:p>
      <w:pPr>
        <w:spacing w:line="360" w:lineRule="auto"/>
        <w:ind w:firstLine="560" w:firstLineChars="200"/>
        <w:rPr>
          <w:rFonts w:ascii="仿宋" w:hAnsi="仿宋" w:eastAsia="仿宋"/>
          <w:sz w:val="28"/>
          <w:szCs w:val="28"/>
        </w:rPr>
      </w:pPr>
      <w:r>
        <w:rPr>
          <w:rFonts w:ascii="仿宋" w:hAnsi="仿宋" w:eastAsia="仿宋"/>
          <w:bCs/>
          <w:sz w:val="28"/>
          <w:szCs w:val="28"/>
        </w:rPr>
        <w:t>三是充电设施的技术标准仍在不断更新，给充电设施布局带来一定的不确定性</w:t>
      </w:r>
      <w:r>
        <w:rPr>
          <w:rFonts w:ascii="仿宋" w:hAnsi="仿宋" w:eastAsia="仿宋"/>
          <w:sz w:val="28"/>
          <w:szCs w:val="28"/>
        </w:rPr>
        <w:t>。由于技术的不断发展，动力电池及充电等关键技术发展也日新月异，不同技术方案对应的充电需求存在较大差异，导致电动汽车及充（换）电技术的不确定因素较大。</w:t>
      </w:r>
    </w:p>
    <w:p>
      <w:pPr>
        <w:spacing w:line="360" w:lineRule="auto"/>
        <w:ind w:firstLine="560" w:firstLineChars="200"/>
        <w:rPr>
          <w:rFonts w:ascii="仿宋" w:hAnsi="仿宋" w:eastAsia="仿宋"/>
          <w:sz w:val="28"/>
          <w:szCs w:val="28"/>
        </w:rPr>
      </w:pPr>
      <w:r>
        <w:rPr>
          <w:rFonts w:ascii="仿宋" w:hAnsi="仿宋" w:eastAsia="仿宋"/>
          <w:bCs/>
          <w:sz w:val="28"/>
          <w:szCs w:val="28"/>
        </w:rPr>
        <w:t>四是城区的停车场资源紧缺，充电设施停车位被占用的现象时有发生</w:t>
      </w:r>
      <w:r>
        <w:rPr>
          <w:rFonts w:ascii="仿宋" w:hAnsi="仿宋" w:eastAsia="仿宋"/>
          <w:sz w:val="28"/>
          <w:szCs w:val="28"/>
        </w:rPr>
        <w:t>。充电基础设施的建设，需要以停车场作为依托，现状公共停车位和小区停车位资源紧缺。中心城区停车矛盾突出，夜间停车缺口比例较大，使得充电设施停车位被燃油车占用，不能发挥充电设施的作用。</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94" w:name="_Toc101299803"/>
      <w:r>
        <w:rPr>
          <w:rFonts w:ascii="仿宋" w:hAnsi="仿宋" w:eastAsia="仿宋"/>
          <w:color w:val="auto"/>
          <w:szCs w:val="22"/>
        </w:rPr>
        <w:t>影响充电设施发展的主要因素</w:t>
      </w:r>
      <w:bookmarkEnd w:id="94"/>
    </w:p>
    <w:p>
      <w:pPr>
        <w:spacing w:line="360" w:lineRule="auto"/>
        <w:ind w:firstLine="560" w:firstLineChars="200"/>
        <w:rPr>
          <w:rFonts w:ascii="仿宋" w:hAnsi="仿宋" w:eastAsia="仿宋"/>
          <w:sz w:val="28"/>
          <w:szCs w:val="28"/>
        </w:rPr>
      </w:pPr>
      <w:r>
        <w:rPr>
          <w:rFonts w:ascii="仿宋" w:hAnsi="仿宋" w:eastAsia="仿宋"/>
          <w:bCs/>
          <w:sz w:val="28"/>
          <w:szCs w:val="28"/>
        </w:rPr>
        <w:t>一是双碳战略进一步促进充电设施大力发展</w:t>
      </w:r>
      <w:r>
        <w:rPr>
          <w:rFonts w:ascii="仿宋" w:hAnsi="仿宋" w:eastAsia="仿宋"/>
          <w:sz w:val="28"/>
          <w:szCs w:val="28"/>
        </w:rPr>
        <w:t>。碳中和、碳达峰被列为重点工作任务。新基建提出充电桩成为助力国家稳增长的重要力量，加速推动充电桩行业发展。</w:t>
      </w:r>
      <w:r>
        <w:rPr>
          <w:rFonts w:hint="eastAsia" w:ascii="仿宋" w:hAnsi="仿宋" w:eastAsia="仿宋"/>
          <w:sz w:val="28"/>
          <w:szCs w:val="28"/>
        </w:rPr>
        <w:t>根据</w:t>
      </w:r>
      <w:r>
        <w:rPr>
          <w:rFonts w:ascii="仿宋" w:hAnsi="仿宋" w:eastAsia="仿宋"/>
          <w:sz w:val="28"/>
          <w:szCs w:val="28"/>
        </w:rPr>
        <w:t>国家发改委</w:t>
      </w:r>
      <w:r>
        <w:rPr>
          <w:rFonts w:hint="eastAsia" w:ascii="仿宋" w:hAnsi="仿宋" w:eastAsia="仿宋"/>
          <w:sz w:val="28"/>
          <w:szCs w:val="28"/>
        </w:rPr>
        <w:t>统计</w:t>
      </w:r>
      <w:r>
        <w:rPr>
          <w:rFonts w:ascii="仿宋" w:hAnsi="仿宋" w:eastAsia="仿宋"/>
          <w:sz w:val="28"/>
          <w:szCs w:val="28"/>
        </w:rPr>
        <w:t>数据，截至2021年底，全车充电设施规模达到261.7万台，换电站1298座，服务近800万新能源汽车。</w:t>
      </w:r>
    </w:p>
    <w:p>
      <w:pPr>
        <w:spacing w:line="360" w:lineRule="auto"/>
        <w:ind w:firstLine="560" w:firstLineChars="200"/>
        <w:rPr>
          <w:rFonts w:ascii="仿宋" w:hAnsi="仿宋" w:eastAsia="仿宋"/>
          <w:sz w:val="28"/>
          <w:szCs w:val="28"/>
        </w:rPr>
      </w:pPr>
      <w:r>
        <w:rPr>
          <w:rFonts w:ascii="仿宋" w:hAnsi="仿宋" w:eastAsia="仿宋"/>
          <w:bCs/>
          <w:sz w:val="28"/>
          <w:szCs w:val="28"/>
        </w:rPr>
        <w:t>二是湖南省发布的政策规范充电设施有序发展</w:t>
      </w:r>
      <w:r>
        <w:rPr>
          <w:rFonts w:ascii="仿宋" w:hAnsi="仿宋" w:eastAsia="仿宋"/>
          <w:sz w:val="28"/>
          <w:szCs w:val="28"/>
        </w:rPr>
        <w:t>。《湖南省人民政府办公厅关于加快电动汽车充（换）电基础设施建设的实施意见》为深入贯彻落实国家新型基础设施建设决策部署，促进新能源汽车推广使用，进一步加快全省电动汽车充（换）电基础设施建设，明确了居民区、公路沿线、公共停车场、单位内部、旅游景区、公共服务领域、农村地区的充电设施布局要求，统一的标准和要求将有</w:t>
      </w:r>
      <w:r>
        <w:rPr>
          <w:rFonts w:hint="eastAsia" w:ascii="仿宋" w:hAnsi="仿宋" w:eastAsia="仿宋"/>
          <w:sz w:val="28"/>
          <w:szCs w:val="28"/>
        </w:rPr>
        <w:t>利</w:t>
      </w:r>
      <w:r>
        <w:rPr>
          <w:rFonts w:ascii="仿宋" w:hAnsi="仿宋" w:eastAsia="仿宋"/>
          <w:sz w:val="28"/>
          <w:szCs w:val="28"/>
        </w:rPr>
        <w:t>于充电设施的快速发展。</w:t>
      </w:r>
    </w:p>
    <w:p>
      <w:pPr>
        <w:spacing w:line="360" w:lineRule="auto"/>
        <w:ind w:firstLine="560" w:firstLineChars="200"/>
        <w:rPr>
          <w:rFonts w:ascii="仿宋" w:hAnsi="仿宋" w:eastAsia="仿宋"/>
          <w:sz w:val="28"/>
          <w:szCs w:val="28"/>
        </w:rPr>
      </w:pPr>
      <w:r>
        <w:rPr>
          <w:rFonts w:ascii="仿宋" w:hAnsi="仿宋" w:eastAsia="仿宋"/>
          <w:bCs/>
          <w:sz w:val="28"/>
          <w:szCs w:val="28"/>
        </w:rPr>
        <w:t>三是充电设施技术不成熟成为制约行业发展的因素</w:t>
      </w:r>
      <w:r>
        <w:rPr>
          <w:rFonts w:ascii="仿宋" w:hAnsi="仿宋" w:eastAsia="仿宋"/>
          <w:sz w:val="28"/>
          <w:szCs w:val="28"/>
        </w:rPr>
        <w:t>。充电桩制造业门槛较低，质量难以保证，在2015年出台新国标后才有所改善，但充电时间长，有自燃情况，冬季充电效率不高，都有待改善。目前中心城区闲置土地普遍不足，新建充电站点难以落地，将影响充电设施的发展。</w:t>
      </w:r>
    </w:p>
    <w:p>
      <w:pPr>
        <w:pStyle w:val="10"/>
        <w:ind w:firstLine="560"/>
        <w:rPr>
          <w:rFonts w:ascii="仿宋" w:hAnsi="仿宋" w:eastAsia="仿宋"/>
        </w:rPr>
      </w:pPr>
    </w:p>
    <w:p>
      <w:pPr>
        <w:pStyle w:val="10"/>
        <w:ind w:firstLine="560"/>
        <w:rPr>
          <w:rFonts w:ascii="仿宋" w:hAnsi="仿宋" w:eastAsia="仿宋"/>
        </w:rPr>
        <w:sectPr>
          <w:pgSz w:w="11906" w:h="16838"/>
          <w:pgMar w:top="1440" w:right="1800" w:bottom="1440" w:left="1800" w:header="851" w:footer="992" w:gutter="0"/>
          <w:cols w:space="425" w:num="1"/>
          <w:docGrid w:type="lines" w:linePitch="312" w:charSpace="0"/>
        </w:sectPr>
      </w:pPr>
    </w:p>
    <w:p>
      <w:pPr>
        <w:pStyle w:val="2"/>
        <w:tabs>
          <w:tab w:val="left" w:pos="1843"/>
          <w:tab w:val="clear" w:pos="3970"/>
        </w:tabs>
        <w:spacing w:line="560" w:lineRule="exact"/>
        <w:ind w:left="2410" w:hanging="992"/>
        <w:jc w:val="left"/>
        <w:rPr>
          <w:rFonts w:ascii="仿宋" w:hAnsi="仿宋" w:eastAsia="仿宋"/>
          <w:sz w:val="36"/>
          <w:szCs w:val="36"/>
        </w:rPr>
      </w:pPr>
      <w:bookmarkStart w:id="95" w:name="_Toc68014583"/>
      <w:bookmarkStart w:id="96" w:name="_Toc101299804"/>
      <w:r>
        <w:rPr>
          <w:rFonts w:ascii="仿宋" w:hAnsi="仿宋" w:eastAsia="仿宋"/>
          <w:sz w:val="36"/>
          <w:szCs w:val="36"/>
        </w:rPr>
        <w:t>电动汽车保有量预测</w:t>
      </w:r>
      <w:bookmarkEnd w:id="95"/>
      <w:bookmarkEnd w:id="96"/>
    </w:p>
    <w:p>
      <w:pPr>
        <w:pStyle w:val="3"/>
        <w:spacing w:line="560" w:lineRule="exact"/>
        <w:rPr>
          <w:rFonts w:ascii="仿宋" w:hAnsi="仿宋" w:eastAsia="仿宋"/>
          <w:color w:val="auto"/>
          <w:szCs w:val="22"/>
        </w:rPr>
      </w:pPr>
      <w:bookmarkStart w:id="97" w:name="_Toc68014584"/>
      <w:bookmarkStart w:id="98" w:name="_Toc101299805"/>
      <w:r>
        <w:rPr>
          <w:rFonts w:ascii="仿宋" w:hAnsi="仿宋" w:eastAsia="仿宋"/>
          <w:color w:val="auto"/>
          <w:szCs w:val="22"/>
        </w:rPr>
        <w:t>总体预测思路</w:t>
      </w:r>
      <w:bookmarkEnd w:id="97"/>
      <w:bookmarkEnd w:id="98"/>
    </w:p>
    <w:p>
      <w:pPr>
        <w:tabs>
          <w:tab w:val="left" w:pos="1701"/>
        </w:tabs>
        <w:spacing w:line="360" w:lineRule="auto"/>
        <w:ind w:firstLine="560" w:firstLineChars="200"/>
        <w:rPr>
          <w:rFonts w:ascii="仿宋" w:hAnsi="仿宋" w:eastAsia="仿宋"/>
          <w:sz w:val="28"/>
          <w:szCs w:val="28"/>
        </w:rPr>
      </w:pPr>
      <w:r>
        <w:rPr>
          <w:rFonts w:ascii="仿宋" w:hAnsi="仿宋" w:eastAsia="仿宋"/>
          <w:sz w:val="28"/>
          <w:szCs w:val="28"/>
        </w:rPr>
        <w:t>需求预测包括电动汽车保有量预测、充电设施规模需求预测，电动汽车保有量预测结果用于指导区域公共充电设施规模需求预测。</w:t>
      </w:r>
    </w:p>
    <w:p>
      <w:pPr>
        <w:spacing w:line="360" w:lineRule="auto"/>
        <w:ind w:firstLine="560" w:firstLineChars="200"/>
        <w:rPr>
          <w:rFonts w:ascii="仿宋" w:hAnsi="仿宋" w:eastAsia="仿宋"/>
          <w:sz w:val="28"/>
          <w:szCs w:val="28"/>
        </w:rPr>
      </w:pPr>
      <w:r>
        <w:rPr>
          <w:rFonts w:ascii="仿宋" w:hAnsi="仿宋" w:eastAsia="仿宋"/>
          <w:bCs/>
          <w:sz w:val="28"/>
          <w:szCs w:val="28"/>
        </w:rPr>
        <w:t>电动汽车保有量预测</w:t>
      </w:r>
      <w:r>
        <w:rPr>
          <w:rFonts w:ascii="仿宋" w:hAnsi="仿宋" w:eastAsia="仿宋"/>
          <w:sz w:val="28"/>
          <w:szCs w:val="28"/>
        </w:rPr>
        <w:t>：充电设施的规模和布局与电动汽车的保有量和出行特征具密切相关。参考各部门政策规定，结合现状汽车保有量、城市电动汽车发展趋势、人口与国民经济，使用不同的预测方法，对各类电动汽车保有量以及空间分布进行预测。</w:t>
      </w:r>
    </w:p>
    <w:p>
      <w:pPr>
        <w:spacing w:line="360" w:lineRule="auto"/>
        <w:ind w:firstLine="560" w:firstLineChars="200"/>
        <w:rPr>
          <w:rFonts w:ascii="仿宋" w:hAnsi="仿宋" w:eastAsia="仿宋"/>
          <w:sz w:val="28"/>
          <w:szCs w:val="28"/>
        </w:rPr>
      </w:pPr>
      <w:r>
        <w:rPr>
          <w:rFonts w:ascii="仿宋" w:hAnsi="仿宋" w:eastAsia="仿宋"/>
          <w:bCs/>
          <w:sz w:val="28"/>
          <w:szCs w:val="28"/>
        </w:rPr>
        <w:t>充电设施需求预测</w:t>
      </w:r>
      <w:r>
        <w:rPr>
          <w:rFonts w:ascii="仿宋" w:hAnsi="仿宋" w:eastAsia="仿宋"/>
          <w:sz w:val="28"/>
          <w:szCs w:val="28"/>
        </w:rPr>
        <w:t>：按照统筹规划、适度超前的原则，考虑电动汽车应用场景和行驶特性、充电设施和电动汽车的供需情况，结合国内各个城市的先进经验，确定充电设施和电动汽车需求比例，进行充电设施需求预测。</w:t>
      </w:r>
    </w:p>
    <w:p>
      <w:pPr>
        <w:tabs>
          <w:tab w:val="left" w:pos="1250"/>
        </w:tabs>
        <w:ind w:firstLine="560" w:firstLineChars="200"/>
        <w:rPr>
          <w:rFonts w:ascii="仿宋" w:hAnsi="仿宋" w:eastAsia="仿宋"/>
          <w:sz w:val="28"/>
          <w:szCs w:val="28"/>
        </w:rPr>
      </w:pPr>
      <w:r>
        <w:rPr>
          <w:rFonts w:ascii="仿宋" w:hAnsi="仿宋" w:eastAsia="仿宋"/>
          <w:sz w:val="28"/>
          <w:szCs w:val="28"/>
        </w:rPr>
        <w:tab/>
      </w:r>
    </w:p>
    <w:p>
      <w:pPr>
        <w:pStyle w:val="3"/>
        <w:spacing w:line="560" w:lineRule="exact"/>
        <w:rPr>
          <w:rFonts w:ascii="仿宋" w:hAnsi="仿宋" w:eastAsia="仿宋"/>
          <w:color w:val="auto"/>
          <w:szCs w:val="22"/>
        </w:rPr>
      </w:pPr>
      <w:bookmarkStart w:id="99" w:name="_Toc68014585"/>
      <w:bookmarkStart w:id="100" w:name="_Toc101299806"/>
      <w:r>
        <w:rPr>
          <w:rFonts w:ascii="仿宋" w:hAnsi="仿宋" w:eastAsia="仿宋"/>
          <w:color w:val="auto"/>
          <w:szCs w:val="22"/>
        </w:rPr>
        <w:t>电动汽车保有量预测</w:t>
      </w:r>
      <w:bookmarkEnd w:id="99"/>
      <w:bookmarkEnd w:id="100"/>
    </w:p>
    <w:p>
      <w:pPr>
        <w:pStyle w:val="4"/>
        <w:spacing w:before="0" w:after="0" w:line="560" w:lineRule="exact"/>
        <w:rPr>
          <w:rFonts w:ascii="仿宋" w:hAnsi="仿宋" w:eastAsia="仿宋"/>
          <w:szCs w:val="22"/>
        </w:rPr>
      </w:pPr>
      <w:r>
        <w:rPr>
          <w:rFonts w:ascii="仿宋" w:hAnsi="仿宋" w:eastAsia="仿宋"/>
          <w:szCs w:val="22"/>
        </w:rPr>
        <w:t>机动车总量预测</w:t>
      </w:r>
    </w:p>
    <w:p>
      <w:pPr>
        <w:spacing w:line="360" w:lineRule="auto"/>
        <w:ind w:firstLine="560" w:firstLineChars="200"/>
        <w:rPr>
          <w:rFonts w:ascii="仿宋" w:hAnsi="仿宋" w:eastAsia="仿宋"/>
          <w:sz w:val="28"/>
          <w:szCs w:val="28"/>
        </w:rPr>
      </w:pPr>
      <w:r>
        <w:rPr>
          <w:rFonts w:ascii="仿宋" w:hAnsi="仿宋" w:eastAsia="仿宋"/>
          <w:sz w:val="28"/>
          <w:szCs w:val="28"/>
        </w:rPr>
        <w:t>随着城乡居民收入增加、城市化水平稳步提高、交通环境逐步改善，全市汽车消费日趋活跃，汽车保有量大幅增加。2020年，全市民用汽车保有量达到71.13万辆，是2015年的2.04倍，年均增速15%。根据《岳阳市交通运输“十四五”发展规划》对交通需求的分析，岳阳市“十四五”民用汽车保有量发展状况如下表所示。</w:t>
      </w:r>
    </w:p>
    <w:p>
      <w:pPr>
        <w:pStyle w:val="8"/>
        <w:spacing w:after="0" w:afterLines="0" w:line="240" w:lineRule="auto"/>
        <w:rPr>
          <w:rFonts w:ascii="仿宋" w:hAnsi="仿宋" w:eastAsia="仿宋" w:cs="仿宋"/>
          <w:b w:val="0"/>
        </w:rPr>
      </w:pPr>
      <w:r>
        <w:rPr>
          <w:rFonts w:ascii="仿宋" w:hAnsi="仿宋" w:eastAsia="仿宋" w:cs="仿宋"/>
          <w:b w:val="0"/>
        </w:rPr>
        <w:t>表 4</w:t>
      </w:r>
      <w:r>
        <w:rPr>
          <w:rFonts w:ascii="仿宋" w:hAnsi="仿宋" w:eastAsia="仿宋" w:cs="仿宋"/>
          <w:b w:val="0"/>
        </w:rPr>
        <w:noBreakHyphen/>
      </w:r>
      <w:r>
        <w:rPr>
          <w:rFonts w:ascii="仿宋" w:hAnsi="仿宋" w:eastAsia="仿宋" w:cs="仿宋"/>
          <w:b w:val="0"/>
        </w:rPr>
        <w:t>1  “十四五”民用汽车保有量预测</w:t>
      </w:r>
    </w:p>
    <w:p>
      <w:pPr>
        <w:pStyle w:val="8"/>
        <w:spacing w:after="0" w:afterLines="0" w:line="240" w:lineRule="auto"/>
        <w:rPr>
          <w:rFonts w:ascii="仿宋" w:hAnsi="仿宋" w:eastAsia="仿宋" w:cs="仿宋"/>
          <w:b w:val="0"/>
        </w:rPr>
      </w:pPr>
      <w:r>
        <w:rPr>
          <w:rFonts w:hint="eastAsia" w:ascii="仿宋" w:hAnsi="仿宋" w:eastAsia="仿宋" w:cs="仿宋"/>
          <w:b w:val="0"/>
        </w:rPr>
        <w:t xml:space="preserve">                                                                    </w:t>
      </w:r>
      <w:r>
        <w:rPr>
          <w:rFonts w:ascii="仿宋" w:hAnsi="仿宋" w:eastAsia="仿宋" w:cs="仿宋"/>
          <w:b w:val="0"/>
        </w:rPr>
        <w:t>单位：万辆</w:t>
      </w:r>
    </w:p>
    <w:tbl>
      <w:tblPr>
        <w:tblStyle w:val="2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917"/>
        <w:gridCol w:w="917"/>
        <w:gridCol w:w="918"/>
        <w:gridCol w:w="918"/>
        <w:gridCol w:w="918"/>
        <w:gridCol w:w="91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vAlign w:val="center"/>
          </w:tcPr>
          <w:p>
            <w:pPr>
              <w:pStyle w:val="37"/>
              <w:rPr>
                <w:rFonts w:ascii="仿宋" w:hAnsi="仿宋" w:eastAsia="仿宋" w:cs="Times New Roman"/>
              </w:rPr>
            </w:pPr>
            <w:r>
              <w:rPr>
                <w:rFonts w:ascii="仿宋" w:hAnsi="仿宋" w:eastAsia="仿宋" w:cs="Times New Roman"/>
              </w:rPr>
              <w:t>分类</w:t>
            </w:r>
          </w:p>
        </w:tc>
        <w:tc>
          <w:tcPr>
            <w:tcW w:w="917" w:type="dxa"/>
            <w:shd w:val="clear" w:color="auto" w:fill="auto"/>
            <w:vAlign w:val="center"/>
          </w:tcPr>
          <w:p>
            <w:pPr>
              <w:pStyle w:val="37"/>
              <w:rPr>
                <w:rFonts w:ascii="仿宋" w:hAnsi="仿宋" w:eastAsia="仿宋" w:cs="Times New Roman"/>
              </w:rPr>
            </w:pPr>
            <w:r>
              <w:rPr>
                <w:rFonts w:ascii="仿宋" w:hAnsi="仿宋" w:eastAsia="仿宋" w:cs="Times New Roman"/>
              </w:rPr>
              <w:t>2020年</w:t>
            </w:r>
          </w:p>
        </w:tc>
        <w:tc>
          <w:tcPr>
            <w:tcW w:w="917" w:type="dxa"/>
            <w:shd w:val="clear" w:color="auto" w:fill="auto"/>
            <w:vAlign w:val="center"/>
          </w:tcPr>
          <w:p>
            <w:pPr>
              <w:pStyle w:val="37"/>
              <w:rPr>
                <w:rFonts w:ascii="仿宋" w:hAnsi="仿宋" w:eastAsia="仿宋" w:cs="Times New Roman"/>
              </w:rPr>
            </w:pPr>
            <w:r>
              <w:rPr>
                <w:rFonts w:ascii="仿宋" w:hAnsi="仿宋" w:eastAsia="仿宋" w:cs="Times New Roman"/>
              </w:rPr>
              <w:t>2021年</w:t>
            </w:r>
          </w:p>
        </w:tc>
        <w:tc>
          <w:tcPr>
            <w:tcW w:w="918" w:type="dxa"/>
            <w:shd w:val="clear" w:color="auto" w:fill="auto"/>
            <w:vAlign w:val="center"/>
          </w:tcPr>
          <w:p>
            <w:pPr>
              <w:pStyle w:val="37"/>
              <w:rPr>
                <w:rFonts w:ascii="仿宋" w:hAnsi="仿宋" w:eastAsia="仿宋" w:cs="Times New Roman"/>
              </w:rPr>
            </w:pPr>
            <w:r>
              <w:rPr>
                <w:rFonts w:ascii="仿宋" w:hAnsi="仿宋" w:eastAsia="仿宋" w:cs="Times New Roman"/>
              </w:rPr>
              <w:t>2022年</w:t>
            </w:r>
          </w:p>
        </w:tc>
        <w:tc>
          <w:tcPr>
            <w:tcW w:w="918" w:type="dxa"/>
            <w:shd w:val="clear" w:color="auto" w:fill="auto"/>
            <w:vAlign w:val="center"/>
          </w:tcPr>
          <w:p>
            <w:pPr>
              <w:pStyle w:val="37"/>
              <w:rPr>
                <w:rFonts w:ascii="仿宋" w:hAnsi="仿宋" w:eastAsia="仿宋" w:cs="Times New Roman"/>
              </w:rPr>
            </w:pPr>
            <w:r>
              <w:rPr>
                <w:rFonts w:ascii="仿宋" w:hAnsi="仿宋" w:eastAsia="仿宋" w:cs="Times New Roman"/>
              </w:rPr>
              <w:t>2023年</w:t>
            </w:r>
          </w:p>
        </w:tc>
        <w:tc>
          <w:tcPr>
            <w:tcW w:w="918" w:type="dxa"/>
            <w:shd w:val="clear" w:color="auto" w:fill="auto"/>
            <w:vAlign w:val="center"/>
          </w:tcPr>
          <w:p>
            <w:pPr>
              <w:pStyle w:val="37"/>
              <w:rPr>
                <w:rFonts w:ascii="仿宋" w:hAnsi="仿宋" w:eastAsia="仿宋" w:cs="Times New Roman"/>
              </w:rPr>
            </w:pPr>
            <w:r>
              <w:rPr>
                <w:rFonts w:ascii="仿宋" w:hAnsi="仿宋" w:eastAsia="仿宋" w:cs="Times New Roman"/>
              </w:rPr>
              <w:t>2024年</w:t>
            </w:r>
          </w:p>
        </w:tc>
        <w:tc>
          <w:tcPr>
            <w:tcW w:w="918" w:type="dxa"/>
            <w:shd w:val="clear" w:color="auto" w:fill="auto"/>
            <w:vAlign w:val="center"/>
          </w:tcPr>
          <w:p>
            <w:pPr>
              <w:pStyle w:val="37"/>
              <w:rPr>
                <w:rFonts w:ascii="仿宋" w:hAnsi="仿宋" w:eastAsia="仿宋" w:cs="Times New Roman"/>
              </w:rPr>
            </w:pPr>
            <w:r>
              <w:rPr>
                <w:rFonts w:ascii="仿宋" w:hAnsi="仿宋" w:eastAsia="仿宋" w:cs="Times New Roman"/>
              </w:rPr>
              <w:t>2025年</w:t>
            </w:r>
          </w:p>
        </w:tc>
        <w:tc>
          <w:tcPr>
            <w:tcW w:w="1074" w:type="dxa"/>
            <w:shd w:val="clear" w:color="auto" w:fill="auto"/>
            <w:vAlign w:val="center"/>
          </w:tcPr>
          <w:p>
            <w:pPr>
              <w:pStyle w:val="37"/>
              <w:rPr>
                <w:rFonts w:ascii="仿宋" w:hAnsi="仿宋" w:eastAsia="仿宋" w:cs="Times New Roman"/>
              </w:rPr>
            </w:pPr>
            <w:r>
              <w:rPr>
                <w:rFonts w:ascii="仿宋" w:hAnsi="仿宋" w:eastAsia="仿宋" w:cs="Times New Roman"/>
              </w:rPr>
              <w:t>平均增速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vAlign w:val="center"/>
          </w:tcPr>
          <w:p>
            <w:pPr>
              <w:pStyle w:val="37"/>
              <w:rPr>
                <w:rFonts w:ascii="仿宋" w:hAnsi="仿宋" w:eastAsia="仿宋" w:cs="Times New Roman"/>
                <w:bCs w:val="0"/>
              </w:rPr>
            </w:pPr>
            <w:r>
              <w:rPr>
                <w:rFonts w:ascii="仿宋" w:hAnsi="仿宋" w:eastAsia="仿宋" w:cs="Times New Roman"/>
                <w:bCs w:val="0"/>
              </w:rPr>
              <w:t>民用汽车保有量</w:t>
            </w:r>
          </w:p>
        </w:tc>
        <w:tc>
          <w:tcPr>
            <w:tcW w:w="91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71.13</w:t>
            </w:r>
          </w:p>
        </w:tc>
        <w:tc>
          <w:tcPr>
            <w:tcW w:w="91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78.18</w:t>
            </w:r>
          </w:p>
        </w:tc>
        <w:tc>
          <w:tcPr>
            <w:tcW w:w="91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86.05</w:t>
            </w:r>
          </w:p>
        </w:tc>
        <w:tc>
          <w:tcPr>
            <w:tcW w:w="91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94.66</w:t>
            </w:r>
          </w:p>
        </w:tc>
        <w:tc>
          <w:tcPr>
            <w:tcW w:w="91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104.13</w:t>
            </w:r>
          </w:p>
        </w:tc>
        <w:tc>
          <w:tcPr>
            <w:tcW w:w="91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114.85</w:t>
            </w:r>
          </w:p>
        </w:tc>
        <w:tc>
          <w:tcPr>
            <w:tcW w:w="1074"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10.06%</w:t>
            </w:r>
          </w:p>
        </w:tc>
      </w:tr>
    </w:tbl>
    <w:p>
      <w:pPr>
        <w:pStyle w:val="4"/>
        <w:spacing w:before="0" w:after="0" w:line="560" w:lineRule="exact"/>
        <w:rPr>
          <w:rFonts w:ascii="仿宋" w:hAnsi="仿宋" w:eastAsia="仿宋"/>
          <w:szCs w:val="22"/>
        </w:rPr>
      </w:pPr>
      <w:r>
        <w:rPr>
          <w:rFonts w:ascii="仿宋" w:hAnsi="仿宋" w:eastAsia="仿宋"/>
          <w:szCs w:val="22"/>
        </w:rPr>
        <w:t>分车型预测</w:t>
      </w:r>
    </w:p>
    <w:p>
      <w:pPr>
        <w:spacing w:line="360" w:lineRule="auto"/>
        <w:ind w:firstLine="560" w:firstLineChars="200"/>
        <w:rPr>
          <w:rFonts w:ascii="仿宋" w:hAnsi="仿宋" w:eastAsia="仿宋"/>
          <w:sz w:val="28"/>
          <w:szCs w:val="28"/>
        </w:rPr>
      </w:pPr>
      <w:r>
        <w:rPr>
          <w:rFonts w:ascii="仿宋" w:hAnsi="仿宋" w:eastAsia="仿宋"/>
          <w:sz w:val="28"/>
          <w:szCs w:val="28"/>
        </w:rPr>
        <w:t>根据各类型车辆近年保有量情况及电动汽车总量预测，分析“十四五”期间保有量，结合各型车使用年限及更新车辆中电动汽车占比要求等因素，估算各型电动汽车保有量。</w:t>
      </w:r>
    </w:p>
    <w:p>
      <w:pPr>
        <w:keepNext/>
        <w:keepLines/>
        <w:spacing w:line="360" w:lineRule="auto"/>
        <w:ind w:firstLine="561"/>
        <w:rPr>
          <w:rFonts w:ascii="仿宋" w:hAnsi="仿宋" w:eastAsia="仿宋"/>
          <w:bCs/>
          <w:sz w:val="28"/>
          <w:szCs w:val="28"/>
        </w:rPr>
      </w:pPr>
      <w:r>
        <w:rPr>
          <w:rFonts w:ascii="仿宋" w:hAnsi="仿宋" w:eastAsia="仿宋"/>
          <w:bCs/>
          <w:sz w:val="28"/>
          <w:szCs w:val="28"/>
        </w:rPr>
        <w:t>（1）电动私人汽车保有量预测</w:t>
      </w:r>
    </w:p>
    <w:p>
      <w:pPr>
        <w:pStyle w:val="10"/>
        <w:numPr>
          <w:ilvl w:val="0"/>
          <w:numId w:val="3"/>
        </w:numPr>
        <w:ind w:firstLineChars="0"/>
        <w:rPr>
          <w:rFonts w:ascii="仿宋" w:hAnsi="仿宋" w:eastAsia="仿宋"/>
        </w:rPr>
      </w:pPr>
      <w:r>
        <w:rPr>
          <w:rFonts w:ascii="仿宋" w:hAnsi="仿宋" w:eastAsia="仿宋"/>
        </w:rPr>
        <w:t>私人汽车保有量预测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截至2021年，全市民用汽车保有量71.13万辆，其中私人汽车保有量61.6万辆，2015-2020年汽车保有量年均增长率为17%。</w:t>
      </w:r>
    </w:p>
    <w:p>
      <w:pPr>
        <w:spacing w:line="360" w:lineRule="auto"/>
        <w:ind w:firstLine="560" w:firstLineChars="200"/>
        <w:rPr>
          <w:rFonts w:ascii="仿宋" w:hAnsi="仿宋" w:eastAsia="仿宋"/>
          <w:sz w:val="28"/>
          <w:szCs w:val="28"/>
        </w:rPr>
      </w:pPr>
      <w:r>
        <w:rPr>
          <w:rFonts w:ascii="仿宋" w:hAnsi="仿宋" w:eastAsia="仿宋"/>
          <w:sz w:val="28"/>
          <w:szCs w:val="28"/>
        </w:rPr>
        <w:t>根据用户购车情况及城市发展规划，预计“十四五”期间私人汽车保有量年均增长率为8%-11%。根据汽车保有量历史数据，利用年均增长率法对规划年私人汽车保有量进行预测，预测结果详见下表所示。</w:t>
      </w:r>
    </w:p>
    <w:p>
      <w:pPr>
        <w:pStyle w:val="8"/>
        <w:spacing w:after="0" w:afterLines="0" w:line="240" w:lineRule="auto"/>
        <w:rPr>
          <w:rFonts w:ascii="仿宋" w:hAnsi="仿宋" w:eastAsia="仿宋"/>
          <w:b w:val="0"/>
        </w:rPr>
      </w:pPr>
      <w:r>
        <w:rPr>
          <w:rFonts w:ascii="仿宋" w:hAnsi="仿宋" w:eastAsia="仿宋"/>
          <w:b w:val="0"/>
        </w:rPr>
        <w:t>表 4</w:t>
      </w:r>
      <w:r>
        <w:rPr>
          <w:rFonts w:ascii="仿宋" w:hAnsi="仿宋" w:eastAsia="仿宋"/>
          <w:b w:val="0"/>
        </w:rPr>
        <w:noBreakHyphen/>
      </w:r>
      <w:r>
        <w:rPr>
          <w:rFonts w:ascii="仿宋" w:hAnsi="仿宋" w:eastAsia="仿宋"/>
          <w:b w:val="0"/>
        </w:rPr>
        <w:t>2  “十四五”期间私人汽车保有量预测</w:t>
      </w:r>
    </w:p>
    <w:p>
      <w:pPr>
        <w:pStyle w:val="61"/>
        <w:spacing w:after="0" w:afterLines="0"/>
        <w:ind w:firstLine="420"/>
        <w:rPr>
          <w:rFonts w:ascii="仿宋" w:hAnsi="仿宋" w:eastAsia="仿宋" w:cs="Times New Roman"/>
          <w:b w:val="0"/>
        </w:rPr>
      </w:pPr>
      <w:r>
        <w:rPr>
          <w:rFonts w:ascii="仿宋" w:hAnsi="仿宋" w:eastAsia="仿宋" w:cs="Times New Roman"/>
          <w:b w:val="0"/>
        </w:rPr>
        <w:t>单位：万辆</w:t>
      </w:r>
    </w:p>
    <w:tbl>
      <w:tblPr>
        <w:tblStyle w:val="25"/>
        <w:tblW w:w="8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289"/>
        <w:gridCol w:w="1515"/>
        <w:gridCol w:w="1336"/>
        <w:gridCol w:w="1080"/>
        <w:gridCol w:w="1080"/>
        <w:gridCol w:w="108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25" w:hRule="atLeast"/>
        </w:trPr>
        <w:tc>
          <w:tcPr>
            <w:tcW w:w="1289" w:type="dxa"/>
            <w:tcBorders>
              <w:tl2br w:val="nil"/>
              <w:tr2bl w:val="nil"/>
            </w:tcBorders>
            <w:vAlign w:val="center"/>
          </w:tcPr>
          <w:p>
            <w:pPr>
              <w:pStyle w:val="37"/>
              <w:rPr>
                <w:rFonts w:ascii="仿宋" w:hAnsi="仿宋" w:eastAsia="仿宋" w:cs="Times New Roman"/>
              </w:rPr>
            </w:pPr>
            <w:r>
              <w:rPr>
                <w:rFonts w:ascii="仿宋" w:hAnsi="仿宋" w:eastAsia="仿宋" w:cs="Times New Roman"/>
              </w:rPr>
              <w:t>分类</w:t>
            </w:r>
          </w:p>
        </w:tc>
        <w:tc>
          <w:tcPr>
            <w:tcW w:w="1515" w:type="dxa"/>
            <w:tcBorders>
              <w:tl2br w:val="nil"/>
              <w:tr2bl w:val="nil"/>
            </w:tcBorders>
            <w:vAlign w:val="center"/>
          </w:tcPr>
          <w:p>
            <w:pPr>
              <w:pStyle w:val="37"/>
              <w:rPr>
                <w:rFonts w:ascii="仿宋" w:hAnsi="仿宋" w:eastAsia="仿宋" w:cs="Times New Roman"/>
              </w:rPr>
            </w:pPr>
            <w:r>
              <w:rPr>
                <w:rFonts w:ascii="仿宋" w:hAnsi="仿宋" w:eastAsia="仿宋" w:cs="Times New Roman"/>
              </w:rPr>
              <w:t>2021年</w:t>
            </w:r>
          </w:p>
        </w:tc>
        <w:tc>
          <w:tcPr>
            <w:tcW w:w="1336" w:type="dxa"/>
            <w:tcBorders>
              <w:tl2br w:val="nil"/>
              <w:tr2bl w:val="nil"/>
            </w:tcBorders>
            <w:vAlign w:val="center"/>
          </w:tcPr>
          <w:p>
            <w:pPr>
              <w:pStyle w:val="37"/>
              <w:rPr>
                <w:rFonts w:ascii="仿宋" w:hAnsi="仿宋" w:eastAsia="仿宋" w:cs="Times New Roman"/>
              </w:rPr>
            </w:pPr>
            <w:r>
              <w:rPr>
                <w:rFonts w:ascii="仿宋" w:hAnsi="仿宋" w:eastAsia="仿宋" w:cs="Times New Roman"/>
              </w:rPr>
              <w:t>2022年</w:t>
            </w:r>
          </w:p>
        </w:tc>
        <w:tc>
          <w:tcPr>
            <w:tcW w:w="1080" w:type="dxa"/>
            <w:tcBorders>
              <w:tl2br w:val="nil"/>
              <w:tr2bl w:val="nil"/>
            </w:tcBorders>
            <w:vAlign w:val="center"/>
          </w:tcPr>
          <w:p>
            <w:pPr>
              <w:pStyle w:val="37"/>
              <w:rPr>
                <w:rFonts w:ascii="仿宋" w:hAnsi="仿宋" w:eastAsia="仿宋" w:cs="Times New Roman"/>
              </w:rPr>
            </w:pPr>
            <w:r>
              <w:rPr>
                <w:rFonts w:ascii="仿宋" w:hAnsi="仿宋" w:eastAsia="仿宋" w:cs="Times New Roman"/>
              </w:rPr>
              <w:t>2023年</w:t>
            </w:r>
          </w:p>
        </w:tc>
        <w:tc>
          <w:tcPr>
            <w:tcW w:w="1080" w:type="dxa"/>
            <w:tcBorders>
              <w:tl2br w:val="nil"/>
              <w:tr2bl w:val="nil"/>
            </w:tcBorders>
            <w:vAlign w:val="center"/>
          </w:tcPr>
          <w:p>
            <w:pPr>
              <w:pStyle w:val="37"/>
              <w:rPr>
                <w:rFonts w:ascii="仿宋" w:hAnsi="仿宋" w:eastAsia="仿宋" w:cs="Times New Roman"/>
              </w:rPr>
            </w:pPr>
            <w:r>
              <w:rPr>
                <w:rFonts w:ascii="仿宋" w:hAnsi="仿宋" w:eastAsia="仿宋" w:cs="Times New Roman"/>
              </w:rPr>
              <w:t>2024年</w:t>
            </w:r>
          </w:p>
        </w:tc>
        <w:tc>
          <w:tcPr>
            <w:tcW w:w="1080" w:type="dxa"/>
            <w:tcBorders>
              <w:tl2br w:val="nil"/>
              <w:tr2bl w:val="nil"/>
            </w:tcBorders>
            <w:vAlign w:val="center"/>
          </w:tcPr>
          <w:p>
            <w:pPr>
              <w:pStyle w:val="37"/>
              <w:rPr>
                <w:rFonts w:ascii="仿宋" w:hAnsi="仿宋" w:eastAsia="仿宋" w:cs="Times New Roman"/>
              </w:rPr>
            </w:pPr>
            <w:r>
              <w:rPr>
                <w:rFonts w:ascii="仿宋" w:hAnsi="仿宋" w:eastAsia="仿宋" w:cs="Times New Roman"/>
              </w:rPr>
              <w:t>2025年</w:t>
            </w:r>
          </w:p>
        </w:tc>
        <w:tc>
          <w:tcPr>
            <w:tcW w:w="1080" w:type="dxa"/>
            <w:tcBorders>
              <w:tl2br w:val="nil"/>
              <w:tr2bl w:val="nil"/>
            </w:tcBorders>
            <w:vAlign w:val="center"/>
          </w:tcPr>
          <w:p>
            <w:pPr>
              <w:pStyle w:val="37"/>
              <w:rPr>
                <w:rFonts w:ascii="仿宋" w:hAnsi="仿宋" w:eastAsia="仿宋" w:cs="Times New Roman"/>
              </w:rPr>
            </w:pPr>
            <w:r>
              <w:rPr>
                <w:rFonts w:ascii="仿宋" w:hAnsi="仿宋" w:eastAsia="仿宋" w:cs="Times New Roman"/>
              </w:rPr>
              <w:t>十四五年均增长率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1289"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高方案</w:t>
            </w:r>
          </w:p>
        </w:tc>
        <w:tc>
          <w:tcPr>
            <w:tcW w:w="1515"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61.60 </w:t>
            </w:r>
          </w:p>
        </w:tc>
        <w:tc>
          <w:tcPr>
            <w:tcW w:w="1336"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68.38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75.90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84.25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93.51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1289"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中方案(推荐)</w:t>
            </w:r>
          </w:p>
        </w:tc>
        <w:tc>
          <w:tcPr>
            <w:tcW w:w="1515"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61.60 </w:t>
            </w:r>
          </w:p>
        </w:tc>
        <w:tc>
          <w:tcPr>
            <w:tcW w:w="1336"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67.45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73.86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80.88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88.56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1289"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低方案</w:t>
            </w:r>
          </w:p>
        </w:tc>
        <w:tc>
          <w:tcPr>
            <w:tcW w:w="1515"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61.60 </w:t>
            </w:r>
          </w:p>
        </w:tc>
        <w:tc>
          <w:tcPr>
            <w:tcW w:w="1336"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66.53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71.85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77.60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 xml:space="preserve">83.81 </w:t>
            </w:r>
          </w:p>
        </w:tc>
        <w:tc>
          <w:tcPr>
            <w:tcW w:w="1080" w:type="dxa"/>
            <w:tcBorders>
              <w:tl2br w:val="nil"/>
              <w:tr2bl w:val="nil"/>
            </w:tcBorders>
            <w:vAlign w:val="center"/>
          </w:tcPr>
          <w:p>
            <w:pPr>
              <w:pStyle w:val="37"/>
              <w:rPr>
                <w:rFonts w:ascii="仿宋" w:hAnsi="仿宋" w:eastAsia="仿宋" w:cs="Times New Roman"/>
                <w:bCs w:val="0"/>
              </w:rPr>
            </w:pPr>
            <w:r>
              <w:rPr>
                <w:rFonts w:ascii="仿宋" w:hAnsi="仿宋" w:eastAsia="仿宋" w:cs="Times New Roman"/>
                <w:bCs w:val="0"/>
              </w:rPr>
              <w:t>8.0%</w:t>
            </w:r>
          </w:p>
        </w:tc>
      </w:tr>
    </w:tbl>
    <w:p>
      <w:pPr>
        <w:pStyle w:val="56"/>
        <w:numPr>
          <w:ilvl w:val="0"/>
          <w:numId w:val="3"/>
        </w:numPr>
        <w:ind w:firstLineChars="0"/>
        <w:rPr>
          <w:rFonts w:ascii="仿宋" w:hAnsi="仿宋" w:eastAsia="仿宋"/>
        </w:rPr>
      </w:pPr>
      <w:r>
        <w:rPr>
          <w:rFonts w:ascii="仿宋" w:hAnsi="仿宋" w:eastAsia="仿宋"/>
        </w:rPr>
        <w:t>电动私家车保有量预测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国务院发布的《新能源汽车产业发展规划(2021-2035年)》为新能源汽车产业未来15年的发展打下了坚实的基础，地方层面也纷纷出台政策鼓励新能源汽车消费。国家与地方的政策体系逐渐成型，给予了新能源汽车行业发展极大的支持，预计未来5年内政策扶持将仍然发挥不可或缺的作用。随着在公共领域电动汽车的不断推广，人们对电动汽车的认知程度不断提高，并配合城市的燃油车限牌措施、电池技术的发展、充电设施基础网络的完善，预计新能源汽车未来有较大的发展空间。</w:t>
      </w:r>
    </w:p>
    <w:p>
      <w:pPr>
        <w:spacing w:line="360" w:lineRule="auto"/>
        <w:ind w:firstLine="560" w:firstLineChars="200"/>
        <w:rPr>
          <w:rFonts w:ascii="仿宋" w:hAnsi="仿宋" w:eastAsia="仿宋"/>
          <w:sz w:val="28"/>
          <w:szCs w:val="28"/>
        </w:rPr>
      </w:pPr>
      <w:r>
        <w:rPr>
          <w:rFonts w:ascii="仿宋" w:hAnsi="仿宋" w:eastAsia="仿宋"/>
          <w:sz w:val="28"/>
          <w:szCs w:val="28"/>
        </w:rPr>
        <w:t>考虑到未来节能减排力度逐年加大，轨道交通等公共交通不断完善，以及政府鼓励市民使用公共交通出行、车辆限行限购等多种因素等一列因素，对预测未来电动私家车的保有量有一定的影响。</w:t>
      </w:r>
    </w:p>
    <w:p>
      <w:pPr>
        <w:spacing w:line="360" w:lineRule="auto"/>
        <w:ind w:firstLine="560" w:firstLineChars="200"/>
        <w:rPr>
          <w:rFonts w:ascii="仿宋" w:hAnsi="仿宋" w:eastAsia="仿宋"/>
          <w:sz w:val="28"/>
          <w:szCs w:val="28"/>
        </w:rPr>
      </w:pPr>
      <w:r>
        <w:rPr>
          <w:rFonts w:ascii="仿宋" w:hAnsi="仿宋" w:eastAsia="仿宋"/>
          <w:sz w:val="28"/>
          <w:szCs w:val="28"/>
        </w:rPr>
        <w:t>本次预测采取情景因子法，选取四种相关的影响因子：限牌政策、财政补贴政策、电动汽车性能、基础设施，分保守型、正常型和乐观型三种情景对电动私家车的未来保有量进行预测。</w:t>
      </w:r>
    </w:p>
    <w:p>
      <w:pPr>
        <w:pStyle w:val="8"/>
        <w:spacing w:after="0" w:afterLines="0" w:line="240" w:lineRule="auto"/>
        <w:rPr>
          <w:rFonts w:ascii="仿宋" w:hAnsi="仿宋" w:eastAsia="仿宋"/>
          <w:b w:val="0"/>
        </w:rPr>
      </w:pPr>
      <w:r>
        <w:rPr>
          <w:rFonts w:ascii="仿宋" w:hAnsi="仿宋" w:eastAsia="仿宋"/>
          <w:b w:val="0"/>
        </w:rPr>
        <w:t>表 4-3  情景分析法：影响因子</w:t>
      </w:r>
    </w:p>
    <w:tbl>
      <w:tblPr>
        <w:tblStyle w:val="2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386"/>
        <w:gridCol w:w="1526"/>
        <w:gridCol w:w="1387"/>
        <w:gridCol w:w="138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22" w:type="dxa"/>
            <w:shd w:val="clear" w:color="auto" w:fill="auto"/>
            <w:vAlign w:val="center"/>
          </w:tcPr>
          <w:p>
            <w:pPr>
              <w:pStyle w:val="37"/>
              <w:rPr>
                <w:rFonts w:ascii="仿宋" w:hAnsi="仿宋" w:eastAsia="仿宋" w:cs="Times New Roman"/>
              </w:rPr>
            </w:pPr>
            <w:r>
              <w:rPr>
                <w:rFonts w:ascii="仿宋" w:hAnsi="仿宋" w:eastAsia="仿宋" w:cs="Times New Roman"/>
              </w:rPr>
              <w:t>措施</w:t>
            </w:r>
          </w:p>
        </w:tc>
        <w:tc>
          <w:tcPr>
            <w:tcW w:w="1386" w:type="dxa"/>
            <w:shd w:val="clear" w:color="auto" w:fill="auto"/>
            <w:vAlign w:val="center"/>
          </w:tcPr>
          <w:p>
            <w:pPr>
              <w:pStyle w:val="37"/>
              <w:rPr>
                <w:rFonts w:ascii="仿宋" w:hAnsi="仿宋" w:eastAsia="仿宋" w:cs="Times New Roman"/>
              </w:rPr>
            </w:pPr>
            <w:r>
              <w:rPr>
                <w:rFonts w:ascii="仿宋" w:hAnsi="仿宋" w:eastAsia="仿宋" w:cs="Times New Roman"/>
              </w:rPr>
              <w:t>限牌政策</w:t>
            </w:r>
          </w:p>
        </w:tc>
        <w:tc>
          <w:tcPr>
            <w:tcW w:w="1526" w:type="dxa"/>
            <w:shd w:val="clear" w:color="auto" w:fill="auto"/>
            <w:vAlign w:val="center"/>
          </w:tcPr>
          <w:p>
            <w:pPr>
              <w:pStyle w:val="37"/>
              <w:rPr>
                <w:rFonts w:ascii="仿宋" w:hAnsi="仿宋" w:eastAsia="仿宋" w:cs="Times New Roman"/>
              </w:rPr>
            </w:pPr>
            <w:r>
              <w:rPr>
                <w:rFonts w:ascii="仿宋" w:hAnsi="仿宋" w:eastAsia="仿宋" w:cs="Times New Roman"/>
              </w:rPr>
              <w:t>补贴政策</w:t>
            </w:r>
          </w:p>
        </w:tc>
        <w:tc>
          <w:tcPr>
            <w:tcW w:w="1387" w:type="dxa"/>
            <w:shd w:val="clear" w:color="auto" w:fill="auto"/>
            <w:vAlign w:val="center"/>
          </w:tcPr>
          <w:p>
            <w:pPr>
              <w:pStyle w:val="37"/>
              <w:rPr>
                <w:rFonts w:ascii="仿宋" w:hAnsi="仿宋" w:eastAsia="仿宋" w:cs="Times New Roman"/>
              </w:rPr>
            </w:pPr>
            <w:r>
              <w:rPr>
                <w:rFonts w:ascii="仿宋" w:hAnsi="仿宋" w:eastAsia="仿宋" w:cs="Times New Roman"/>
              </w:rPr>
              <w:t>汽车性能</w:t>
            </w:r>
          </w:p>
        </w:tc>
        <w:tc>
          <w:tcPr>
            <w:tcW w:w="1385" w:type="dxa"/>
            <w:shd w:val="clear" w:color="auto" w:fill="auto"/>
            <w:vAlign w:val="center"/>
          </w:tcPr>
          <w:p>
            <w:pPr>
              <w:pStyle w:val="37"/>
              <w:rPr>
                <w:rFonts w:ascii="仿宋" w:hAnsi="仿宋" w:eastAsia="仿宋" w:cs="Times New Roman"/>
              </w:rPr>
            </w:pPr>
            <w:r>
              <w:rPr>
                <w:rFonts w:ascii="仿宋" w:hAnsi="仿宋" w:eastAsia="仿宋" w:cs="Times New Roman"/>
              </w:rPr>
              <w:t>基础设施</w:t>
            </w:r>
          </w:p>
        </w:tc>
        <w:tc>
          <w:tcPr>
            <w:tcW w:w="1090" w:type="dxa"/>
            <w:shd w:val="clear" w:color="auto" w:fill="auto"/>
            <w:vAlign w:val="center"/>
          </w:tcPr>
          <w:p>
            <w:pPr>
              <w:pStyle w:val="37"/>
              <w:rPr>
                <w:rFonts w:ascii="仿宋" w:hAnsi="仿宋" w:eastAsia="仿宋" w:cs="Times New Roman"/>
              </w:rPr>
            </w:pPr>
            <w:r>
              <w:rPr>
                <w:rFonts w:ascii="仿宋" w:hAnsi="仿宋" w:eastAsia="仿宋" w:cs="Times New Roman"/>
              </w:rPr>
              <w:t>预测特点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2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情景1</w:t>
            </w:r>
          </w:p>
        </w:tc>
        <w:tc>
          <w:tcPr>
            <w:tcW w:w="13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逐渐退出</w:t>
            </w:r>
          </w:p>
        </w:tc>
        <w:tc>
          <w:tcPr>
            <w:tcW w:w="152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逐渐退出</w:t>
            </w:r>
          </w:p>
        </w:tc>
        <w:tc>
          <w:tcPr>
            <w:tcW w:w="138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进一步提升</w:t>
            </w:r>
          </w:p>
        </w:tc>
        <w:tc>
          <w:tcPr>
            <w:tcW w:w="1385"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不太方便</w:t>
            </w:r>
          </w:p>
        </w:tc>
        <w:tc>
          <w:tcPr>
            <w:tcW w:w="109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保守型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2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情景2</w:t>
            </w:r>
          </w:p>
        </w:tc>
        <w:tc>
          <w:tcPr>
            <w:tcW w:w="13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持续倾向</w:t>
            </w:r>
          </w:p>
        </w:tc>
        <w:tc>
          <w:tcPr>
            <w:tcW w:w="152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逐渐退出</w:t>
            </w:r>
          </w:p>
        </w:tc>
        <w:tc>
          <w:tcPr>
            <w:tcW w:w="138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进一步提升</w:t>
            </w:r>
          </w:p>
        </w:tc>
        <w:tc>
          <w:tcPr>
            <w:tcW w:w="1385"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局部成网</w:t>
            </w:r>
          </w:p>
        </w:tc>
        <w:tc>
          <w:tcPr>
            <w:tcW w:w="109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稳健型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情景3</w:t>
            </w:r>
          </w:p>
        </w:tc>
        <w:tc>
          <w:tcPr>
            <w:tcW w:w="13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持续倾向</w:t>
            </w:r>
          </w:p>
        </w:tc>
        <w:tc>
          <w:tcPr>
            <w:tcW w:w="152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保持不变</w:t>
            </w:r>
          </w:p>
        </w:tc>
        <w:tc>
          <w:tcPr>
            <w:tcW w:w="138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大幅度提升</w:t>
            </w:r>
          </w:p>
        </w:tc>
        <w:tc>
          <w:tcPr>
            <w:tcW w:w="1385"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全市成网</w:t>
            </w:r>
          </w:p>
        </w:tc>
        <w:tc>
          <w:tcPr>
            <w:tcW w:w="109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乐观型</w:t>
            </w:r>
          </w:p>
        </w:tc>
      </w:tr>
    </w:tbl>
    <w:p>
      <w:pPr>
        <w:spacing w:line="360" w:lineRule="auto"/>
        <w:ind w:firstLine="560" w:firstLineChars="200"/>
        <w:rPr>
          <w:rFonts w:ascii="仿宋" w:hAnsi="仿宋" w:eastAsia="仿宋"/>
          <w:sz w:val="28"/>
          <w:szCs w:val="28"/>
        </w:rPr>
      </w:pPr>
      <w:r>
        <w:rPr>
          <w:rFonts w:ascii="仿宋" w:hAnsi="仿宋" w:eastAsia="仿宋"/>
          <w:sz w:val="28"/>
          <w:szCs w:val="28"/>
        </w:rPr>
        <w:t>按不同情景对私人电动汽车进行预测。</w:t>
      </w:r>
    </w:p>
    <w:p>
      <w:pPr>
        <w:pStyle w:val="8"/>
        <w:spacing w:after="0" w:afterLines="0" w:line="240" w:lineRule="auto"/>
        <w:rPr>
          <w:rFonts w:ascii="仿宋" w:hAnsi="仿宋" w:eastAsia="仿宋"/>
          <w:b w:val="0"/>
        </w:rPr>
      </w:pPr>
      <w:r>
        <w:rPr>
          <w:rFonts w:ascii="仿宋" w:hAnsi="仿宋" w:eastAsia="仿宋"/>
          <w:b w:val="0"/>
        </w:rPr>
        <w:t>表 4-4 私人电动汽车保有量预测结果</w:t>
      </w:r>
    </w:p>
    <w:p>
      <w:pPr>
        <w:pStyle w:val="61"/>
        <w:spacing w:after="0" w:afterLines="0"/>
        <w:ind w:firstLine="420"/>
        <w:jc w:val="center"/>
        <w:rPr>
          <w:rFonts w:ascii="仿宋" w:hAnsi="仿宋" w:eastAsia="仿宋" w:cs="Times New Roman"/>
          <w:b w:val="0"/>
        </w:rPr>
      </w:pPr>
      <w:r>
        <w:rPr>
          <w:rFonts w:ascii="仿宋" w:hAnsi="仿宋" w:eastAsia="仿宋" w:cs="Times New Roman"/>
          <w:b w:val="0"/>
        </w:rPr>
        <w:t xml:space="preserve">                                                       单位：辆</w:t>
      </w:r>
    </w:p>
    <w:tbl>
      <w:tblPr>
        <w:tblStyle w:val="25"/>
        <w:tblW w:w="7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1062"/>
        <w:gridCol w:w="1062"/>
        <w:gridCol w:w="1062"/>
        <w:gridCol w:w="1062"/>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7" w:type="dxa"/>
            <w:shd w:val="clear" w:color="auto" w:fill="auto"/>
            <w:vAlign w:val="center"/>
          </w:tcPr>
          <w:p>
            <w:pPr>
              <w:pStyle w:val="37"/>
              <w:rPr>
                <w:rFonts w:ascii="仿宋" w:hAnsi="仿宋" w:eastAsia="仿宋" w:cs="Times New Roman"/>
              </w:rPr>
            </w:pPr>
            <w:r>
              <w:rPr>
                <w:rFonts w:ascii="仿宋" w:hAnsi="仿宋" w:eastAsia="仿宋" w:cs="Times New Roman"/>
              </w:rPr>
              <w:t>分类</w:t>
            </w:r>
          </w:p>
        </w:tc>
        <w:tc>
          <w:tcPr>
            <w:tcW w:w="1062" w:type="dxa"/>
            <w:vAlign w:val="center"/>
          </w:tcPr>
          <w:p>
            <w:pPr>
              <w:pStyle w:val="37"/>
              <w:rPr>
                <w:rFonts w:ascii="仿宋" w:hAnsi="仿宋" w:eastAsia="仿宋" w:cs="Times New Roman"/>
              </w:rPr>
            </w:pPr>
            <w:r>
              <w:rPr>
                <w:rFonts w:ascii="仿宋" w:hAnsi="仿宋" w:eastAsia="仿宋" w:cs="Times New Roman"/>
              </w:rPr>
              <w:t>2021年</w:t>
            </w:r>
          </w:p>
        </w:tc>
        <w:tc>
          <w:tcPr>
            <w:tcW w:w="1062" w:type="dxa"/>
            <w:vAlign w:val="center"/>
          </w:tcPr>
          <w:p>
            <w:pPr>
              <w:pStyle w:val="37"/>
              <w:rPr>
                <w:rFonts w:ascii="仿宋" w:hAnsi="仿宋" w:eastAsia="仿宋" w:cs="Times New Roman"/>
              </w:rPr>
            </w:pPr>
            <w:r>
              <w:rPr>
                <w:rFonts w:ascii="仿宋" w:hAnsi="仿宋" w:eastAsia="仿宋" w:cs="Times New Roman"/>
              </w:rPr>
              <w:t>2022年</w:t>
            </w:r>
          </w:p>
        </w:tc>
        <w:tc>
          <w:tcPr>
            <w:tcW w:w="1062" w:type="dxa"/>
            <w:shd w:val="clear" w:color="auto" w:fill="auto"/>
            <w:vAlign w:val="center"/>
          </w:tcPr>
          <w:p>
            <w:pPr>
              <w:pStyle w:val="37"/>
              <w:rPr>
                <w:rFonts w:ascii="仿宋" w:hAnsi="仿宋" w:eastAsia="仿宋" w:cs="Times New Roman"/>
              </w:rPr>
            </w:pPr>
            <w:r>
              <w:rPr>
                <w:rFonts w:ascii="仿宋" w:hAnsi="仿宋" w:eastAsia="仿宋" w:cs="Times New Roman"/>
              </w:rPr>
              <w:t>2023年</w:t>
            </w:r>
          </w:p>
        </w:tc>
        <w:tc>
          <w:tcPr>
            <w:tcW w:w="1062" w:type="dxa"/>
            <w:shd w:val="clear" w:color="auto" w:fill="auto"/>
            <w:vAlign w:val="center"/>
          </w:tcPr>
          <w:p>
            <w:pPr>
              <w:pStyle w:val="37"/>
              <w:rPr>
                <w:rFonts w:ascii="仿宋" w:hAnsi="仿宋" w:eastAsia="仿宋" w:cs="Times New Roman"/>
              </w:rPr>
            </w:pPr>
            <w:r>
              <w:rPr>
                <w:rFonts w:ascii="仿宋" w:hAnsi="仿宋" w:eastAsia="仿宋" w:cs="Times New Roman"/>
              </w:rPr>
              <w:t>2024年</w:t>
            </w:r>
          </w:p>
        </w:tc>
        <w:tc>
          <w:tcPr>
            <w:tcW w:w="1059" w:type="dxa"/>
            <w:shd w:val="clear" w:color="auto" w:fill="auto"/>
            <w:vAlign w:val="center"/>
          </w:tcPr>
          <w:p>
            <w:pPr>
              <w:pStyle w:val="37"/>
              <w:rPr>
                <w:rFonts w:ascii="仿宋" w:hAnsi="仿宋" w:eastAsia="仿宋" w:cs="Times New Roman"/>
              </w:rPr>
            </w:pPr>
            <w:r>
              <w:rPr>
                <w:rFonts w:ascii="仿宋" w:hAnsi="仿宋" w:eastAsia="仿宋" w:cs="Times New Roma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情景1</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11872 </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20681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30459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42982 </w:t>
            </w:r>
          </w:p>
        </w:tc>
        <w:tc>
          <w:tcPr>
            <w:tcW w:w="105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56882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情景2（推荐）</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11872 </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18309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25999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35120 </w:t>
            </w:r>
          </w:p>
        </w:tc>
        <w:tc>
          <w:tcPr>
            <w:tcW w:w="105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45109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情景3</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11872 </w:t>
            </w:r>
          </w:p>
        </w:tc>
        <w:tc>
          <w:tcPr>
            <w:tcW w:w="1062" w:type="dxa"/>
            <w:vAlign w:val="center"/>
          </w:tcPr>
          <w:p>
            <w:pPr>
              <w:pStyle w:val="37"/>
              <w:rPr>
                <w:rFonts w:ascii="仿宋" w:hAnsi="仿宋" w:eastAsia="仿宋" w:cs="Times New Roman"/>
                <w:bCs w:val="0"/>
              </w:rPr>
            </w:pPr>
            <w:r>
              <w:rPr>
                <w:rFonts w:ascii="仿宋" w:hAnsi="仿宋" w:eastAsia="仿宋" w:cs="Times New Roman"/>
                <w:bCs w:val="0"/>
              </w:rPr>
              <w:t xml:space="preserve">16800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22122 </w:t>
            </w:r>
          </w:p>
        </w:tc>
        <w:tc>
          <w:tcPr>
            <w:tcW w:w="106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27870 </w:t>
            </w:r>
          </w:p>
        </w:tc>
        <w:tc>
          <w:tcPr>
            <w:tcW w:w="105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34078 </w:t>
            </w:r>
          </w:p>
        </w:tc>
      </w:tr>
    </w:tbl>
    <w:p>
      <w:pPr>
        <w:pStyle w:val="10"/>
        <w:ind w:firstLine="560"/>
        <w:rPr>
          <w:rFonts w:ascii="仿宋" w:hAnsi="仿宋" w:eastAsia="仿宋"/>
        </w:rPr>
      </w:pPr>
      <w:r>
        <w:rPr>
          <w:rFonts w:ascii="仿宋" w:hAnsi="仿宋" w:eastAsia="仿宋"/>
        </w:rPr>
        <w:t>推荐采用情景2稳健型预测结果，2025年达到45109辆。</w:t>
      </w:r>
    </w:p>
    <w:p>
      <w:pPr>
        <w:keepNext/>
        <w:keepLines/>
        <w:spacing w:line="560" w:lineRule="exact"/>
        <w:ind w:firstLine="561"/>
        <w:rPr>
          <w:rFonts w:ascii="仿宋" w:hAnsi="仿宋" w:eastAsia="仿宋"/>
          <w:bCs/>
          <w:sz w:val="28"/>
          <w:szCs w:val="28"/>
        </w:rPr>
      </w:pPr>
      <w:r>
        <w:rPr>
          <w:rFonts w:ascii="仿宋" w:hAnsi="仿宋" w:eastAsia="仿宋"/>
          <w:bCs/>
          <w:sz w:val="28"/>
          <w:szCs w:val="28"/>
        </w:rPr>
        <w:t>（2）出租车、网约车</w:t>
      </w:r>
    </w:p>
    <w:p>
      <w:pPr>
        <w:spacing w:line="360" w:lineRule="auto"/>
        <w:ind w:firstLine="560" w:firstLineChars="200"/>
        <w:rPr>
          <w:rFonts w:ascii="仿宋" w:hAnsi="仿宋" w:eastAsia="仿宋"/>
        </w:rPr>
      </w:pPr>
      <w:r>
        <w:rPr>
          <w:rFonts w:ascii="仿宋" w:hAnsi="仿宋" w:eastAsia="仿宋"/>
          <w:sz w:val="28"/>
          <w:szCs w:val="28"/>
        </w:rPr>
        <w:t>2021年岳阳市出租车</w:t>
      </w:r>
      <w:r>
        <w:rPr>
          <w:rFonts w:hint="eastAsia" w:ascii="仿宋" w:hAnsi="仿宋" w:eastAsia="仿宋"/>
          <w:sz w:val="28"/>
          <w:szCs w:val="28"/>
        </w:rPr>
        <w:t>、</w:t>
      </w:r>
      <w:r>
        <w:rPr>
          <w:rFonts w:ascii="仿宋" w:hAnsi="仿宋" w:eastAsia="仿宋"/>
          <w:sz w:val="28"/>
          <w:szCs w:val="28"/>
        </w:rPr>
        <w:t>网约车数量为3123辆，约为</w:t>
      </w:r>
      <w:r>
        <w:rPr>
          <w:rFonts w:hint="eastAsia" w:ascii="仿宋" w:hAnsi="仿宋" w:eastAsia="仿宋"/>
          <w:sz w:val="28"/>
          <w:szCs w:val="28"/>
        </w:rPr>
        <w:t>6标台/万</w:t>
      </w:r>
      <w:r>
        <w:rPr>
          <w:rFonts w:ascii="仿宋" w:hAnsi="仿宋" w:eastAsia="仿宋"/>
          <w:sz w:val="28"/>
          <w:szCs w:val="28"/>
        </w:rPr>
        <w:t>人。</w:t>
      </w:r>
      <w:r>
        <w:rPr>
          <w:rFonts w:ascii="仿宋" w:hAnsi="仿宋" w:eastAsia="仿宋"/>
        </w:rPr>
        <w:t xml:space="preserve"> </w:t>
      </w:r>
      <w:r>
        <w:rPr>
          <w:rFonts w:ascii="仿宋" w:hAnsi="仿宋" w:eastAsia="仿宋"/>
          <w:sz w:val="28"/>
          <w:szCs w:val="28"/>
        </w:rPr>
        <w:t>随着网约车企业的进驻及居民及旅客出行需求，预计出租车、网约出租车数量将呈现增长趋势。分别按照7.5标台/万人、10标台/万人的递增指标预测2023年、2025年的网约出租车数量</w:t>
      </w:r>
      <w:r>
        <w:rPr>
          <w:rFonts w:hint="eastAsia" w:ascii="仿宋" w:hAnsi="仿宋" w:eastAsia="仿宋"/>
          <w:sz w:val="28"/>
          <w:szCs w:val="28"/>
        </w:rPr>
        <w:t>,</w:t>
      </w:r>
      <w:r>
        <w:rPr>
          <w:rFonts w:ascii="仿宋" w:hAnsi="仿宋" w:eastAsia="仿宋"/>
          <w:sz w:val="28"/>
          <w:szCs w:val="28"/>
        </w:rPr>
        <w:t>电动网约出租车占比至2025年不低于40%。</w:t>
      </w:r>
    </w:p>
    <w:p>
      <w:pPr>
        <w:pStyle w:val="8"/>
        <w:spacing w:after="0" w:afterLines="0" w:line="240" w:lineRule="auto"/>
        <w:rPr>
          <w:rFonts w:ascii="仿宋" w:hAnsi="仿宋" w:eastAsia="仿宋"/>
          <w:b w:val="0"/>
        </w:rPr>
      </w:pPr>
      <w:r>
        <w:rPr>
          <w:rFonts w:ascii="仿宋" w:hAnsi="仿宋" w:eastAsia="仿宋"/>
          <w:b w:val="0"/>
        </w:rPr>
        <w:t>表 4-5 出租车、网约车车保有量预测结果</w:t>
      </w:r>
    </w:p>
    <w:p>
      <w:pPr>
        <w:pStyle w:val="61"/>
        <w:spacing w:after="0" w:afterLines="0"/>
        <w:ind w:firstLine="420"/>
        <w:jc w:val="center"/>
        <w:rPr>
          <w:rFonts w:ascii="仿宋" w:hAnsi="仿宋" w:eastAsia="仿宋" w:cs="Times New Roman"/>
          <w:b w:val="0"/>
        </w:rPr>
      </w:pPr>
      <w:r>
        <w:rPr>
          <w:rFonts w:ascii="仿宋" w:hAnsi="仿宋" w:eastAsia="仿宋" w:cs="Times New Roman"/>
          <w:b w:val="0"/>
        </w:rPr>
        <w:t xml:space="preserve">                                                                </w:t>
      </w:r>
    </w:p>
    <w:tbl>
      <w:tblPr>
        <w:tblStyle w:val="25"/>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7"/>
        <w:gridCol w:w="920"/>
        <w:gridCol w:w="919"/>
        <w:gridCol w:w="920"/>
        <w:gridCol w:w="919"/>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7" w:type="dxa"/>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920" w:type="dxa"/>
            <w:shd w:val="clear" w:color="auto" w:fill="auto"/>
            <w:vAlign w:val="center"/>
          </w:tcPr>
          <w:p>
            <w:pPr>
              <w:pStyle w:val="37"/>
              <w:rPr>
                <w:rFonts w:ascii="仿宋" w:hAnsi="仿宋" w:eastAsia="仿宋" w:cs="Times New Roman"/>
              </w:rPr>
            </w:pPr>
            <w:r>
              <w:rPr>
                <w:rFonts w:ascii="仿宋" w:hAnsi="仿宋" w:eastAsia="仿宋" w:cs="Times New Roman"/>
              </w:rPr>
              <w:t>2021年</w:t>
            </w:r>
          </w:p>
        </w:tc>
        <w:tc>
          <w:tcPr>
            <w:tcW w:w="919" w:type="dxa"/>
            <w:shd w:val="clear" w:color="auto" w:fill="auto"/>
            <w:vAlign w:val="center"/>
          </w:tcPr>
          <w:p>
            <w:pPr>
              <w:pStyle w:val="37"/>
              <w:rPr>
                <w:rFonts w:ascii="仿宋" w:hAnsi="仿宋" w:eastAsia="仿宋" w:cs="Times New Roman"/>
              </w:rPr>
            </w:pPr>
            <w:r>
              <w:rPr>
                <w:rFonts w:ascii="仿宋" w:hAnsi="仿宋" w:eastAsia="仿宋" w:cs="Times New Roman"/>
              </w:rPr>
              <w:t>2022年</w:t>
            </w:r>
          </w:p>
        </w:tc>
        <w:tc>
          <w:tcPr>
            <w:tcW w:w="920" w:type="dxa"/>
            <w:shd w:val="clear" w:color="auto" w:fill="auto"/>
            <w:vAlign w:val="center"/>
          </w:tcPr>
          <w:p>
            <w:pPr>
              <w:pStyle w:val="37"/>
              <w:rPr>
                <w:rFonts w:ascii="仿宋" w:hAnsi="仿宋" w:eastAsia="仿宋" w:cs="Times New Roman"/>
              </w:rPr>
            </w:pPr>
            <w:r>
              <w:rPr>
                <w:rFonts w:ascii="仿宋" w:hAnsi="仿宋" w:eastAsia="仿宋" w:cs="Times New Roman"/>
              </w:rPr>
              <w:t>2023年</w:t>
            </w:r>
          </w:p>
        </w:tc>
        <w:tc>
          <w:tcPr>
            <w:tcW w:w="919" w:type="dxa"/>
            <w:shd w:val="clear" w:color="auto" w:fill="auto"/>
            <w:vAlign w:val="center"/>
          </w:tcPr>
          <w:p>
            <w:pPr>
              <w:pStyle w:val="37"/>
              <w:rPr>
                <w:rFonts w:ascii="仿宋" w:hAnsi="仿宋" w:eastAsia="仿宋" w:cs="Times New Roman"/>
              </w:rPr>
            </w:pPr>
            <w:r>
              <w:rPr>
                <w:rFonts w:ascii="仿宋" w:hAnsi="仿宋" w:eastAsia="仿宋" w:cs="Times New Roman"/>
              </w:rPr>
              <w:t>2024年</w:t>
            </w:r>
          </w:p>
        </w:tc>
        <w:tc>
          <w:tcPr>
            <w:tcW w:w="920" w:type="dxa"/>
            <w:shd w:val="clear" w:color="auto" w:fill="auto"/>
            <w:vAlign w:val="center"/>
          </w:tcPr>
          <w:p>
            <w:pPr>
              <w:pStyle w:val="37"/>
              <w:rPr>
                <w:rFonts w:ascii="仿宋" w:hAnsi="仿宋" w:eastAsia="仿宋" w:cs="Times New Roman"/>
              </w:rPr>
            </w:pPr>
            <w:r>
              <w:rPr>
                <w:rFonts w:ascii="仿宋" w:hAnsi="仿宋" w:eastAsia="仿宋" w:cs="Times New Roma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出租车、网约车总保有量（辆）</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3313</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3535</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3788</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4040</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电动出租车、网约车保有量（辆）</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190</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354</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758</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1212</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6%</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20%</w:t>
            </w:r>
          </w:p>
        </w:tc>
        <w:tc>
          <w:tcPr>
            <w:tcW w:w="91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30%</w:t>
            </w:r>
          </w:p>
        </w:tc>
        <w:tc>
          <w:tcPr>
            <w:tcW w:w="92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40%</w:t>
            </w:r>
          </w:p>
        </w:tc>
      </w:tr>
    </w:tbl>
    <w:p>
      <w:pPr>
        <w:keepNext/>
        <w:keepLines/>
        <w:spacing w:line="360" w:lineRule="auto"/>
        <w:ind w:firstLine="561"/>
        <w:rPr>
          <w:rFonts w:ascii="仿宋" w:hAnsi="仿宋" w:eastAsia="仿宋"/>
          <w:bCs/>
          <w:sz w:val="28"/>
          <w:szCs w:val="28"/>
        </w:rPr>
      </w:pPr>
      <w:r>
        <w:rPr>
          <w:rFonts w:ascii="仿宋" w:hAnsi="仿宋" w:eastAsia="仿宋"/>
          <w:bCs/>
          <w:sz w:val="28"/>
          <w:szCs w:val="28"/>
        </w:rPr>
        <w:t>（3）公交车保有量预测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根据公安部、建设部《2002年全国城市道路交通管理畅通工程总体方案》的有关规定，公安部交通管理局、建设部城市建设司于2002年联合下发《城市道路交通管理评价指标体系》（2002年版）及《城市道路交通管理评价指标体系说明》，其中对公共交通提出了万人拥有公共交通车辆的公共交通评价指标，详细等级划分如下表所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375"/>
        <w:gridCol w:w="1420"/>
        <w:gridCol w:w="1420"/>
        <w:gridCol w:w="1420"/>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rPr>
            </w:pPr>
            <w:r>
              <w:rPr>
                <w:rFonts w:ascii="仿宋" w:hAnsi="仿宋" w:eastAsia="仿宋" w:cs="Times New Roman"/>
              </w:rPr>
              <w:t>价标准等级</w:t>
            </w:r>
          </w:p>
        </w:tc>
        <w:tc>
          <w:tcPr>
            <w:tcW w:w="1375" w:type="dxa"/>
            <w:shd w:val="clear" w:color="000000" w:fill="FFFFFF"/>
            <w:vAlign w:val="center"/>
          </w:tcPr>
          <w:p>
            <w:pPr>
              <w:pStyle w:val="37"/>
              <w:rPr>
                <w:rFonts w:ascii="仿宋" w:hAnsi="仿宋" w:eastAsia="仿宋" w:cs="Times New Roman"/>
              </w:rPr>
            </w:pPr>
            <w:r>
              <w:rPr>
                <w:rFonts w:ascii="仿宋" w:hAnsi="仿宋" w:eastAsia="仿宋" w:cs="Times New Roman"/>
              </w:rPr>
              <w:t>一</w:t>
            </w:r>
          </w:p>
        </w:tc>
        <w:tc>
          <w:tcPr>
            <w:tcW w:w="1420" w:type="dxa"/>
            <w:shd w:val="clear" w:color="000000" w:fill="FFFFFF"/>
            <w:vAlign w:val="center"/>
          </w:tcPr>
          <w:p>
            <w:pPr>
              <w:pStyle w:val="37"/>
              <w:rPr>
                <w:rFonts w:ascii="仿宋" w:hAnsi="仿宋" w:eastAsia="仿宋" w:cs="Times New Roman"/>
              </w:rPr>
            </w:pPr>
            <w:r>
              <w:rPr>
                <w:rFonts w:ascii="仿宋" w:hAnsi="仿宋" w:eastAsia="仿宋" w:cs="Times New Roman"/>
              </w:rPr>
              <w:t>二</w:t>
            </w:r>
          </w:p>
        </w:tc>
        <w:tc>
          <w:tcPr>
            <w:tcW w:w="1420" w:type="dxa"/>
            <w:shd w:val="clear" w:color="000000" w:fill="FFFFFF"/>
            <w:vAlign w:val="center"/>
          </w:tcPr>
          <w:p>
            <w:pPr>
              <w:pStyle w:val="37"/>
              <w:rPr>
                <w:rFonts w:ascii="仿宋" w:hAnsi="仿宋" w:eastAsia="仿宋" w:cs="Times New Roman"/>
              </w:rPr>
            </w:pPr>
            <w:r>
              <w:rPr>
                <w:rFonts w:ascii="仿宋" w:hAnsi="仿宋" w:eastAsia="仿宋" w:cs="Times New Roman"/>
              </w:rPr>
              <w:t>三</w:t>
            </w:r>
          </w:p>
        </w:tc>
        <w:tc>
          <w:tcPr>
            <w:tcW w:w="1420" w:type="dxa"/>
            <w:shd w:val="clear" w:color="000000" w:fill="FFFFFF"/>
            <w:vAlign w:val="center"/>
          </w:tcPr>
          <w:p>
            <w:pPr>
              <w:pStyle w:val="37"/>
              <w:rPr>
                <w:rFonts w:ascii="仿宋" w:hAnsi="仿宋" w:eastAsia="仿宋" w:cs="Times New Roman"/>
              </w:rPr>
            </w:pPr>
            <w:r>
              <w:rPr>
                <w:rFonts w:ascii="仿宋" w:hAnsi="仿宋" w:eastAsia="仿宋" w:cs="Times New Roman"/>
              </w:rPr>
              <w:t>四</w:t>
            </w:r>
          </w:p>
        </w:tc>
        <w:tc>
          <w:tcPr>
            <w:tcW w:w="1289" w:type="dxa"/>
            <w:shd w:val="clear" w:color="000000" w:fill="FFFFFF"/>
            <w:vAlign w:val="center"/>
          </w:tcPr>
          <w:p>
            <w:pPr>
              <w:pStyle w:val="37"/>
              <w:rPr>
                <w:rFonts w:ascii="仿宋" w:hAnsi="仿宋" w:eastAsia="仿宋" w:cs="Times New Roman"/>
              </w:rPr>
            </w:pPr>
            <w:r>
              <w:rPr>
                <w:rFonts w:ascii="仿宋" w:hAnsi="仿宋" w:eastAsia="仿宋" w:cs="Times New Roman"/>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特大型城市</w:t>
            </w:r>
          </w:p>
        </w:tc>
        <w:tc>
          <w:tcPr>
            <w:tcW w:w="1375"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[20，30]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[17，20）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[14，17）</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[11，14）</w:t>
            </w:r>
          </w:p>
        </w:tc>
        <w:tc>
          <w:tcPr>
            <w:tcW w:w="1289"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A类城市</w:t>
            </w:r>
          </w:p>
        </w:tc>
        <w:tc>
          <w:tcPr>
            <w:tcW w:w="1375"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[15，20]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[12，15）</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[9，12）</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[7，9）</w:t>
            </w:r>
          </w:p>
        </w:tc>
        <w:tc>
          <w:tcPr>
            <w:tcW w:w="1289"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B类城市</w:t>
            </w:r>
          </w:p>
        </w:tc>
        <w:tc>
          <w:tcPr>
            <w:tcW w:w="1375"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[11，15]</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[8，11）</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[6，8）</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[4，6）</w:t>
            </w:r>
          </w:p>
        </w:tc>
        <w:tc>
          <w:tcPr>
            <w:tcW w:w="1289"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C类城市</w:t>
            </w:r>
          </w:p>
        </w:tc>
        <w:tc>
          <w:tcPr>
            <w:tcW w:w="1375"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[9，11]</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[7，9）</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[5，7）</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[3，5）</w:t>
            </w:r>
          </w:p>
        </w:tc>
        <w:tc>
          <w:tcPr>
            <w:tcW w:w="1289"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8"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指数</w:t>
            </w:r>
          </w:p>
        </w:tc>
        <w:tc>
          <w:tcPr>
            <w:tcW w:w="1375"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[90，100]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[80，90）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[70，80）</w:t>
            </w:r>
          </w:p>
        </w:tc>
        <w:tc>
          <w:tcPr>
            <w:tcW w:w="1420"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[60，70）</w:t>
            </w:r>
          </w:p>
        </w:tc>
        <w:tc>
          <w:tcPr>
            <w:tcW w:w="1289" w:type="dxa"/>
            <w:shd w:val="clear" w:color="000000" w:fill="FFFFFF"/>
            <w:vAlign w:val="center"/>
          </w:tcPr>
          <w:p>
            <w:pPr>
              <w:pStyle w:val="37"/>
              <w:rPr>
                <w:rFonts w:ascii="仿宋" w:hAnsi="仿宋" w:eastAsia="仿宋" w:cs="Times New Roman"/>
                <w:bCs w:val="0"/>
              </w:rPr>
            </w:pPr>
            <w:r>
              <w:rPr>
                <w:rFonts w:ascii="仿宋" w:hAnsi="仿宋" w:eastAsia="仿宋" w:cs="Times New Roman"/>
                <w:bCs w:val="0"/>
              </w:rPr>
              <w:t>[0，60）</w:t>
            </w:r>
          </w:p>
        </w:tc>
      </w:tr>
    </w:tbl>
    <w:p>
      <w:pPr>
        <w:spacing w:line="360" w:lineRule="auto"/>
        <w:ind w:firstLine="560" w:firstLineChars="200"/>
        <w:rPr>
          <w:rFonts w:ascii="仿宋" w:hAnsi="仿宋" w:eastAsia="仿宋"/>
          <w:sz w:val="28"/>
          <w:szCs w:val="28"/>
        </w:rPr>
      </w:pPr>
      <w:r>
        <w:rPr>
          <w:rFonts w:ascii="仿宋" w:hAnsi="仿宋" w:eastAsia="仿宋"/>
          <w:sz w:val="28"/>
          <w:szCs w:val="28"/>
        </w:rPr>
        <w:t>根据评价范围说明，岳阳被划分为B类城市。2021年岳阳市运营公交1799标台，万人公交车标台数根据以上约束性指标结合岳阳市实际情况，近期岳阳市万人公交车标台数应不小于4台。根据预测，2020年和2025年岳阳市人口在505万左右，预测2025年城市公交车按照为每万人5-6辆较为合理。</w:t>
      </w:r>
    </w:p>
    <w:p>
      <w:pPr>
        <w:pStyle w:val="8"/>
        <w:spacing w:after="0" w:afterLines="0" w:line="240" w:lineRule="auto"/>
        <w:rPr>
          <w:rFonts w:ascii="仿宋" w:hAnsi="仿宋" w:eastAsia="仿宋"/>
          <w:b w:val="0"/>
        </w:rPr>
      </w:pPr>
      <w:r>
        <w:rPr>
          <w:rFonts w:ascii="仿宋" w:hAnsi="仿宋" w:eastAsia="仿宋"/>
          <w:b w:val="0"/>
        </w:rPr>
        <w:t>表 4</w:t>
      </w:r>
      <w:r>
        <w:rPr>
          <w:rFonts w:ascii="仿宋" w:hAnsi="仿宋" w:eastAsia="仿宋"/>
          <w:b w:val="0"/>
        </w:rPr>
        <w:noBreakHyphen/>
      </w:r>
      <w:r>
        <w:rPr>
          <w:rFonts w:ascii="仿宋" w:hAnsi="仿宋" w:eastAsia="仿宋"/>
          <w:b w:val="0"/>
        </w:rPr>
        <w:t>6 公交车保有量预测结果</w:t>
      </w:r>
    </w:p>
    <w:tbl>
      <w:tblPr>
        <w:tblStyle w:val="25"/>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0"/>
        <w:gridCol w:w="1039"/>
        <w:gridCol w:w="1040"/>
        <w:gridCol w:w="1040"/>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2021</w:t>
            </w:r>
            <w:r>
              <w:rPr>
                <w:rFonts w:hint="eastAsia" w:ascii="仿宋" w:hAnsi="仿宋" w:eastAsia="仿宋" w:cs="Times New Roman"/>
              </w:rPr>
              <w:t>年</w:t>
            </w:r>
          </w:p>
        </w:tc>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2022</w:t>
            </w:r>
            <w:r>
              <w:rPr>
                <w:rFonts w:hint="eastAsia" w:ascii="仿宋" w:hAnsi="仿宋" w:eastAsia="仿宋" w:cs="Times New Roman"/>
              </w:rPr>
              <w:t>年</w:t>
            </w:r>
          </w:p>
        </w:tc>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2023</w:t>
            </w:r>
            <w:r>
              <w:rPr>
                <w:rFonts w:hint="eastAsia" w:ascii="仿宋" w:hAnsi="仿宋" w:eastAsia="仿宋" w:cs="Times New Roman"/>
              </w:rPr>
              <w:t>年</w:t>
            </w:r>
          </w:p>
        </w:tc>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2024</w:t>
            </w:r>
            <w:r>
              <w:rPr>
                <w:rFonts w:hint="eastAsia" w:ascii="仿宋" w:hAnsi="仿宋" w:eastAsia="仿宋" w:cs="Times New Roman"/>
              </w:rPr>
              <w:t>年</w:t>
            </w:r>
          </w:p>
        </w:tc>
        <w:tc>
          <w:tcPr>
            <w:tcW w:w="0" w:type="auto"/>
            <w:shd w:val="clear" w:color="auto" w:fill="auto"/>
            <w:vAlign w:val="center"/>
          </w:tcPr>
          <w:p>
            <w:pPr>
              <w:pStyle w:val="37"/>
              <w:rPr>
                <w:rFonts w:ascii="仿宋" w:hAnsi="仿宋" w:eastAsia="仿宋" w:cs="Times New Roman"/>
              </w:rPr>
            </w:pPr>
            <w:r>
              <w:rPr>
                <w:rFonts w:ascii="仿宋" w:hAnsi="仿宋" w:eastAsia="仿宋" w:cs="Times New Roman"/>
              </w:rPr>
              <w:t>2025</w:t>
            </w:r>
            <w:r>
              <w:rPr>
                <w:rFonts w:hint="eastAsia" w:ascii="仿宋" w:hAnsi="仿宋" w:eastAsia="仿宋" w:cs="Times New Roma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pStyle w:val="37"/>
              <w:rPr>
                <w:rFonts w:ascii="仿宋" w:hAnsi="仿宋" w:eastAsia="仿宋" w:cs="Times New Roman"/>
                <w:bCs w:val="0"/>
              </w:rPr>
            </w:pPr>
            <w:r>
              <w:rPr>
                <w:rFonts w:ascii="仿宋" w:hAnsi="仿宋" w:eastAsia="仿宋" w:cs="Times New Roman"/>
                <w:bCs w:val="0"/>
              </w:rPr>
              <w:t>公交车总保有量（辆）</w:t>
            </w:r>
          </w:p>
        </w:tc>
        <w:tc>
          <w:tcPr>
            <w:tcW w:w="0" w:type="auto"/>
            <w:shd w:val="clear" w:color="auto" w:fill="auto"/>
            <w:vAlign w:val="center"/>
          </w:tcPr>
          <w:p>
            <w:pPr>
              <w:jc w:val="center"/>
              <w:rPr>
                <w:rFonts w:ascii="仿宋" w:hAnsi="仿宋" w:eastAsia="仿宋"/>
              </w:rPr>
            </w:pPr>
            <w:r>
              <w:rPr>
                <w:rFonts w:ascii="仿宋" w:hAnsi="仿宋" w:eastAsia="仿宋"/>
              </w:rPr>
              <w:t>1799</w:t>
            </w:r>
          </w:p>
        </w:tc>
        <w:tc>
          <w:tcPr>
            <w:tcW w:w="0" w:type="auto"/>
            <w:shd w:val="clear" w:color="auto" w:fill="auto"/>
            <w:vAlign w:val="center"/>
          </w:tcPr>
          <w:p>
            <w:pPr>
              <w:jc w:val="center"/>
              <w:rPr>
                <w:rFonts w:ascii="仿宋" w:hAnsi="仿宋" w:eastAsia="仿宋"/>
              </w:rPr>
            </w:pPr>
            <w:r>
              <w:rPr>
                <w:rFonts w:ascii="仿宋" w:hAnsi="仿宋" w:eastAsia="仿宋"/>
              </w:rPr>
              <w:t>1907</w:t>
            </w:r>
          </w:p>
        </w:tc>
        <w:tc>
          <w:tcPr>
            <w:tcW w:w="0" w:type="auto"/>
            <w:shd w:val="clear" w:color="auto" w:fill="auto"/>
            <w:vAlign w:val="center"/>
          </w:tcPr>
          <w:p>
            <w:pPr>
              <w:jc w:val="center"/>
              <w:rPr>
                <w:rFonts w:ascii="仿宋" w:hAnsi="仿宋" w:eastAsia="仿宋"/>
              </w:rPr>
            </w:pPr>
            <w:r>
              <w:rPr>
                <w:rFonts w:ascii="仿宋" w:hAnsi="仿宋" w:eastAsia="仿宋"/>
              </w:rPr>
              <w:t>2187</w:t>
            </w:r>
          </w:p>
        </w:tc>
        <w:tc>
          <w:tcPr>
            <w:tcW w:w="0" w:type="auto"/>
            <w:shd w:val="clear" w:color="auto" w:fill="auto"/>
            <w:vAlign w:val="center"/>
          </w:tcPr>
          <w:p>
            <w:pPr>
              <w:jc w:val="center"/>
              <w:rPr>
                <w:rFonts w:ascii="仿宋" w:hAnsi="仿宋" w:eastAsia="仿宋"/>
              </w:rPr>
            </w:pPr>
            <w:r>
              <w:rPr>
                <w:rFonts w:ascii="仿宋" w:hAnsi="仿宋" w:eastAsia="仿宋"/>
              </w:rPr>
              <w:t>2299</w:t>
            </w:r>
          </w:p>
        </w:tc>
        <w:tc>
          <w:tcPr>
            <w:tcW w:w="0" w:type="auto"/>
            <w:shd w:val="clear" w:color="auto" w:fill="auto"/>
            <w:vAlign w:val="center"/>
          </w:tcPr>
          <w:p>
            <w:pPr>
              <w:jc w:val="center"/>
              <w:rPr>
                <w:rFonts w:ascii="仿宋" w:hAnsi="仿宋" w:eastAsia="仿宋"/>
              </w:rPr>
            </w:pPr>
            <w:r>
              <w:rPr>
                <w:rFonts w:ascii="仿宋" w:hAnsi="仿宋" w:eastAsia="仿宋"/>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电动公交车保有量（辆）</w:t>
            </w:r>
          </w:p>
        </w:tc>
        <w:tc>
          <w:tcPr>
            <w:tcW w:w="0" w:type="auto"/>
            <w:shd w:val="clear" w:color="auto" w:fill="auto"/>
            <w:vAlign w:val="center"/>
          </w:tcPr>
          <w:p>
            <w:pPr>
              <w:jc w:val="center"/>
              <w:rPr>
                <w:rFonts w:ascii="仿宋" w:hAnsi="仿宋" w:eastAsia="仿宋"/>
              </w:rPr>
            </w:pPr>
            <w:r>
              <w:rPr>
                <w:rFonts w:ascii="仿宋" w:hAnsi="仿宋" w:eastAsia="仿宋"/>
              </w:rPr>
              <w:t>1323</w:t>
            </w:r>
          </w:p>
        </w:tc>
        <w:tc>
          <w:tcPr>
            <w:tcW w:w="0" w:type="auto"/>
            <w:shd w:val="clear" w:color="auto" w:fill="auto"/>
            <w:vAlign w:val="center"/>
          </w:tcPr>
          <w:p>
            <w:pPr>
              <w:jc w:val="center"/>
              <w:rPr>
                <w:rFonts w:ascii="仿宋" w:hAnsi="仿宋" w:eastAsia="仿宋"/>
              </w:rPr>
            </w:pPr>
            <w:r>
              <w:rPr>
                <w:rFonts w:ascii="仿宋" w:hAnsi="仿宋" w:eastAsia="仿宋"/>
              </w:rPr>
              <w:t>1424</w:t>
            </w:r>
          </w:p>
        </w:tc>
        <w:tc>
          <w:tcPr>
            <w:tcW w:w="0" w:type="auto"/>
            <w:shd w:val="clear" w:color="auto" w:fill="auto"/>
            <w:vAlign w:val="center"/>
          </w:tcPr>
          <w:p>
            <w:pPr>
              <w:jc w:val="center"/>
              <w:rPr>
                <w:rFonts w:ascii="仿宋" w:hAnsi="仿宋" w:eastAsia="仿宋"/>
              </w:rPr>
            </w:pPr>
            <w:r>
              <w:rPr>
                <w:rFonts w:ascii="仿宋" w:hAnsi="仿宋" w:eastAsia="仿宋"/>
              </w:rPr>
              <w:t>1662</w:t>
            </w:r>
          </w:p>
        </w:tc>
        <w:tc>
          <w:tcPr>
            <w:tcW w:w="0" w:type="auto"/>
            <w:shd w:val="clear" w:color="auto" w:fill="auto"/>
            <w:vAlign w:val="center"/>
          </w:tcPr>
          <w:p>
            <w:pPr>
              <w:jc w:val="center"/>
              <w:rPr>
                <w:rFonts w:ascii="仿宋" w:hAnsi="仿宋" w:eastAsia="仿宋"/>
              </w:rPr>
            </w:pPr>
            <w:r>
              <w:rPr>
                <w:rFonts w:ascii="仿宋" w:hAnsi="仿宋" w:eastAsia="仿宋"/>
              </w:rPr>
              <w:t>1823</w:t>
            </w:r>
          </w:p>
        </w:tc>
        <w:tc>
          <w:tcPr>
            <w:tcW w:w="0" w:type="auto"/>
            <w:shd w:val="clear" w:color="auto" w:fill="auto"/>
            <w:vAlign w:val="center"/>
          </w:tcPr>
          <w:p>
            <w:pPr>
              <w:jc w:val="center"/>
              <w:rPr>
                <w:rFonts w:ascii="仿宋" w:hAnsi="仿宋" w:eastAsia="仿宋"/>
              </w:rPr>
            </w:pPr>
            <w:r>
              <w:rPr>
                <w:rFonts w:ascii="仿宋" w:hAnsi="仿宋" w:eastAsia="仿宋"/>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0" w:type="auto"/>
            <w:shd w:val="clear" w:color="auto" w:fill="auto"/>
            <w:vAlign w:val="center"/>
          </w:tcPr>
          <w:p>
            <w:pPr>
              <w:jc w:val="center"/>
              <w:rPr>
                <w:rFonts w:ascii="仿宋" w:hAnsi="仿宋" w:eastAsia="仿宋"/>
              </w:rPr>
            </w:pPr>
            <w:r>
              <w:rPr>
                <w:rFonts w:ascii="仿宋" w:hAnsi="仿宋" w:eastAsia="仿宋"/>
              </w:rPr>
              <w:t>74%</w:t>
            </w:r>
          </w:p>
        </w:tc>
        <w:tc>
          <w:tcPr>
            <w:tcW w:w="0" w:type="auto"/>
            <w:shd w:val="clear" w:color="auto" w:fill="auto"/>
            <w:vAlign w:val="center"/>
          </w:tcPr>
          <w:p>
            <w:pPr>
              <w:jc w:val="center"/>
              <w:rPr>
                <w:rFonts w:ascii="仿宋" w:hAnsi="仿宋" w:eastAsia="仿宋"/>
              </w:rPr>
            </w:pPr>
            <w:r>
              <w:rPr>
                <w:rFonts w:ascii="仿宋" w:hAnsi="仿宋" w:eastAsia="仿宋"/>
              </w:rPr>
              <w:t>75%</w:t>
            </w:r>
          </w:p>
        </w:tc>
        <w:tc>
          <w:tcPr>
            <w:tcW w:w="0" w:type="auto"/>
            <w:shd w:val="clear" w:color="auto" w:fill="auto"/>
            <w:vAlign w:val="center"/>
          </w:tcPr>
          <w:p>
            <w:pPr>
              <w:jc w:val="center"/>
              <w:rPr>
                <w:rFonts w:ascii="仿宋" w:hAnsi="仿宋" w:eastAsia="仿宋"/>
              </w:rPr>
            </w:pPr>
            <w:r>
              <w:rPr>
                <w:rFonts w:ascii="仿宋" w:hAnsi="仿宋" w:eastAsia="仿宋"/>
              </w:rPr>
              <w:t>76%</w:t>
            </w:r>
          </w:p>
        </w:tc>
        <w:tc>
          <w:tcPr>
            <w:tcW w:w="0" w:type="auto"/>
            <w:shd w:val="clear" w:color="auto" w:fill="auto"/>
            <w:vAlign w:val="center"/>
          </w:tcPr>
          <w:p>
            <w:pPr>
              <w:jc w:val="center"/>
              <w:rPr>
                <w:rFonts w:ascii="仿宋" w:hAnsi="仿宋" w:eastAsia="仿宋"/>
              </w:rPr>
            </w:pPr>
            <w:r>
              <w:rPr>
                <w:rFonts w:ascii="仿宋" w:hAnsi="仿宋" w:eastAsia="仿宋"/>
              </w:rPr>
              <w:t>79%</w:t>
            </w:r>
          </w:p>
        </w:tc>
        <w:tc>
          <w:tcPr>
            <w:tcW w:w="0" w:type="auto"/>
            <w:shd w:val="clear" w:color="auto" w:fill="auto"/>
            <w:vAlign w:val="center"/>
          </w:tcPr>
          <w:p>
            <w:pPr>
              <w:jc w:val="center"/>
              <w:rPr>
                <w:rFonts w:ascii="仿宋" w:hAnsi="仿宋" w:eastAsia="仿宋"/>
              </w:rPr>
            </w:pPr>
            <w:r>
              <w:rPr>
                <w:rFonts w:ascii="仿宋" w:hAnsi="仿宋" w:eastAsia="仿宋"/>
              </w:rPr>
              <w:t>79%</w:t>
            </w:r>
          </w:p>
        </w:tc>
      </w:tr>
    </w:tbl>
    <w:p>
      <w:pPr>
        <w:keepNext/>
        <w:keepLines/>
        <w:spacing w:line="360" w:lineRule="auto"/>
        <w:ind w:firstLine="561"/>
        <w:rPr>
          <w:rFonts w:ascii="仿宋" w:hAnsi="仿宋" w:eastAsia="仿宋"/>
          <w:bCs/>
          <w:sz w:val="28"/>
          <w:szCs w:val="28"/>
        </w:rPr>
      </w:pPr>
      <w:r>
        <w:rPr>
          <w:rFonts w:ascii="仿宋" w:hAnsi="仿宋" w:eastAsia="仿宋"/>
          <w:bCs/>
          <w:sz w:val="28"/>
          <w:szCs w:val="28"/>
        </w:rPr>
        <w:t>（4）电动渣土车（环卫车）保有量预测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根据2018年11月城乡建设部发布修订后的《城市环境卫生实施规划标准》（GB/T 50337-2018）标准，城市环境卫生车辆需达2.5辆/万人-5辆/万人的标准。2020年岳阳市环卫车为510辆，约每万人1辆。根据以上约束性条件结合实际情况，规划“十四五”末达到1.5辆/万人的指标，2025-2035年按照1.5-2.5辆/万人的指标进行预测较为合理。预计至2025年，岳阳市渣土车、环卫车总保有量为758辆。</w:t>
      </w:r>
    </w:p>
    <w:p>
      <w:pPr>
        <w:spacing w:line="360" w:lineRule="auto"/>
        <w:ind w:firstLine="560" w:firstLineChars="200"/>
        <w:rPr>
          <w:rFonts w:ascii="仿宋" w:hAnsi="仿宋" w:eastAsia="仿宋"/>
          <w:sz w:val="28"/>
          <w:szCs w:val="28"/>
        </w:rPr>
      </w:pPr>
      <w:r>
        <w:rPr>
          <w:rFonts w:ascii="仿宋" w:hAnsi="仿宋" w:eastAsia="仿宋"/>
          <w:sz w:val="28"/>
          <w:szCs w:val="28"/>
        </w:rPr>
        <w:t>2020年11月国务院发布的《新能源汽车产业发展规划（2021-2035 年）》中，要求2035年公共领域全面电动化，结合岳阳市发展现状及发展条件，鼓励新增渣土车、环卫车采用新能源车辆，规划至2025年，电动环卫车占比不低于30%。经测算，至2025年全市电动环卫车数量将达到227辆，占比为30%。</w:t>
      </w:r>
    </w:p>
    <w:p>
      <w:pPr>
        <w:pStyle w:val="8"/>
        <w:spacing w:after="0" w:afterLines="0" w:line="240" w:lineRule="auto"/>
        <w:rPr>
          <w:rFonts w:ascii="仿宋" w:hAnsi="仿宋" w:eastAsia="仿宋"/>
          <w:b w:val="0"/>
        </w:rPr>
      </w:pPr>
      <w:r>
        <w:rPr>
          <w:rFonts w:ascii="仿宋" w:hAnsi="仿宋" w:eastAsia="仿宋"/>
          <w:b w:val="0"/>
        </w:rPr>
        <w:t>表 4-7  “十四五”期间渣土车、环卫车保有量预测</w:t>
      </w:r>
    </w:p>
    <w:tbl>
      <w:tblPr>
        <w:tblStyle w:val="2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916"/>
        <w:gridCol w:w="916"/>
        <w:gridCol w:w="916"/>
        <w:gridCol w:w="916"/>
        <w:gridCol w:w="916"/>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24" w:type="dxa"/>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916" w:type="dxa"/>
            <w:vAlign w:val="center"/>
          </w:tcPr>
          <w:p>
            <w:pPr>
              <w:pStyle w:val="37"/>
              <w:rPr>
                <w:rFonts w:ascii="仿宋" w:hAnsi="仿宋" w:eastAsia="仿宋" w:cs="Times New Roman"/>
              </w:rPr>
            </w:pPr>
            <w:r>
              <w:rPr>
                <w:rFonts w:ascii="仿宋" w:hAnsi="仿宋" w:eastAsia="仿宋" w:cs="Times New Roman"/>
              </w:rPr>
              <w:t>2020</w:t>
            </w:r>
            <w:r>
              <w:rPr>
                <w:rFonts w:hint="eastAsia" w:ascii="仿宋" w:hAnsi="仿宋" w:eastAsia="仿宋" w:cs="Times New Roman"/>
              </w:rPr>
              <w:t>年</w:t>
            </w:r>
          </w:p>
        </w:tc>
        <w:tc>
          <w:tcPr>
            <w:tcW w:w="916" w:type="dxa"/>
            <w:shd w:val="clear" w:color="auto" w:fill="auto"/>
            <w:vAlign w:val="center"/>
          </w:tcPr>
          <w:p>
            <w:pPr>
              <w:pStyle w:val="37"/>
              <w:rPr>
                <w:rFonts w:ascii="仿宋" w:hAnsi="仿宋" w:eastAsia="仿宋" w:cs="Times New Roman"/>
              </w:rPr>
            </w:pPr>
            <w:r>
              <w:rPr>
                <w:rFonts w:ascii="仿宋" w:hAnsi="仿宋" w:eastAsia="仿宋" w:cs="Times New Roman"/>
              </w:rPr>
              <w:t>2021</w:t>
            </w:r>
            <w:r>
              <w:rPr>
                <w:rFonts w:hint="eastAsia" w:ascii="仿宋" w:hAnsi="仿宋" w:eastAsia="仿宋" w:cs="Times New Roman"/>
              </w:rPr>
              <w:t>年</w:t>
            </w:r>
          </w:p>
        </w:tc>
        <w:tc>
          <w:tcPr>
            <w:tcW w:w="916" w:type="dxa"/>
            <w:shd w:val="clear" w:color="auto" w:fill="auto"/>
            <w:vAlign w:val="center"/>
          </w:tcPr>
          <w:p>
            <w:pPr>
              <w:pStyle w:val="37"/>
              <w:rPr>
                <w:rFonts w:ascii="仿宋" w:hAnsi="仿宋" w:eastAsia="仿宋" w:cs="Times New Roman"/>
              </w:rPr>
            </w:pPr>
            <w:r>
              <w:rPr>
                <w:rFonts w:ascii="仿宋" w:hAnsi="仿宋" w:eastAsia="仿宋" w:cs="Times New Roman"/>
              </w:rPr>
              <w:t>2022</w:t>
            </w:r>
            <w:r>
              <w:rPr>
                <w:rFonts w:hint="eastAsia" w:ascii="仿宋" w:hAnsi="仿宋" w:eastAsia="仿宋" w:cs="Times New Roman"/>
              </w:rPr>
              <w:t>年</w:t>
            </w:r>
          </w:p>
        </w:tc>
        <w:tc>
          <w:tcPr>
            <w:tcW w:w="916" w:type="dxa"/>
            <w:shd w:val="clear" w:color="auto" w:fill="auto"/>
            <w:vAlign w:val="center"/>
          </w:tcPr>
          <w:p>
            <w:pPr>
              <w:pStyle w:val="37"/>
              <w:rPr>
                <w:rFonts w:ascii="仿宋" w:hAnsi="仿宋" w:eastAsia="仿宋" w:cs="Times New Roman"/>
              </w:rPr>
            </w:pPr>
            <w:r>
              <w:rPr>
                <w:rFonts w:ascii="仿宋" w:hAnsi="仿宋" w:eastAsia="仿宋" w:cs="Times New Roman"/>
              </w:rPr>
              <w:t>2023</w:t>
            </w:r>
            <w:r>
              <w:rPr>
                <w:rFonts w:hint="eastAsia" w:ascii="仿宋" w:hAnsi="仿宋" w:eastAsia="仿宋" w:cs="Times New Roman"/>
              </w:rPr>
              <w:t>年</w:t>
            </w:r>
          </w:p>
        </w:tc>
        <w:tc>
          <w:tcPr>
            <w:tcW w:w="916" w:type="dxa"/>
            <w:shd w:val="clear" w:color="auto" w:fill="auto"/>
            <w:vAlign w:val="center"/>
          </w:tcPr>
          <w:p>
            <w:pPr>
              <w:pStyle w:val="37"/>
              <w:rPr>
                <w:rFonts w:ascii="仿宋" w:hAnsi="仿宋" w:eastAsia="仿宋" w:cs="Times New Roman"/>
              </w:rPr>
            </w:pPr>
            <w:r>
              <w:rPr>
                <w:rFonts w:ascii="仿宋" w:hAnsi="仿宋" w:eastAsia="仿宋" w:cs="Times New Roman"/>
              </w:rPr>
              <w:t>2024</w:t>
            </w:r>
            <w:r>
              <w:rPr>
                <w:rFonts w:hint="eastAsia" w:ascii="仿宋" w:hAnsi="仿宋" w:eastAsia="仿宋" w:cs="Times New Roman"/>
              </w:rPr>
              <w:t>年</w:t>
            </w:r>
          </w:p>
        </w:tc>
        <w:tc>
          <w:tcPr>
            <w:tcW w:w="1092" w:type="dxa"/>
            <w:shd w:val="clear" w:color="auto" w:fill="auto"/>
            <w:vAlign w:val="center"/>
          </w:tcPr>
          <w:p>
            <w:pPr>
              <w:pStyle w:val="37"/>
              <w:rPr>
                <w:rFonts w:ascii="仿宋" w:hAnsi="仿宋" w:eastAsia="仿宋" w:cs="Times New Roman"/>
              </w:rPr>
            </w:pPr>
            <w:r>
              <w:rPr>
                <w:rFonts w:ascii="仿宋" w:hAnsi="仿宋" w:eastAsia="仿宋" w:cs="Times New Roman"/>
              </w:rPr>
              <w:t>2025</w:t>
            </w:r>
            <w:r>
              <w:rPr>
                <w:rFonts w:hint="eastAsia" w:ascii="仿宋" w:hAnsi="仿宋" w:eastAsia="仿宋" w:cs="Times New Roma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24"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环卫车总保有量（辆）</w:t>
            </w:r>
          </w:p>
        </w:tc>
        <w:tc>
          <w:tcPr>
            <w:tcW w:w="916" w:type="dxa"/>
            <w:vAlign w:val="center"/>
          </w:tcPr>
          <w:p>
            <w:pPr>
              <w:pStyle w:val="37"/>
              <w:rPr>
                <w:rFonts w:ascii="仿宋" w:hAnsi="仿宋" w:eastAsia="仿宋" w:cs="Times New Roman"/>
                <w:bCs w:val="0"/>
              </w:rPr>
            </w:pPr>
            <w:r>
              <w:rPr>
                <w:rFonts w:ascii="仿宋" w:hAnsi="仿宋" w:eastAsia="仿宋" w:cs="Times New Roman"/>
                <w:bCs w:val="0"/>
              </w:rPr>
              <w:t>510</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551</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595</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643</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694</w:t>
            </w:r>
          </w:p>
        </w:tc>
        <w:tc>
          <w:tcPr>
            <w:tcW w:w="109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24"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电动环卫车保有量（辆）</w:t>
            </w:r>
          </w:p>
        </w:tc>
        <w:tc>
          <w:tcPr>
            <w:tcW w:w="916" w:type="dxa"/>
            <w:vAlign w:val="center"/>
          </w:tcPr>
          <w:p>
            <w:pPr>
              <w:pStyle w:val="37"/>
              <w:rPr>
                <w:rFonts w:ascii="仿宋" w:hAnsi="仿宋" w:eastAsia="仿宋" w:cs="Times New Roman"/>
                <w:bCs w:val="0"/>
              </w:rPr>
            </w:pPr>
            <w:r>
              <w:rPr>
                <w:rFonts w:ascii="仿宋" w:hAnsi="仿宋" w:eastAsia="仿宋" w:cs="Times New Roman"/>
                <w:bCs w:val="0"/>
              </w:rPr>
              <w:t>7</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9</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60</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96</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174</w:t>
            </w:r>
          </w:p>
        </w:tc>
        <w:tc>
          <w:tcPr>
            <w:tcW w:w="109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24"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916" w:type="dxa"/>
            <w:vAlign w:val="center"/>
          </w:tcPr>
          <w:p>
            <w:pPr>
              <w:pStyle w:val="37"/>
              <w:rPr>
                <w:rFonts w:ascii="仿宋" w:hAnsi="仿宋" w:eastAsia="仿宋" w:cs="Times New Roman"/>
                <w:bCs w:val="0"/>
              </w:rPr>
            </w:pPr>
            <w:r>
              <w:rPr>
                <w:rFonts w:ascii="仿宋" w:hAnsi="仿宋" w:eastAsia="仿宋" w:cs="Times New Roman"/>
                <w:bCs w:val="0"/>
              </w:rPr>
              <w:t>1%</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15%</w:t>
            </w:r>
          </w:p>
        </w:tc>
        <w:tc>
          <w:tcPr>
            <w:tcW w:w="91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25%</w:t>
            </w:r>
          </w:p>
        </w:tc>
        <w:tc>
          <w:tcPr>
            <w:tcW w:w="109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30%</w:t>
            </w:r>
          </w:p>
        </w:tc>
      </w:tr>
    </w:tbl>
    <w:p>
      <w:pPr>
        <w:keepNext/>
        <w:keepLines/>
        <w:spacing w:line="360" w:lineRule="auto"/>
        <w:ind w:firstLine="561"/>
        <w:rPr>
          <w:rFonts w:ascii="仿宋" w:hAnsi="仿宋" w:eastAsia="仿宋"/>
          <w:bCs/>
          <w:sz w:val="28"/>
          <w:szCs w:val="28"/>
        </w:rPr>
      </w:pPr>
      <w:r>
        <w:rPr>
          <w:rFonts w:ascii="仿宋" w:hAnsi="仿宋" w:eastAsia="仿宋"/>
          <w:bCs/>
          <w:sz w:val="28"/>
          <w:szCs w:val="28"/>
        </w:rPr>
        <w:t>（5）电动公务车保有量预测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根据《湖南省人民政府办公厅关于进一步加快电动汽车充（换）电基础设施建设的实施意见》（湘政办发〔2021〕4号）的文件要求及岳阳市发展实际情况制定各年度电动城/乡际班线车占比，规划除特殊用途，新增、替换的公务车辆100%采用新能源汽车，至2025年，公务车辆逐渐清洁化，电动汽车比例达到30%，力争2035年前后，除特殊用途、特殊报废周期外，公务车辆实现全面清洁能源化，电动汽车比例达到100%。</w:t>
      </w:r>
    </w:p>
    <w:p>
      <w:pPr>
        <w:spacing w:line="360" w:lineRule="auto"/>
        <w:ind w:firstLine="560" w:firstLineChars="200"/>
        <w:rPr>
          <w:rFonts w:ascii="仿宋" w:hAnsi="仿宋" w:eastAsia="仿宋"/>
          <w:sz w:val="28"/>
          <w:szCs w:val="28"/>
        </w:rPr>
      </w:pPr>
      <w:r>
        <w:rPr>
          <w:rFonts w:ascii="仿宋" w:hAnsi="仿宋" w:eastAsia="仿宋"/>
          <w:sz w:val="28"/>
          <w:szCs w:val="28"/>
        </w:rPr>
        <w:t>根据岳阳市历史年公务车数量变化趋势，预测至2025年公务车保有量仍保持一定增长幅度，经预测，至2025年，全市电动公务车保有量达到4199辆，电动公务车占比达到30%。</w:t>
      </w:r>
    </w:p>
    <w:p>
      <w:pPr>
        <w:pStyle w:val="8"/>
        <w:spacing w:after="0" w:afterLines="0" w:line="240" w:lineRule="auto"/>
        <w:rPr>
          <w:rFonts w:ascii="仿宋" w:hAnsi="仿宋" w:eastAsia="仿宋"/>
          <w:b w:val="0"/>
        </w:rPr>
      </w:pPr>
      <w:r>
        <w:rPr>
          <w:rFonts w:ascii="仿宋" w:hAnsi="仿宋" w:eastAsia="仿宋"/>
          <w:b w:val="0"/>
        </w:rPr>
        <w:t>表 4-8  “十四五”期间公务车保有量预测</w:t>
      </w:r>
    </w:p>
    <w:tbl>
      <w:tblPr>
        <w:tblStyle w:val="25"/>
        <w:tblW w:w="7786" w:type="dxa"/>
        <w:jc w:val="center"/>
        <w:tblLayout w:type="fixed"/>
        <w:tblCellMar>
          <w:top w:w="0" w:type="dxa"/>
          <w:left w:w="108" w:type="dxa"/>
          <w:bottom w:w="0" w:type="dxa"/>
          <w:right w:w="108" w:type="dxa"/>
        </w:tblCellMar>
      </w:tblPr>
      <w:tblGrid>
        <w:gridCol w:w="2962"/>
        <w:gridCol w:w="929"/>
        <w:gridCol w:w="929"/>
        <w:gridCol w:w="929"/>
        <w:gridCol w:w="929"/>
        <w:gridCol w:w="1108"/>
      </w:tblGrid>
      <w:tr>
        <w:tblPrEx>
          <w:tblCellMar>
            <w:top w:w="0" w:type="dxa"/>
            <w:left w:w="108" w:type="dxa"/>
            <w:bottom w:w="0" w:type="dxa"/>
            <w:right w:w="108" w:type="dxa"/>
          </w:tblCellMar>
        </w:tblPrEx>
        <w:trPr>
          <w:trHeight w:val="284" w:hRule="atLeast"/>
          <w:jc w:val="center"/>
        </w:trPr>
        <w:tc>
          <w:tcPr>
            <w:tcW w:w="29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2021</w:t>
            </w:r>
            <w:r>
              <w:rPr>
                <w:rFonts w:hint="eastAsia" w:ascii="仿宋" w:hAnsi="仿宋" w:eastAsia="仿宋" w:cs="Times New Roman"/>
              </w:rPr>
              <w:t>年</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2022</w:t>
            </w:r>
            <w:r>
              <w:rPr>
                <w:rFonts w:hint="eastAsia" w:ascii="仿宋" w:hAnsi="仿宋" w:eastAsia="仿宋" w:cs="Times New Roman"/>
              </w:rPr>
              <w:t>年</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2023</w:t>
            </w:r>
            <w:r>
              <w:rPr>
                <w:rFonts w:hint="eastAsia" w:ascii="仿宋" w:hAnsi="仿宋" w:eastAsia="仿宋" w:cs="Times New Roman"/>
              </w:rPr>
              <w:t>年</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2024</w:t>
            </w:r>
            <w:r>
              <w:rPr>
                <w:rFonts w:hint="eastAsia" w:ascii="仿宋" w:hAnsi="仿宋" w:eastAsia="仿宋" w:cs="Times New Roman"/>
              </w:rPr>
              <w:t>年</w:t>
            </w:r>
          </w:p>
        </w:tc>
        <w:tc>
          <w:tcPr>
            <w:tcW w:w="110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2025</w:t>
            </w:r>
            <w:r>
              <w:rPr>
                <w:rFonts w:hint="eastAsia" w:ascii="仿宋" w:hAnsi="仿宋" w:eastAsia="仿宋" w:cs="Times New Roman"/>
              </w:rPr>
              <w:t>年</w:t>
            </w:r>
          </w:p>
        </w:tc>
      </w:tr>
      <w:tr>
        <w:tblPrEx>
          <w:tblCellMar>
            <w:top w:w="0" w:type="dxa"/>
            <w:left w:w="108" w:type="dxa"/>
            <w:bottom w:w="0" w:type="dxa"/>
            <w:right w:w="108" w:type="dxa"/>
          </w:tblCellMar>
        </w:tblPrEx>
        <w:trPr>
          <w:trHeight w:val="284" w:hRule="atLeast"/>
          <w:jc w:val="center"/>
        </w:trPr>
        <w:tc>
          <w:tcPr>
            <w:tcW w:w="2962"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公务车总保有量预计（辆）</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12930</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13189 </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13452 </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13721 </w:t>
            </w:r>
          </w:p>
        </w:tc>
        <w:tc>
          <w:tcPr>
            <w:tcW w:w="110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13996 </w:t>
            </w:r>
          </w:p>
        </w:tc>
      </w:tr>
      <w:tr>
        <w:tblPrEx>
          <w:tblCellMar>
            <w:top w:w="0" w:type="dxa"/>
            <w:left w:w="108" w:type="dxa"/>
            <w:bottom w:w="0" w:type="dxa"/>
            <w:right w:w="108" w:type="dxa"/>
          </w:tblCellMar>
        </w:tblPrEx>
        <w:trPr>
          <w:trHeight w:val="77" w:hRule="atLeast"/>
          <w:jc w:val="center"/>
        </w:trPr>
        <w:tc>
          <w:tcPr>
            <w:tcW w:w="2962"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电动公务车保有量（辆）</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804</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1319 </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2018 </w:t>
            </w:r>
          </w:p>
        </w:tc>
        <w:tc>
          <w:tcPr>
            <w:tcW w:w="929"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2744 </w:t>
            </w:r>
          </w:p>
        </w:tc>
        <w:tc>
          <w:tcPr>
            <w:tcW w:w="110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4199 </w:t>
            </w:r>
          </w:p>
        </w:tc>
      </w:tr>
      <w:tr>
        <w:tblPrEx>
          <w:tblCellMar>
            <w:top w:w="0" w:type="dxa"/>
            <w:left w:w="108" w:type="dxa"/>
            <w:bottom w:w="0" w:type="dxa"/>
            <w:right w:w="108" w:type="dxa"/>
          </w:tblCellMar>
        </w:tblPrEx>
        <w:trPr>
          <w:trHeight w:val="284" w:hRule="atLeast"/>
          <w:jc w:val="center"/>
        </w:trPr>
        <w:tc>
          <w:tcPr>
            <w:tcW w:w="29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6%</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10%</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15%</w:t>
            </w:r>
          </w:p>
        </w:tc>
        <w:tc>
          <w:tcPr>
            <w:tcW w:w="929"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20%</w:t>
            </w:r>
          </w:p>
        </w:tc>
        <w:tc>
          <w:tcPr>
            <w:tcW w:w="110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30%</w:t>
            </w:r>
          </w:p>
        </w:tc>
      </w:tr>
    </w:tbl>
    <w:p>
      <w:pPr>
        <w:keepNext/>
        <w:keepLines/>
        <w:spacing w:line="360" w:lineRule="auto"/>
        <w:ind w:firstLine="561"/>
        <w:rPr>
          <w:rFonts w:ascii="仿宋" w:hAnsi="仿宋" w:eastAsia="仿宋"/>
          <w:bCs/>
          <w:sz w:val="28"/>
          <w:szCs w:val="28"/>
        </w:rPr>
      </w:pPr>
      <w:r>
        <w:rPr>
          <w:rFonts w:ascii="仿宋" w:hAnsi="仿宋" w:eastAsia="仿宋"/>
          <w:bCs/>
          <w:sz w:val="28"/>
          <w:szCs w:val="28"/>
        </w:rPr>
        <w:t>（6）旅游、通勤、公路客运保有量预测</w:t>
      </w:r>
    </w:p>
    <w:p>
      <w:pPr>
        <w:spacing w:line="360" w:lineRule="auto"/>
        <w:ind w:firstLine="560" w:firstLineChars="200"/>
        <w:rPr>
          <w:rFonts w:ascii="仿宋" w:hAnsi="仿宋" w:eastAsia="仿宋"/>
          <w:sz w:val="28"/>
          <w:szCs w:val="28"/>
        </w:rPr>
      </w:pPr>
      <w:r>
        <w:rPr>
          <w:rFonts w:ascii="仿宋" w:hAnsi="仿宋" w:eastAsia="仿宋"/>
          <w:sz w:val="28"/>
          <w:szCs w:val="28"/>
        </w:rPr>
        <w:t>客运车包括中短途客运与旅游客运车，按照5-6标台/万人的指标预测2021-2025年的客车的数量。根据《湖南省人民政府办公厅关于进一步加快电动汽车充（换）电基础设施建设的实施意见》（湘政办发〔2021〕4号）的文件要求及岳阳市发展实际情况制定各年度电动城/乡际班线车占比，规划至2025年不低于50%，2035年实现100%。预计至2025年，全市电动客车保有量达到1490辆，电动客车占比达到50%。</w:t>
      </w:r>
    </w:p>
    <w:p>
      <w:pPr>
        <w:pStyle w:val="8"/>
        <w:spacing w:after="0" w:afterLines="0" w:line="240" w:lineRule="auto"/>
        <w:rPr>
          <w:rFonts w:ascii="仿宋" w:hAnsi="仿宋" w:eastAsia="仿宋"/>
          <w:b w:val="0"/>
        </w:rPr>
      </w:pPr>
      <w:r>
        <w:rPr>
          <w:rFonts w:ascii="仿宋" w:hAnsi="仿宋" w:eastAsia="仿宋"/>
          <w:b w:val="0"/>
        </w:rPr>
        <w:t>表 4-9  “十四五”期间客车保有量预测</w:t>
      </w:r>
    </w:p>
    <w:tbl>
      <w:tblPr>
        <w:tblStyle w:val="25"/>
        <w:tblW w:w="7556" w:type="dxa"/>
        <w:jc w:val="center"/>
        <w:tblLayout w:type="fixed"/>
        <w:tblCellMar>
          <w:top w:w="0" w:type="dxa"/>
          <w:left w:w="108" w:type="dxa"/>
          <w:bottom w:w="0" w:type="dxa"/>
          <w:right w:w="108" w:type="dxa"/>
        </w:tblCellMar>
      </w:tblPr>
      <w:tblGrid>
        <w:gridCol w:w="2686"/>
        <w:gridCol w:w="938"/>
        <w:gridCol w:w="938"/>
        <w:gridCol w:w="938"/>
        <w:gridCol w:w="938"/>
        <w:gridCol w:w="1118"/>
      </w:tblGrid>
      <w:tr>
        <w:tblPrEx>
          <w:tblCellMar>
            <w:top w:w="0" w:type="dxa"/>
            <w:left w:w="108" w:type="dxa"/>
            <w:bottom w:w="0" w:type="dxa"/>
            <w:right w:w="108" w:type="dxa"/>
          </w:tblCellMar>
        </w:tblPrEx>
        <w:trPr>
          <w:trHeight w:val="297" w:hRule="atLeast"/>
          <w:jc w:val="center"/>
        </w:trPr>
        <w:tc>
          <w:tcPr>
            <w:tcW w:w="26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93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2021</w:t>
            </w:r>
            <w:r>
              <w:rPr>
                <w:rFonts w:hint="eastAsia" w:ascii="仿宋" w:hAnsi="仿宋" w:eastAsia="仿宋" w:cs="Times New Roman"/>
              </w:rPr>
              <w:t>年</w:t>
            </w:r>
          </w:p>
        </w:tc>
        <w:tc>
          <w:tcPr>
            <w:tcW w:w="93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2022</w:t>
            </w:r>
            <w:r>
              <w:rPr>
                <w:rFonts w:hint="eastAsia" w:ascii="仿宋" w:hAnsi="仿宋" w:eastAsia="仿宋" w:cs="Times New Roman"/>
              </w:rPr>
              <w:t>年</w:t>
            </w:r>
          </w:p>
        </w:tc>
        <w:tc>
          <w:tcPr>
            <w:tcW w:w="93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2023</w:t>
            </w:r>
            <w:r>
              <w:rPr>
                <w:rFonts w:hint="eastAsia" w:ascii="仿宋" w:hAnsi="仿宋" w:eastAsia="仿宋" w:cs="Times New Roman"/>
              </w:rPr>
              <w:t>年</w:t>
            </w:r>
          </w:p>
        </w:tc>
        <w:tc>
          <w:tcPr>
            <w:tcW w:w="93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2024</w:t>
            </w:r>
            <w:r>
              <w:rPr>
                <w:rFonts w:hint="eastAsia" w:ascii="仿宋" w:hAnsi="仿宋" w:eastAsia="仿宋" w:cs="Times New Roman"/>
              </w:rPr>
              <w:t>年</w:t>
            </w:r>
          </w:p>
        </w:tc>
        <w:tc>
          <w:tcPr>
            <w:tcW w:w="111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2025</w:t>
            </w:r>
            <w:r>
              <w:rPr>
                <w:rFonts w:hint="eastAsia" w:ascii="仿宋" w:hAnsi="仿宋" w:eastAsia="仿宋" w:cs="Times New Roman"/>
              </w:rPr>
              <w:t>年</w:t>
            </w:r>
          </w:p>
        </w:tc>
      </w:tr>
      <w:tr>
        <w:tblPrEx>
          <w:tblCellMar>
            <w:top w:w="0" w:type="dxa"/>
            <w:left w:w="108" w:type="dxa"/>
            <w:bottom w:w="0" w:type="dxa"/>
            <w:right w:w="108" w:type="dxa"/>
          </w:tblCellMar>
        </w:tblPrEx>
        <w:trPr>
          <w:trHeight w:val="297" w:hRule="atLeast"/>
          <w:jc w:val="center"/>
        </w:trPr>
        <w:tc>
          <w:tcPr>
            <w:tcW w:w="2686"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客车总保有量预计（辆）</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2780</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2828</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2879</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2929</w:t>
            </w:r>
          </w:p>
        </w:tc>
        <w:tc>
          <w:tcPr>
            <w:tcW w:w="111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2980</w:t>
            </w:r>
          </w:p>
        </w:tc>
      </w:tr>
      <w:tr>
        <w:tblPrEx>
          <w:tblCellMar>
            <w:top w:w="0" w:type="dxa"/>
            <w:left w:w="108" w:type="dxa"/>
            <w:bottom w:w="0" w:type="dxa"/>
            <w:right w:w="108" w:type="dxa"/>
          </w:tblCellMar>
        </w:tblPrEx>
        <w:trPr>
          <w:trHeight w:val="297" w:hRule="atLeast"/>
          <w:jc w:val="center"/>
        </w:trPr>
        <w:tc>
          <w:tcPr>
            <w:tcW w:w="2686"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电动客车车保有量（辆）</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329</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792 </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1007 </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1172 </w:t>
            </w:r>
          </w:p>
        </w:tc>
        <w:tc>
          <w:tcPr>
            <w:tcW w:w="111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 xml:space="preserve">1490 </w:t>
            </w:r>
          </w:p>
        </w:tc>
      </w:tr>
      <w:tr>
        <w:tblPrEx>
          <w:tblCellMar>
            <w:top w:w="0" w:type="dxa"/>
            <w:left w:w="108" w:type="dxa"/>
            <w:bottom w:w="0" w:type="dxa"/>
            <w:right w:w="108" w:type="dxa"/>
          </w:tblCellMar>
        </w:tblPrEx>
        <w:trPr>
          <w:trHeight w:val="297" w:hRule="atLeast"/>
          <w:jc w:val="center"/>
        </w:trPr>
        <w:tc>
          <w:tcPr>
            <w:tcW w:w="2686"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12%</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28%</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35%</w:t>
            </w:r>
          </w:p>
        </w:tc>
        <w:tc>
          <w:tcPr>
            <w:tcW w:w="93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40%</w:t>
            </w:r>
          </w:p>
        </w:tc>
        <w:tc>
          <w:tcPr>
            <w:tcW w:w="111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50%</w:t>
            </w:r>
          </w:p>
        </w:tc>
      </w:tr>
    </w:tbl>
    <w:p>
      <w:pPr>
        <w:keepNext/>
        <w:keepLines/>
        <w:tabs>
          <w:tab w:val="left" w:pos="5760"/>
        </w:tabs>
        <w:spacing w:line="360" w:lineRule="auto"/>
        <w:ind w:firstLine="561"/>
        <w:rPr>
          <w:rFonts w:ascii="仿宋" w:hAnsi="仿宋" w:eastAsia="仿宋"/>
        </w:rPr>
      </w:pPr>
      <w:r>
        <w:rPr>
          <w:rFonts w:ascii="仿宋" w:hAnsi="仿宋" w:eastAsia="仿宋"/>
          <w:bCs/>
          <w:sz w:val="28"/>
          <w:szCs w:val="28"/>
        </w:rPr>
        <w:t>（7）物流车保有量预测</w:t>
      </w:r>
      <w:r>
        <w:rPr>
          <w:rFonts w:ascii="仿宋" w:hAnsi="仿宋" w:eastAsia="仿宋"/>
        </w:rPr>
        <w:tab/>
      </w:r>
    </w:p>
    <w:p>
      <w:pPr>
        <w:spacing w:line="360" w:lineRule="auto"/>
        <w:ind w:firstLine="560" w:firstLineChars="200"/>
        <w:rPr>
          <w:rFonts w:ascii="仿宋" w:hAnsi="仿宋" w:eastAsia="仿宋"/>
          <w:sz w:val="28"/>
          <w:szCs w:val="28"/>
        </w:rPr>
      </w:pPr>
      <w:r>
        <w:rPr>
          <w:rFonts w:ascii="仿宋" w:hAnsi="仿宋" w:eastAsia="仿宋"/>
          <w:sz w:val="28"/>
          <w:szCs w:val="28"/>
        </w:rPr>
        <w:t>物流车分为重型、中型、轻型三类，从目前电池发展趋势及运输特性来看，运输路程长、耗能大的重型、中型货车仍将以燃油车为主，轻型燃油货车将逐步被电动汽车取代。根据历年增长情况，每年约新增轻型物流车辆5000辆，按10%的电动化率考虑，各年电动轻型物流车预测如下表所示。</w:t>
      </w:r>
    </w:p>
    <w:p>
      <w:pPr>
        <w:pStyle w:val="8"/>
        <w:spacing w:after="0" w:afterLines="0" w:line="240" w:lineRule="auto"/>
        <w:rPr>
          <w:rFonts w:ascii="仿宋" w:hAnsi="仿宋" w:eastAsia="仿宋"/>
          <w:b w:val="0"/>
        </w:rPr>
      </w:pPr>
      <w:r>
        <w:rPr>
          <w:rFonts w:ascii="仿宋" w:hAnsi="仿宋" w:eastAsia="仿宋"/>
          <w:b w:val="0"/>
        </w:rPr>
        <w:t>表4-10 “十四五”期间轻型物流车保有量预测</w:t>
      </w:r>
    </w:p>
    <w:tbl>
      <w:tblPr>
        <w:tblStyle w:val="25"/>
        <w:tblW w:w="8149" w:type="dxa"/>
        <w:jc w:val="center"/>
        <w:tblLayout w:type="fixed"/>
        <w:tblCellMar>
          <w:top w:w="0" w:type="dxa"/>
          <w:left w:w="108" w:type="dxa"/>
          <w:bottom w:w="0" w:type="dxa"/>
          <w:right w:w="108" w:type="dxa"/>
        </w:tblCellMar>
      </w:tblPr>
      <w:tblGrid>
        <w:gridCol w:w="3535"/>
        <w:gridCol w:w="922"/>
        <w:gridCol w:w="924"/>
        <w:gridCol w:w="922"/>
        <w:gridCol w:w="924"/>
        <w:gridCol w:w="922"/>
      </w:tblGrid>
      <w:tr>
        <w:tblPrEx>
          <w:tblCellMar>
            <w:top w:w="0" w:type="dxa"/>
            <w:left w:w="108" w:type="dxa"/>
            <w:bottom w:w="0" w:type="dxa"/>
            <w:right w:w="108" w:type="dxa"/>
          </w:tblCellMar>
        </w:tblPrEx>
        <w:trPr>
          <w:trHeight w:val="356" w:hRule="atLeast"/>
          <w:jc w:val="center"/>
        </w:trPr>
        <w:tc>
          <w:tcPr>
            <w:tcW w:w="35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年份</w:t>
            </w:r>
          </w:p>
        </w:tc>
        <w:tc>
          <w:tcPr>
            <w:tcW w:w="922"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2021</w:t>
            </w:r>
            <w:r>
              <w:rPr>
                <w:rFonts w:hint="eastAsia" w:ascii="仿宋" w:hAnsi="仿宋" w:eastAsia="仿宋" w:cs="Times New Roman"/>
              </w:rPr>
              <w:t>年</w:t>
            </w:r>
          </w:p>
        </w:tc>
        <w:tc>
          <w:tcPr>
            <w:tcW w:w="924"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2022</w:t>
            </w:r>
            <w:r>
              <w:rPr>
                <w:rFonts w:hint="eastAsia" w:ascii="仿宋" w:hAnsi="仿宋" w:eastAsia="仿宋" w:cs="Times New Roman"/>
              </w:rPr>
              <w:t>年</w:t>
            </w:r>
          </w:p>
        </w:tc>
        <w:tc>
          <w:tcPr>
            <w:tcW w:w="922"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2023</w:t>
            </w:r>
            <w:r>
              <w:rPr>
                <w:rFonts w:hint="eastAsia" w:ascii="仿宋" w:hAnsi="仿宋" w:eastAsia="仿宋" w:cs="Times New Roman"/>
              </w:rPr>
              <w:t>年</w:t>
            </w:r>
          </w:p>
        </w:tc>
        <w:tc>
          <w:tcPr>
            <w:tcW w:w="924"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2024</w:t>
            </w:r>
            <w:r>
              <w:rPr>
                <w:rFonts w:hint="eastAsia" w:ascii="仿宋" w:hAnsi="仿宋" w:eastAsia="仿宋" w:cs="Times New Roman"/>
              </w:rPr>
              <w:t>年</w:t>
            </w:r>
          </w:p>
        </w:tc>
        <w:tc>
          <w:tcPr>
            <w:tcW w:w="922"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2025</w:t>
            </w:r>
            <w:r>
              <w:rPr>
                <w:rFonts w:hint="eastAsia" w:ascii="仿宋" w:hAnsi="仿宋" w:eastAsia="仿宋" w:cs="Times New Roman"/>
              </w:rPr>
              <w:t>年</w:t>
            </w:r>
          </w:p>
        </w:tc>
      </w:tr>
      <w:tr>
        <w:trPr>
          <w:trHeight w:val="356" w:hRule="atLeast"/>
          <w:jc w:val="center"/>
        </w:trPr>
        <w:tc>
          <w:tcPr>
            <w:tcW w:w="353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轻型物流车总保有量预计（辆）</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53397</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58397</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63397</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68397</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73397</w:t>
            </w:r>
          </w:p>
        </w:tc>
      </w:tr>
      <w:tr>
        <w:tblPrEx>
          <w:tblCellMar>
            <w:top w:w="0" w:type="dxa"/>
            <w:left w:w="108" w:type="dxa"/>
            <w:bottom w:w="0" w:type="dxa"/>
            <w:right w:w="108" w:type="dxa"/>
          </w:tblCellMar>
        </w:tblPrEx>
        <w:trPr>
          <w:trHeight w:val="356" w:hRule="atLeast"/>
          <w:jc w:val="center"/>
        </w:trPr>
        <w:tc>
          <w:tcPr>
            <w:tcW w:w="353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电动轻型物流车保有量（辆）</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0</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500</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1000</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1500</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2000</w:t>
            </w:r>
          </w:p>
        </w:tc>
      </w:tr>
      <w:tr>
        <w:tblPrEx>
          <w:tblCellMar>
            <w:top w:w="0" w:type="dxa"/>
            <w:left w:w="108" w:type="dxa"/>
            <w:bottom w:w="0" w:type="dxa"/>
            <w:right w:w="108" w:type="dxa"/>
          </w:tblCellMar>
        </w:tblPrEx>
        <w:trPr>
          <w:trHeight w:val="356" w:hRule="atLeast"/>
          <w:jc w:val="center"/>
        </w:trPr>
        <w:tc>
          <w:tcPr>
            <w:tcW w:w="353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占比</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0%</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1%</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w:t>
            </w:r>
          </w:p>
        </w:tc>
        <w:tc>
          <w:tcPr>
            <w:tcW w:w="924"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2%</w:t>
            </w:r>
          </w:p>
        </w:tc>
        <w:tc>
          <w:tcPr>
            <w:tcW w:w="922"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3%</w:t>
            </w:r>
          </w:p>
        </w:tc>
      </w:tr>
    </w:tbl>
    <w:p>
      <w:pPr>
        <w:keepNext/>
        <w:keepLines/>
        <w:spacing w:line="360" w:lineRule="auto"/>
        <w:ind w:firstLine="561"/>
        <w:rPr>
          <w:rFonts w:ascii="仿宋" w:hAnsi="仿宋" w:eastAsia="仿宋"/>
          <w:bCs/>
          <w:sz w:val="28"/>
          <w:szCs w:val="28"/>
        </w:rPr>
      </w:pPr>
      <w:r>
        <w:rPr>
          <w:rFonts w:ascii="仿宋" w:hAnsi="仿宋" w:eastAsia="仿宋"/>
          <w:bCs/>
          <w:sz w:val="28"/>
          <w:szCs w:val="28"/>
        </w:rPr>
        <w:t>（8）各类型电动汽车保有量预测结果</w:t>
      </w:r>
    </w:p>
    <w:p>
      <w:pPr>
        <w:spacing w:line="360" w:lineRule="auto"/>
        <w:ind w:firstLine="560" w:firstLineChars="200"/>
        <w:rPr>
          <w:rFonts w:ascii="仿宋" w:hAnsi="仿宋" w:eastAsia="仿宋"/>
          <w:sz w:val="28"/>
          <w:szCs w:val="28"/>
        </w:rPr>
      </w:pPr>
      <w:r>
        <w:rPr>
          <w:rFonts w:ascii="仿宋" w:hAnsi="仿宋" w:eastAsia="仿宋"/>
          <w:sz w:val="28"/>
          <w:szCs w:val="28"/>
        </w:rPr>
        <w:t>2023年岳阳市共有电动汽车32540辆，至2025年数量达到56868辆，岳阳市2020-2035年各类型电动汽车保有量预测结果如下表所示。</w:t>
      </w:r>
    </w:p>
    <w:p>
      <w:pPr>
        <w:pStyle w:val="8"/>
        <w:spacing w:after="0" w:afterLines="0" w:line="240" w:lineRule="auto"/>
        <w:rPr>
          <w:rFonts w:ascii="仿宋" w:hAnsi="仿宋" w:eastAsia="仿宋"/>
          <w:b w:val="0"/>
        </w:rPr>
      </w:pPr>
      <w:r>
        <w:rPr>
          <w:rFonts w:ascii="仿宋" w:hAnsi="仿宋" w:eastAsia="仿宋"/>
          <w:b w:val="0"/>
        </w:rPr>
        <w:t>表 4</w:t>
      </w:r>
      <w:r>
        <w:rPr>
          <w:rFonts w:ascii="仿宋" w:hAnsi="仿宋" w:eastAsia="仿宋"/>
          <w:b w:val="0"/>
        </w:rPr>
        <w:noBreakHyphen/>
      </w:r>
      <w:r>
        <w:rPr>
          <w:rFonts w:ascii="仿宋" w:hAnsi="仿宋" w:eastAsia="仿宋"/>
          <w:b w:val="0"/>
        </w:rPr>
        <w:t>11  岳阳市“十四五”期间各类型电动汽车预测结果</w:t>
      </w:r>
    </w:p>
    <w:p>
      <w:pPr>
        <w:pStyle w:val="8"/>
        <w:spacing w:after="0" w:afterLines="0" w:line="240" w:lineRule="auto"/>
        <w:rPr>
          <w:rFonts w:ascii="仿宋" w:hAnsi="仿宋" w:eastAsia="仿宋"/>
          <w:b w:val="0"/>
        </w:rPr>
      </w:pPr>
      <w:r>
        <w:rPr>
          <w:rFonts w:ascii="仿宋" w:hAnsi="仿宋" w:eastAsia="仿宋"/>
          <w:b w:val="0"/>
        </w:rPr>
        <w:t xml:space="preserve">                                                                  单位：辆</w:t>
      </w:r>
    </w:p>
    <w:tbl>
      <w:tblPr>
        <w:tblStyle w:val="25"/>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343"/>
        <w:gridCol w:w="1261"/>
        <w:gridCol w:w="1261"/>
        <w:gridCol w:w="1261"/>
        <w:gridCol w:w="1119"/>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rPr>
            </w:pPr>
            <w:r>
              <w:rPr>
                <w:rFonts w:ascii="仿宋" w:hAnsi="仿宋" w:eastAsia="仿宋" w:cs="Times New Roman"/>
              </w:rPr>
              <w:t>车辆类型</w:t>
            </w:r>
          </w:p>
        </w:tc>
        <w:tc>
          <w:tcPr>
            <w:tcW w:w="1261" w:type="dxa"/>
            <w:vAlign w:val="center"/>
          </w:tcPr>
          <w:p>
            <w:pPr>
              <w:pStyle w:val="37"/>
              <w:rPr>
                <w:rFonts w:ascii="仿宋" w:hAnsi="仿宋" w:eastAsia="仿宋" w:cs="Times New Roman"/>
              </w:rPr>
            </w:pPr>
            <w:r>
              <w:rPr>
                <w:rFonts w:ascii="仿宋" w:hAnsi="仿宋" w:eastAsia="仿宋" w:cs="Times New Roman"/>
              </w:rPr>
              <w:t>2021年</w:t>
            </w:r>
          </w:p>
        </w:tc>
        <w:tc>
          <w:tcPr>
            <w:tcW w:w="1261" w:type="dxa"/>
            <w:vAlign w:val="center"/>
          </w:tcPr>
          <w:p>
            <w:pPr>
              <w:pStyle w:val="37"/>
              <w:rPr>
                <w:rFonts w:ascii="仿宋" w:hAnsi="仿宋" w:eastAsia="仿宋" w:cs="Times New Roman"/>
              </w:rPr>
            </w:pPr>
            <w:r>
              <w:rPr>
                <w:rFonts w:ascii="仿宋" w:hAnsi="仿宋" w:eastAsia="仿宋" w:cs="Times New Roman"/>
              </w:rPr>
              <w:t>2022年</w:t>
            </w:r>
          </w:p>
        </w:tc>
        <w:tc>
          <w:tcPr>
            <w:tcW w:w="1261" w:type="dxa"/>
            <w:vAlign w:val="center"/>
          </w:tcPr>
          <w:p>
            <w:pPr>
              <w:pStyle w:val="37"/>
              <w:rPr>
                <w:rFonts w:ascii="仿宋" w:hAnsi="仿宋" w:eastAsia="仿宋" w:cs="Times New Roman"/>
              </w:rPr>
            </w:pPr>
            <w:r>
              <w:rPr>
                <w:rFonts w:ascii="仿宋" w:hAnsi="仿宋" w:eastAsia="仿宋" w:cs="Times New Roman"/>
              </w:rPr>
              <w:t>2023年</w:t>
            </w:r>
          </w:p>
        </w:tc>
        <w:tc>
          <w:tcPr>
            <w:tcW w:w="1119" w:type="dxa"/>
            <w:vAlign w:val="center"/>
          </w:tcPr>
          <w:p>
            <w:pPr>
              <w:pStyle w:val="37"/>
              <w:rPr>
                <w:rFonts w:ascii="仿宋" w:hAnsi="仿宋" w:eastAsia="仿宋" w:cs="Times New Roman"/>
              </w:rPr>
            </w:pPr>
            <w:r>
              <w:rPr>
                <w:rFonts w:ascii="仿宋" w:hAnsi="仿宋" w:eastAsia="仿宋" w:cs="Times New Roman"/>
              </w:rPr>
              <w:t>2024年</w:t>
            </w:r>
          </w:p>
        </w:tc>
        <w:tc>
          <w:tcPr>
            <w:tcW w:w="987" w:type="dxa"/>
            <w:vAlign w:val="center"/>
          </w:tcPr>
          <w:p>
            <w:pPr>
              <w:pStyle w:val="37"/>
              <w:rPr>
                <w:rFonts w:ascii="仿宋" w:hAnsi="仿宋" w:eastAsia="仿宋" w:cs="Times New Roman"/>
              </w:rPr>
            </w:pPr>
            <w:r>
              <w:rPr>
                <w:rFonts w:ascii="仿宋" w:hAnsi="仿宋" w:eastAsia="仿宋" w:cs="Times New Roma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私家车</w:t>
            </w:r>
          </w:p>
        </w:tc>
        <w:tc>
          <w:tcPr>
            <w:tcW w:w="1261" w:type="dxa"/>
          </w:tcPr>
          <w:p>
            <w:pPr>
              <w:jc w:val="center"/>
              <w:rPr>
                <w:rFonts w:ascii="仿宋" w:hAnsi="仿宋" w:eastAsia="仿宋"/>
              </w:rPr>
            </w:pPr>
            <w:r>
              <w:rPr>
                <w:rFonts w:ascii="仿宋" w:hAnsi="仿宋" w:eastAsia="仿宋"/>
              </w:rPr>
              <w:t>11872</w:t>
            </w:r>
          </w:p>
        </w:tc>
        <w:tc>
          <w:tcPr>
            <w:tcW w:w="1261" w:type="dxa"/>
          </w:tcPr>
          <w:p>
            <w:pPr>
              <w:jc w:val="center"/>
              <w:rPr>
                <w:rFonts w:ascii="仿宋" w:hAnsi="仿宋" w:eastAsia="仿宋"/>
              </w:rPr>
            </w:pPr>
            <w:r>
              <w:rPr>
                <w:rFonts w:ascii="仿宋" w:hAnsi="仿宋" w:eastAsia="仿宋"/>
              </w:rPr>
              <w:t>18309</w:t>
            </w:r>
          </w:p>
        </w:tc>
        <w:tc>
          <w:tcPr>
            <w:tcW w:w="1261" w:type="dxa"/>
          </w:tcPr>
          <w:p>
            <w:pPr>
              <w:jc w:val="center"/>
              <w:rPr>
                <w:rFonts w:ascii="仿宋" w:hAnsi="仿宋" w:eastAsia="仿宋"/>
              </w:rPr>
            </w:pPr>
            <w:r>
              <w:rPr>
                <w:rFonts w:ascii="仿宋" w:hAnsi="仿宋" w:eastAsia="仿宋"/>
              </w:rPr>
              <w:t>25999</w:t>
            </w:r>
          </w:p>
        </w:tc>
        <w:tc>
          <w:tcPr>
            <w:tcW w:w="1119" w:type="dxa"/>
          </w:tcPr>
          <w:p>
            <w:pPr>
              <w:jc w:val="center"/>
              <w:rPr>
                <w:rFonts w:ascii="仿宋" w:hAnsi="仿宋" w:eastAsia="仿宋"/>
              </w:rPr>
            </w:pPr>
            <w:r>
              <w:rPr>
                <w:rFonts w:ascii="仿宋" w:hAnsi="仿宋" w:eastAsia="仿宋"/>
              </w:rPr>
              <w:t>35120</w:t>
            </w:r>
          </w:p>
        </w:tc>
        <w:tc>
          <w:tcPr>
            <w:tcW w:w="987" w:type="dxa"/>
          </w:tcPr>
          <w:p>
            <w:pPr>
              <w:jc w:val="center"/>
              <w:rPr>
                <w:rFonts w:ascii="仿宋" w:hAnsi="仿宋" w:eastAsia="仿宋"/>
              </w:rPr>
            </w:pPr>
            <w:r>
              <w:rPr>
                <w:rFonts w:ascii="仿宋" w:hAnsi="仿宋" w:eastAsia="仿宋"/>
              </w:rPr>
              <w:t>45109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出租车、网约车</w:t>
            </w:r>
          </w:p>
        </w:tc>
        <w:tc>
          <w:tcPr>
            <w:tcW w:w="1261" w:type="dxa"/>
          </w:tcPr>
          <w:p>
            <w:pPr>
              <w:jc w:val="center"/>
              <w:rPr>
                <w:rFonts w:ascii="仿宋" w:hAnsi="仿宋" w:eastAsia="仿宋"/>
              </w:rPr>
            </w:pPr>
            <w:r>
              <w:rPr>
                <w:rFonts w:ascii="仿宋" w:hAnsi="仿宋" w:eastAsia="仿宋"/>
              </w:rPr>
              <w:t>190</w:t>
            </w:r>
          </w:p>
        </w:tc>
        <w:tc>
          <w:tcPr>
            <w:tcW w:w="1261" w:type="dxa"/>
          </w:tcPr>
          <w:p>
            <w:pPr>
              <w:jc w:val="center"/>
              <w:rPr>
                <w:rFonts w:ascii="仿宋" w:hAnsi="仿宋" w:eastAsia="仿宋"/>
              </w:rPr>
            </w:pPr>
            <w:r>
              <w:rPr>
                <w:rFonts w:ascii="仿宋" w:hAnsi="仿宋" w:eastAsia="仿宋"/>
              </w:rPr>
              <w:t>354</w:t>
            </w:r>
          </w:p>
        </w:tc>
        <w:tc>
          <w:tcPr>
            <w:tcW w:w="1261" w:type="dxa"/>
          </w:tcPr>
          <w:p>
            <w:pPr>
              <w:jc w:val="center"/>
              <w:rPr>
                <w:rFonts w:ascii="仿宋" w:hAnsi="仿宋" w:eastAsia="仿宋"/>
              </w:rPr>
            </w:pPr>
            <w:r>
              <w:rPr>
                <w:rFonts w:ascii="仿宋" w:hAnsi="仿宋" w:eastAsia="仿宋"/>
              </w:rPr>
              <w:t>758</w:t>
            </w:r>
          </w:p>
        </w:tc>
        <w:tc>
          <w:tcPr>
            <w:tcW w:w="1119" w:type="dxa"/>
          </w:tcPr>
          <w:p>
            <w:pPr>
              <w:jc w:val="center"/>
              <w:rPr>
                <w:rFonts w:ascii="仿宋" w:hAnsi="仿宋" w:eastAsia="仿宋"/>
              </w:rPr>
            </w:pPr>
            <w:r>
              <w:rPr>
                <w:rFonts w:ascii="仿宋" w:hAnsi="仿宋" w:eastAsia="仿宋"/>
              </w:rPr>
              <w:t>1212</w:t>
            </w:r>
          </w:p>
        </w:tc>
        <w:tc>
          <w:tcPr>
            <w:tcW w:w="987" w:type="dxa"/>
          </w:tcPr>
          <w:p>
            <w:pPr>
              <w:jc w:val="center"/>
              <w:rPr>
                <w:rFonts w:ascii="仿宋" w:hAnsi="仿宋" w:eastAsia="仿宋"/>
              </w:rPr>
            </w:pPr>
            <w:r>
              <w:rPr>
                <w:rFonts w:ascii="仿宋" w:hAnsi="仿宋" w:eastAsia="仿宋"/>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公交车</w:t>
            </w:r>
          </w:p>
        </w:tc>
        <w:tc>
          <w:tcPr>
            <w:tcW w:w="1261" w:type="dxa"/>
          </w:tcPr>
          <w:p>
            <w:pPr>
              <w:jc w:val="center"/>
              <w:rPr>
                <w:rFonts w:ascii="仿宋" w:hAnsi="仿宋" w:eastAsia="仿宋"/>
              </w:rPr>
            </w:pPr>
            <w:r>
              <w:rPr>
                <w:rFonts w:ascii="仿宋" w:hAnsi="仿宋" w:eastAsia="仿宋"/>
              </w:rPr>
              <w:t>1323</w:t>
            </w:r>
          </w:p>
        </w:tc>
        <w:tc>
          <w:tcPr>
            <w:tcW w:w="1261" w:type="dxa"/>
          </w:tcPr>
          <w:p>
            <w:pPr>
              <w:jc w:val="center"/>
              <w:rPr>
                <w:rFonts w:ascii="仿宋" w:hAnsi="仿宋" w:eastAsia="仿宋"/>
              </w:rPr>
            </w:pPr>
            <w:r>
              <w:rPr>
                <w:rFonts w:ascii="仿宋" w:hAnsi="仿宋" w:eastAsia="仿宋"/>
              </w:rPr>
              <w:t>1424</w:t>
            </w:r>
          </w:p>
        </w:tc>
        <w:tc>
          <w:tcPr>
            <w:tcW w:w="1261" w:type="dxa"/>
          </w:tcPr>
          <w:p>
            <w:pPr>
              <w:jc w:val="center"/>
              <w:rPr>
                <w:rFonts w:ascii="仿宋" w:hAnsi="仿宋" w:eastAsia="仿宋"/>
              </w:rPr>
            </w:pPr>
            <w:r>
              <w:rPr>
                <w:rFonts w:ascii="仿宋" w:hAnsi="仿宋" w:eastAsia="仿宋"/>
              </w:rPr>
              <w:t>1662</w:t>
            </w:r>
          </w:p>
        </w:tc>
        <w:tc>
          <w:tcPr>
            <w:tcW w:w="1119" w:type="dxa"/>
          </w:tcPr>
          <w:p>
            <w:pPr>
              <w:jc w:val="center"/>
              <w:rPr>
                <w:rFonts w:ascii="仿宋" w:hAnsi="仿宋" w:eastAsia="仿宋"/>
              </w:rPr>
            </w:pPr>
            <w:r>
              <w:rPr>
                <w:rFonts w:ascii="仿宋" w:hAnsi="仿宋" w:eastAsia="仿宋"/>
              </w:rPr>
              <w:t>1823</w:t>
            </w:r>
          </w:p>
        </w:tc>
        <w:tc>
          <w:tcPr>
            <w:tcW w:w="987" w:type="dxa"/>
          </w:tcPr>
          <w:p>
            <w:pPr>
              <w:jc w:val="center"/>
              <w:rPr>
                <w:rFonts w:ascii="仿宋" w:hAnsi="仿宋" w:eastAsia="仿宋"/>
              </w:rPr>
            </w:pPr>
            <w:r>
              <w:rPr>
                <w:rFonts w:ascii="仿宋" w:hAnsi="仿宋" w:eastAsia="仿宋"/>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环卫车</w:t>
            </w:r>
          </w:p>
        </w:tc>
        <w:tc>
          <w:tcPr>
            <w:tcW w:w="1261" w:type="dxa"/>
          </w:tcPr>
          <w:p>
            <w:pPr>
              <w:jc w:val="center"/>
              <w:rPr>
                <w:rFonts w:ascii="仿宋" w:hAnsi="仿宋" w:eastAsia="仿宋"/>
              </w:rPr>
            </w:pPr>
            <w:r>
              <w:rPr>
                <w:rFonts w:ascii="仿宋" w:hAnsi="仿宋" w:eastAsia="仿宋"/>
              </w:rPr>
              <w:t>9</w:t>
            </w:r>
          </w:p>
        </w:tc>
        <w:tc>
          <w:tcPr>
            <w:tcW w:w="1261" w:type="dxa"/>
          </w:tcPr>
          <w:p>
            <w:pPr>
              <w:jc w:val="center"/>
              <w:rPr>
                <w:rFonts w:ascii="仿宋" w:hAnsi="仿宋" w:eastAsia="仿宋"/>
              </w:rPr>
            </w:pPr>
            <w:r>
              <w:rPr>
                <w:rFonts w:ascii="仿宋" w:hAnsi="仿宋" w:eastAsia="仿宋"/>
              </w:rPr>
              <w:t>60</w:t>
            </w:r>
          </w:p>
        </w:tc>
        <w:tc>
          <w:tcPr>
            <w:tcW w:w="1261" w:type="dxa"/>
          </w:tcPr>
          <w:p>
            <w:pPr>
              <w:jc w:val="center"/>
              <w:rPr>
                <w:rFonts w:ascii="仿宋" w:hAnsi="仿宋" w:eastAsia="仿宋"/>
              </w:rPr>
            </w:pPr>
            <w:r>
              <w:rPr>
                <w:rFonts w:ascii="仿宋" w:hAnsi="仿宋" w:eastAsia="仿宋"/>
              </w:rPr>
              <w:t>96</w:t>
            </w:r>
          </w:p>
        </w:tc>
        <w:tc>
          <w:tcPr>
            <w:tcW w:w="1119" w:type="dxa"/>
          </w:tcPr>
          <w:p>
            <w:pPr>
              <w:jc w:val="center"/>
              <w:rPr>
                <w:rFonts w:ascii="仿宋" w:hAnsi="仿宋" w:eastAsia="仿宋"/>
              </w:rPr>
            </w:pPr>
            <w:r>
              <w:rPr>
                <w:rFonts w:ascii="仿宋" w:hAnsi="仿宋" w:eastAsia="仿宋"/>
              </w:rPr>
              <w:t>174</w:t>
            </w:r>
          </w:p>
        </w:tc>
        <w:tc>
          <w:tcPr>
            <w:tcW w:w="987" w:type="dxa"/>
          </w:tcPr>
          <w:p>
            <w:pPr>
              <w:jc w:val="center"/>
              <w:rPr>
                <w:rFonts w:ascii="仿宋" w:hAnsi="仿宋" w:eastAsia="仿宋"/>
              </w:rPr>
            </w:pPr>
            <w:r>
              <w:rPr>
                <w:rFonts w:ascii="仿宋" w:hAnsi="仿宋" w:eastAsia="仿宋"/>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公务车</w:t>
            </w:r>
          </w:p>
        </w:tc>
        <w:tc>
          <w:tcPr>
            <w:tcW w:w="1261" w:type="dxa"/>
          </w:tcPr>
          <w:p>
            <w:pPr>
              <w:jc w:val="center"/>
              <w:rPr>
                <w:rFonts w:ascii="仿宋" w:hAnsi="仿宋" w:eastAsia="仿宋"/>
              </w:rPr>
            </w:pPr>
            <w:r>
              <w:rPr>
                <w:rFonts w:ascii="仿宋" w:hAnsi="仿宋" w:eastAsia="仿宋"/>
              </w:rPr>
              <w:t>804</w:t>
            </w:r>
          </w:p>
        </w:tc>
        <w:tc>
          <w:tcPr>
            <w:tcW w:w="1261" w:type="dxa"/>
          </w:tcPr>
          <w:p>
            <w:pPr>
              <w:jc w:val="center"/>
              <w:rPr>
                <w:rFonts w:ascii="仿宋" w:hAnsi="仿宋" w:eastAsia="仿宋"/>
              </w:rPr>
            </w:pPr>
            <w:r>
              <w:rPr>
                <w:rFonts w:ascii="仿宋" w:hAnsi="仿宋" w:eastAsia="仿宋"/>
              </w:rPr>
              <w:t>1319</w:t>
            </w:r>
          </w:p>
        </w:tc>
        <w:tc>
          <w:tcPr>
            <w:tcW w:w="1261" w:type="dxa"/>
          </w:tcPr>
          <w:p>
            <w:pPr>
              <w:jc w:val="center"/>
              <w:rPr>
                <w:rFonts w:ascii="仿宋" w:hAnsi="仿宋" w:eastAsia="仿宋"/>
              </w:rPr>
            </w:pPr>
            <w:r>
              <w:rPr>
                <w:rFonts w:ascii="仿宋" w:hAnsi="仿宋" w:eastAsia="仿宋"/>
              </w:rPr>
              <w:t>2018</w:t>
            </w:r>
          </w:p>
        </w:tc>
        <w:tc>
          <w:tcPr>
            <w:tcW w:w="1119" w:type="dxa"/>
          </w:tcPr>
          <w:p>
            <w:pPr>
              <w:jc w:val="center"/>
              <w:rPr>
                <w:rFonts w:ascii="仿宋" w:hAnsi="仿宋" w:eastAsia="仿宋"/>
              </w:rPr>
            </w:pPr>
            <w:r>
              <w:rPr>
                <w:rFonts w:ascii="仿宋" w:hAnsi="仿宋" w:eastAsia="仿宋"/>
              </w:rPr>
              <w:t>2744</w:t>
            </w:r>
          </w:p>
        </w:tc>
        <w:tc>
          <w:tcPr>
            <w:tcW w:w="987" w:type="dxa"/>
          </w:tcPr>
          <w:p>
            <w:pPr>
              <w:jc w:val="center"/>
              <w:rPr>
                <w:rFonts w:ascii="仿宋" w:hAnsi="仿宋" w:eastAsia="仿宋"/>
              </w:rPr>
            </w:pPr>
            <w:r>
              <w:rPr>
                <w:rFonts w:ascii="仿宋" w:hAnsi="仿宋" w:eastAsia="仿宋"/>
              </w:rPr>
              <w:t>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旅游、通勤、公路客运</w:t>
            </w:r>
          </w:p>
        </w:tc>
        <w:tc>
          <w:tcPr>
            <w:tcW w:w="1261" w:type="dxa"/>
          </w:tcPr>
          <w:p>
            <w:pPr>
              <w:jc w:val="center"/>
              <w:rPr>
                <w:rFonts w:ascii="仿宋" w:hAnsi="仿宋" w:eastAsia="仿宋"/>
              </w:rPr>
            </w:pPr>
            <w:r>
              <w:rPr>
                <w:rFonts w:ascii="仿宋" w:hAnsi="仿宋" w:eastAsia="仿宋"/>
              </w:rPr>
              <w:t>329</w:t>
            </w:r>
          </w:p>
        </w:tc>
        <w:tc>
          <w:tcPr>
            <w:tcW w:w="1261" w:type="dxa"/>
          </w:tcPr>
          <w:p>
            <w:pPr>
              <w:jc w:val="center"/>
              <w:rPr>
                <w:rFonts w:ascii="仿宋" w:hAnsi="仿宋" w:eastAsia="仿宋"/>
              </w:rPr>
            </w:pPr>
            <w:r>
              <w:rPr>
                <w:rFonts w:ascii="仿宋" w:hAnsi="仿宋" w:eastAsia="仿宋"/>
              </w:rPr>
              <w:t>792</w:t>
            </w:r>
          </w:p>
        </w:tc>
        <w:tc>
          <w:tcPr>
            <w:tcW w:w="1261" w:type="dxa"/>
          </w:tcPr>
          <w:p>
            <w:pPr>
              <w:jc w:val="center"/>
              <w:rPr>
                <w:rFonts w:ascii="仿宋" w:hAnsi="仿宋" w:eastAsia="仿宋"/>
              </w:rPr>
            </w:pPr>
            <w:r>
              <w:rPr>
                <w:rFonts w:ascii="仿宋" w:hAnsi="仿宋" w:eastAsia="仿宋"/>
              </w:rPr>
              <w:t>1007</w:t>
            </w:r>
          </w:p>
        </w:tc>
        <w:tc>
          <w:tcPr>
            <w:tcW w:w="1119" w:type="dxa"/>
          </w:tcPr>
          <w:p>
            <w:pPr>
              <w:jc w:val="center"/>
              <w:rPr>
                <w:rFonts w:ascii="仿宋" w:hAnsi="仿宋" w:eastAsia="仿宋"/>
              </w:rPr>
            </w:pPr>
            <w:r>
              <w:rPr>
                <w:rFonts w:ascii="仿宋" w:hAnsi="仿宋" w:eastAsia="仿宋"/>
              </w:rPr>
              <w:t>1172</w:t>
            </w:r>
          </w:p>
        </w:tc>
        <w:tc>
          <w:tcPr>
            <w:tcW w:w="987" w:type="dxa"/>
          </w:tcPr>
          <w:p>
            <w:pPr>
              <w:jc w:val="center"/>
              <w:rPr>
                <w:rFonts w:ascii="仿宋" w:hAnsi="仿宋" w:eastAsia="仿宋"/>
              </w:rPr>
            </w:pPr>
            <w:r>
              <w:rPr>
                <w:rFonts w:ascii="仿宋" w:hAnsi="仿宋" w:eastAsia="仿宋"/>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物流车</w:t>
            </w:r>
          </w:p>
        </w:tc>
        <w:tc>
          <w:tcPr>
            <w:tcW w:w="1261" w:type="dxa"/>
          </w:tcPr>
          <w:p>
            <w:pPr>
              <w:jc w:val="center"/>
              <w:rPr>
                <w:rFonts w:ascii="仿宋" w:hAnsi="仿宋" w:eastAsia="仿宋"/>
              </w:rPr>
            </w:pPr>
            <w:r>
              <w:rPr>
                <w:rFonts w:ascii="仿宋" w:hAnsi="仿宋" w:eastAsia="仿宋"/>
              </w:rPr>
              <w:t>0</w:t>
            </w:r>
          </w:p>
        </w:tc>
        <w:tc>
          <w:tcPr>
            <w:tcW w:w="1261" w:type="dxa"/>
          </w:tcPr>
          <w:p>
            <w:pPr>
              <w:jc w:val="center"/>
              <w:rPr>
                <w:rFonts w:ascii="仿宋" w:hAnsi="仿宋" w:eastAsia="仿宋"/>
              </w:rPr>
            </w:pPr>
            <w:r>
              <w:rPr>
                <w:rFonts w:ascii="仿宋" w:hAnsi="仿宋" w:eastAsia="仿宋"/>
              </w:rPr>
              <w:t>500</w:t>
            </w:r>
          </w:p>
        </w:tc>
        <w:tc>
          <w:tcPr>
            <w:tcW w:w="1261" w:type="dxa"/>
          </w:tcPr>
          <w:p>
            <w:pPr>
              <w:jc w:val="center"/>
              <w:rPr>
                <w:rFonts w:ascii="仿宋" w:hAnsi="仿宋" w:eastAsia="仿宋"/>
              </w:rPr>
            </w:pPr>
            <w:r>
              <w:rPr>
                <w:rFonts w:ascii="仿宋" w:hAnsi="仿宋" w:eastAsia="仿宋"/>
              </w:rPr>
              <w:t>1000</w:t>
            </w:r>
          </w:p>
        </w:tc>
        <w:tc>
          <w:tcPr>
            <w:tcW w:w="1119" w:type="dxa"/>
          </w:tcPr>
          <w:p>
            <w:pPr>
              <w:jc w:val="center"/>
              <w:rPr>
                <w:rFonts w:ascii="仿宋" w:hAnsi="仿宋" w:eastAsia="仿宋"/>
              </w:rPr>
            </w:pPr>
            <w:r>
              <w:rPr>
                <w:rFonts w:ascii="仿宋" w:hAnsi="仿宋" w:eastAsia="仿宋"/>
              </w:rPr>
              <w:t>1500</w:t>
            </w:r>
          </w:p>
        </w:tc>
        <w:tc>
          <w:tcPr>
            <w:tcW w:w="987" w:type="dxa"/>
          </w:tcPr>
          <w:p>
            <w:pPr>
              <w:jc w:val="center"/>
              <w:rPr>
                <w:rFonts w:ascii="仿宋" w:hAnsi="仿宋" w:eastAsia="仿宋"/>
              </w:rPr>
            </w:pPr>
            <w:r>
              <w:rPr>
                <w:rFonts w:ascii="仿宋" w:hAnsi="仿宋" w:eastAsia="仿宋"/>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atLeast"/>
          <w:jc w:val="center"/>
        </w:trPr>
        <w:tc>
          <w:tcPr>
            <w:tcW w:w="2343" w:type="dxa"/>
            <w:vAlign w:val="center"/>
          </w:tcPr>
          <w:p>
            <w:pPr>
              <w:pStyle w:val="37"/>
              <w:rPr>
                <w:rFonts w:ascii="仿宋" w:hAnsi="仿宋" w:eastAsia="仿宋" w:cs="Times New Roman"/>
                <w:bCs w:val="0"/>
              </w:rPr>
            </w:pPr>
            <w:r>
              <w:rPr>
                <w:rFonts w:ascii="仿宋" w:hAnsi="仿宋" w:eastAsia="仿宋" w:cs="Times New Roman"/>
                <w:bCs w:val="0"/>
              </w:rPr>
              <w:t>合计</w:t>
            </w:r>
          </w:p>
        </w:tc>
        <w:tc>
          <w:tcPr>
            <w:tcW w:w="1261" w:type="dxa"/>
          </w:tcPr>
          <w:p>
            <w:pPr>
              <w:jc w:val="center"/>
              <w:rPr>
                <w:rFonts w:ascii="仿宋" w:hAnsi="仿宋" w:eastAsia="仿宋"/>
              </w:rPr>
            </w:pPr>
            <w:r>
              <w:rPr>
                <w:rFonts w:ascii="仿宋" w:hAnsi="仿宋" w:eastAsia="仿宋"/>
              </w:rPr>
              <w:t>14527</w:t>
            </w:r>
          </w:p>
        </w:tc>
        <w:tc>
          <w:tcPr>
            <w:tcW w:w="1261" w:type="dxa"/>
          </w:tcPr>
          <w:p>
            <w:pPr>
              <w:jc w:val="center"/>
              <w:rPr>
                <w:rFonts w:ascii="仿宋" w:hAnsi="仿宋" w:eastAsia="仿宋"/>
              </w:rPr>
            </w:pPr>
            <w:r>
              <w:rPr>
                <w:rFonts w:ascii="仿宋" w:hAnsi="仿宋" w:eastAsia="仿宋"/>
              </w:rPr>
              <w:t>22758</w:t>
            </w:r>
          </w:p>
        </w:tc>
        <w:tc>
          <w:tcPr>
            <w:tcW w:w="1261" w:type="dxa"/>
          </w:tcPr>
          <w:p>
            <w:pPr>
              <w:jc w:val="center"/>
              <w:rPr>
                <w:rFonts w:ascii="仿宋" w:hAnsi="仿宋" w:eastAsia="仿宋"/>
              </w:rPr>
            </w:pPr>
            <w:r>
              <w:rPr>
                <w:rFonts w:ascii="仿宋" w:hAnsi="仿宋" w:eastAsia="仿宋"/>
              </w:rPr>
              <w:t>32540</w:t>
            </w:r>
          </w:p>
        </w:tc>
        <w:tc>
          <w:tcPr>
            <w:tcW w:w="1119" w:type="dxa"/>
          </w:tcPr>
          <w:p>
            <w:pPr>
              <w:jc w:val="center"/>
              <w:rPr>
                <w:rFonts w:ascii="仿宋" w:hAnsi="仿宋" w:eastAsia="仿宋"/>
              </w:rPr>
            </w:pPr>
            <w:r>
              <w:rPr>
                <w:rFonts w:ascii="仿宋" w:hAnsi="仿宋" w:eastAsia="仿宋"/>
              </w:rPr>
              <w:t>43745</w:t>
            </w:r>
          </w:p>
        </w:tc>
        <w:tc>
          <w:tcPr>
            <w:tcW w:w="987" w:type="dxa"/>
          </w:tcPr>
          <w:p>
            <w:pPr>
              <w:jc w:val="center"/>
              <w:rPr>
                <w:rFonts w:ascii="仿宋" w:hAnsi="仿宋" w:eastAsia="仿宋"/>
              </w:rPr>
            </w:pPr>
            <w:r>
              <w:rPr>
                <w:rFonts w:ascii="仿宋" w:hAnsi="仿宋" w:eastAsia="仿宋"/>
              </w:rPr>
              <w:t>56868</w:t>
            </w:r>
          </w:p>
        </w:tc>
      </w:tr>
    </w:tbl>
    <w:p>
      <w:pPr>
        <w:rPr>
          <w:rFonts w:ascii="仿宋" w:hAnsi="仿宋" w:eastAsia="仿宋"/>
          <w:szCs w:val="22"/>
        </w:rPr>
      </w:pPr>
    </w:p>
    <w:p>
      <w:pPr>
        <w:pStyle w:val="10"/>
        <w:ind w:firstLine="560"/>
        <w:rPr>
          <w:rFonts w:ascii="仿宋" w:hAnsi="仿宋" w:eastAsia="仿宋"/>
        </w:rPr>
        <w:sectPr>
          <w:pgSz w:w="11906" w:h="16838"/>
          <w:pgMar w:top="1440" w:right="1800" w:bottom="1440" w:left="1800" w:header="851" w:footer="992" w:gutter="0"/>
          <w:cols w:space="425" w:num="1"/>
          <w:docGrid w:type="lines" w:linePitch="312" w:charSpace="0"/>
        </w:sectPr>
      </w:pPr>
    </w:p>
    <w:p>
      <w:pPr>
        <w:pStyle w:val="2"/>
        <w:tabs>
          <w:tab w:val="left" w:pos="1843"/>
          <w:tab w:val="clear" w:pos="3970"/>
        </w:tabs>
        <w:spacing w:line="560" w:lineRule="exact"/>
        <w:ind w:left="2410" w:hanging="992"/>
        <w:jc w:val="left"/>
        <w:rPr>
          <w:rFonts w:ascii="仿宋" w:hAnsi="仿宋" w:eastAsia="仿宋"/>
          <w:sz w:val="36"/>
          <w:szCs w:val="36"/>
        </w:rPr>
      </w:pPr>
      <w:bookmarkStart w:id="101" w:name="_Toc101299807"/>
      <w:r>
        <w:rPr>
          <w:rFonts w:ascii="仿宋" w:hAnsi="仿宋" w:eastAsia="仿宋"/>
          <w:sz w:val="36"/>
          <w:szCs w:val="36"/>
        </w:rPr>
        <w:t>电动汽车充换电设施需求分析</w:t>
      </w:r>
      <w:bookmarkEnd w:id="101"/>
    </w:p>
    <w:p>
      <w:pPr>
        <w:pStyle w:val="3"/>
        <w:tabs>
          <w:tab w:val="left" w:pos="1418"/>
          <w:tab w:val="left" w:pos="3261"/>
          <w:tab w:val="clear" w:pos="3970"/>
        </w:tabs>
        <w:spacing w:line="560" w:lineRule="exact"/>
        <w:rPr>
          <w:rFonts w:ascii="仿宋" w:hAnsi="仿宋" w:eastAsia="仿宋"/>
          <w:color w:val="auto"/>
          <w:szCs w:val="22"/>
        </w:rPr>
      </w:pPr>
      <w:bookmarkStart w:id="102" w:name="_Toc101299808"/>
      <w:r>
        <w:rPr>
          <w:rFonts w:ascii="仿宋" w:hAnsi="仿宋" w:eastAsia="仿宋"/>
          <w:color w:val="auto"/>
          <w:szCs w:val="22"/>
        </w:rPr>
        <w:t>电动汽车及充电设施特性分析</w:t>
      </w:r>
      <w:bookmarkEnd w:id="102"/>
    </w:p>
    <w:p>
      <w:pPr>
        <w:pStyle w:val="4"/>
        <w:spacing w:before="0" w:after="0" w:line="560" w:lineRule="exact"/>
        <w:rPr>
          <w:rFonts w:ascii="仿宋" w:hAnsi="仿宋" w:eastAsia="仿宋"/>
          <w:szCs w:val="22"/>
        </w:rPr>
      </w:pPr>
      <w:r>
        <w:rPr>
          <w:rFonts w:ascii="仿宋" w:hAnsi="仿宋" w:eastAsia="仿宋"/>
          <w:szCs w:val="22"/>
        </w:rPr>
        <w:t>充电方式分类</w:t>
      </w:r>
    </w:p>
    <w:p>
      <w:pPr>
        <w:spacing w:line="360" w:lineRule="auto"/>
        <w:ind w:firstLine="560" w:firstLineChars="200"/>
        <w:rPr>
          <w:rFonts w:ascii="仿宋" w:hAnsi="仿宋" w:eastAsia="仿宋"/>
          <w:sz w:val="28"/>
          <w:szCs w:val="28"/>
        </w:rPr>
      </w:pPr>
      <w:r>
        <w:rPr>
          <w:rFonts w:ascii="仿宋" w:hAnsi="仿宋" w:eastAsia="仿宋"/>
          <w:sz w:val="28"/>
          <w:szCs w:val="28"/>
        </w:rPr>
        <w:t>根据电动汽车动力电池组的技术和使用特性，电动汽车的充电模式存在一定的差别。对于充电方案的选择，目前普遍存在慢速充电、快速充电和换电三种模式。</w:t>
      </w:r>
    </w:p>
    <w:p>
      <w:pPr>
        <w:spacing w:line="360" w:lineRule="auto"/>
        <w:ind w:firstLine="560" w:firstLineChars="200"/>
        <w:rPr>
          <w:rFonts w:ascii="仿宋" w:hAnsi="仿宋" w:eastAsia="仿宋"/>
          <w:sz w:val="28"/>
          <w:szCs w:val="28"/>
        </w:rPr>
      </w:pPr>
      <w:r>
        <w:rPr>
          <w:rFonts w:ascii="仿宋" w:hAnsi="仿宋" w:eastAsia="仿宋"/>
          <w:sz w:val="28"/>
          <w:szCs w:val="28"/>
        </w:rPr>
        <w:t>1、慢速充电一般指交流充电，充电方法采用小电流的恒压或恒流充电，充电时间约为4～12小时。</w:t>
      </w:r>
    </w:p>
    <w:p>
      <w:pPr>
        <w:spacing w:line="360" w:lineRule="auto"/>
        <w:ind w:firstLine="560" w:firstLineChars="200"/>
        <w:rPr>
          <w:rFonts w:ascii="仿宋" w:hAnsi="仿宋" w:eastAsia="仿宋"/>
          <w:sz w:val="28"/>
          <w:szCs w:val="28"/>
        </w:rPr>
      </w:pPr>
      <w:r>
        <w:rPr>
          <w:rFonts w:ascii="仿宋" w:hAnsi="仿宋" w:eastAsia="仿宋"/>
          <w:sz w:val="28"/>
          <w:szCs w:val="28"/>
        </w:rPr>
        <w:t>2、快速充电又称应急充电，一般特指大电流直流充电，是以较大电流在电动汽车停车的20分钟～2小时内，为其提供短时充电服务，充电电流一般处于100～500A之间。</w:t>
      </w:r>
    </w:p>
    <w:p>
      <w:pPr>
        <w:spacing w:line="360" w:lineRule="auto"/>
        <w:ind w:firstLine="560" w:firstLineChars="200"/>
        <w:rPr>
          <w:rFonts w:ascii="仿宋" w:hAnsi="仿宋" w:eastAsia="仿宋"/>
          <w:sz w:val="28"/>
          <w:szCs w:val="28"/>
        </w:rPr>
      </w:pPr>
      <w:r>
        <w:rPr>
          <w:rFonts w:ascii="仿宋" w:hAnsi="仿宋" w:eastAsia="仿宋"/>
          <w:sz w:val="28"/>
          <w:szCs w:val="28"/>
        </w:rPr>
        <w:t>3、换电即电池组快速更换系统，是通过直接更换电动汽车的电池组来达到为其补充电能的目的，可为续驶里程长又没能及时充电的客户提供更换蓄电池的服务，对卸载下的电池采用地面充电系统进行补充，满足车辆技术、经济和运营的需要。通过集中型充电站对大量电池集中存储、集中充电、统一配送，并在电池配送站内对电动汽车进行电池更换服务或者集电池的充电、物流调配、以及换电服务于一体。此模式可以省去车主大笔的购买电池的费用，并且可以解决新能源汽车充电难、电池衰减、电池易自燃所产生的一系列问题。但换电模式对车辆制造有限制，必须统一电池标准，并且需要政府大力扶持，对基础设施建设要求高。</w:t>
      </w:r>
    </w:p>
    <w:p>
      <w:pPr>
        <w:pStyle w:val="4"/>
        <w:spacing w:before="0" w:after="0" w:line="560" w:lineRule="exact"/>
        <w:rPr>
          <w:rFonts w:ascii="仿宋" w:hAnsi="仿宋" w:eastAsia="仿宋"/>
          <w:szCs w:val="22"/>
        </w:rPr>
      </w:pPr>
      <w:r>
        <w:rPr>
          <w:rFonts w:ascii="仿宋" w:hAnsi="仿宋" w:eastAsia="仿宋"/>
          <w:szCs w:val="22"/>
        </w:rPr>
        <w:t>充电设施分类</w:t>
      </w:r>
    </w:p>
    <w:p>
      <w:pPr>
        <w:spacing w:line="360" w:lineRule="auto"/>
        <w:ind w:firstLine="560" w:firstLineChars="200"/>
        <w:rPr>
          <w:rFonts w:ascii="仿宋" w:hAnsi="仿宋" w:eastAsia="仿宋"/>
          <w:sz w:val="28"/>
          <w:szCs w:val="28"/>
        </w:rPr>
      </w:pPr>
      <w:r>
        <w:rPr>
          <w:rFonts w:ascii="仿宋" w:hAnsi="仿宋" w:eastAsia="仿宋"/>
          <w:bCs/>
          <w:sz w:val="28"/>
          <w:szCs w:val="28"/>
        </w:rPr>
        <w:t>1、交流充电桩</w:t>
      </w:r>
      <w:r>
        <w:rPr>
          <w:rFonts w:ascii="仿宋" w:hAnsi="仿宋" w:eastAsia="仿宋"/>
          <w:sz w:val="28"/>
          <w:szCs w:val="28"/>
        </w:rPr>
        <w:t>：为电动汽车提供交流常规充电电流，布点灵活、占地面积较小，可安装在停车场、居住社区等，提供常规慢速充电服务。</w:t>
      </w:r>
    </w:p>
    <w:p>
      <w:pPr>
        <w:spacing w:line="360" w:lineRule="auto"/>
        <w:ind w:firstLine="560" w:firstLineChars="200"/>
        <w:rPr>
          <w:rFonts w:ascii="仿宋" w:hAnsi="仿宋" w:eastAsia="仿宋"/>
          <w:sz w:val="28"/>
          <w:szCs w:val="28"/>
        </w:rPr>
      </w:pPr>
      <w:r>
        <w:rPr>
          <w:rFonts w:ascii="仿宋" w:hAnsi="仿宋" w:eastAsia="仿宋"/>
          <w:bCs/>
          <w:sz w:val="28"/>
          <w:szCs w:val="28"/>
        </w:rPr>
        <w:t>2、直流充电桩</w:t>
      </w:r>
      <w:r>
        <w:rPr>
          <w:rFonts w:ascii="仿宋" w:hAnsi="仿宋" w:eastAsia="仿宋"/>
          <w:sz w:val="28"/>
          <w:szCs w:val="28"/>
        </w:rPr>
        <w:t>：可对各类电动汽车提供较大的直流电流进行快速充电，设备技术要求较高、占地面积较大。通常安装在电动汽车充电站，为各类电动汽车提供快速充电（应急）服务。</w:t>
      </w:r>
    </w:p>
    <w:p>
      <w:pPr>
        <w:spacing w:line="360" w:lineRule="auto"/>
        <w:ind w:firstLine="560" w:firstLineChars="200"/>
        <w:rPr>
          <w:rFonts w:ascii="仿宋" w:hAnsi="仿宋" w:eastAsia="仿宋"/>
          <w:sz w:val="28"/>
          <w:szCs w:val="28"/>
        </w:rPr>
      </w:pPr>
      <w:r>
        <w:rPr>
          <w:rFonts w:ascii="仿宋" w:hAnsi="仿宋" w:eastAsia="仿宋"/>
          <w:bCs/>
          <w:sz w:val="28"/>
          <w:szCs w:val="28"/>
        </w:rPr>
        <w:t>3、充电站</w:t>
      </w:r>
      <w:r>
        <w:rPr>
          <w:rFonts w:ascii="仿宋" w:hAnsi="仿宋" w:eastAsia="仿宋"/>
          <w:sz w:val="28"/>
          <w:szCs w:val="28"/>
        </w:rPr>
        <w:t>：根据《电动汽车充电站通用要求》（GBT29781-2013）的定义，充电站是采用整车充电模式为电动汽车充电的场所，应包括3个及以上电动汽车充电设备（至少有一个非车载充电机），以及相关供电设备、监控设备等配套设施。充电站按照用途可分为公交车专用充电站、出租车充电站、环卫物流等专用车充电站、城市公共充电站和城际快充站。</w:t>
      </w:r>
    </w:p>
    <w:p>
      <w:pPr>
        <w:spacing w:line="360" w:lineRule="auto"/>
        <w:ind w:firstLine="560" w:firstLineChars="200"/>
        <w:rPr>
          <w:rFonts w:ascii="仿宋" w:hAnsi="仿宋" w:eastAsia="仿宋"/>
          <w:sz w:val="28"/>
          <w:szCs w:val="28"/>
        </w:rPr>
      </w:pPr>
      <w:r>
        <w:rPr>
          <w:rFonts w:ascii="仿宋" w:hAnsi="仿宋" w:eastAsia="仿宋"/>
          <w:bCs/>
          <w:sz w:val="28"/>
          <w:szCs w:val="28"/>
        </w:rPr>
        <w:t>4、充换电站</w:t>
      </w:r>
      <w:r>
        <w:rPr>
          <w:rFonts w:ascii="仿宋" w:hAnsi="仿宋" w:eastAsia="仿宋"/>
          <w:sz w:val="28"/>
          <w:szCs w:val="28"/>
        </w:rPr>
        <w:t>：充换电站可为电动汽车同时提供充电与换电服务，与集中充电中心一致。按目前较为常见的7kW充电机来测算，约4～5小时可完成循环充电一次，日工作时间18-20小时，日均循环充电不少于4次。</w:t>
      </w:r>
    </w:p>
    <w:p>
      <w:pPr>
        <w:pStyle w:val="4"/>
        <w:spacing w:before="0" w:after="0" w:line="560" w:lineRule="exact"/>
        <w:rPr>
          <w:rFonts w:ascii="仿宋" w:hAnsi="仿宋" w:eastAsia="仿宋"/>
          <w:szCs w:val="22"/>
        </w:rPr>
      </w:pPr>
      <w:r>
        <w:rPr>
          <w:rFonts w:ascii="仿宋" w:hAnsi="仿宋" w:eastAsia="仿宋"/>
          <w:szCs w:val="22"/>
        </w:rPr>
        <w:t>充电模式及规格选择</w:t>
      </w:r>
    </w:p>
    <w:p>
      <w:pPr>
        <w:spacing w:line="360" w:lineRule="auto"/>
        <w:ind w:firstLine="560" w:firstLineChars="200"/>
        <w:rPr>
          <w:rFonts w:ascii="仿宋" w:hAnsi="仿宋" w:eastAsia="仿宋"/>
          <w:sz w:val="28"/>
          <w:szCs w:val="28"/>
        </w:rPr>
      </w:pPr>
      <w:r>
        <w:rPr>
          <w:rFonts w:ascii="仿宋" w:hAnsi="仿宋" w:eastAsia="仿宋"/>
          <w:bCs/>
          <w:sz w:val="28"/>
          <w:szCs w:val="28"/>
        </w:rPr>
        <w:t>私人乘用车、公务车</w:t>
      </w:r>
      <w:r>
        <w:rPr>
          <w:rFonts w:ascii="仿宋" w:hAnsi="仿宋" w:eastAsia="仿宋"/>
          <w:sz w:val="28"/>
          <w:szCs w:val="28"/>
        </w:rPr>
        <w:t>日行驶里程一般较短，专用充电设施采用慢充方式即能满足需求，鼓励采用智能有序慢充等新技术，节约投资及电网资源。</w:t>
      </w:r>
    </w:p>
    <w:p>
      <w:pPr>
        <w:spacing w:line="360" w:lineRule="auto"/>
        <w:ind w:firstLine="560" w:firstLineChars="200"/>
        <w:rPr>
          <w:rFonts w:ascii="仿宋" w:hAnsi="仿宋" w:eastAsia="仿宋"/>
          <w:sz w:val="28"/>
          <w:szCs w:val="28"/>
        </w:rPr>
      </w:pPr>
      <w:r>
        <w:rPr>
          <w:rFonts w:ascii="仿宋" w:hAnsi="仿宋" w:eastAsia="仿宋"/>
          <w:bCs/>
          <w:sz w:val="28"/>
          <w:szCs w:val="28"/>
        </w:rPr>
        <w:t>公交车、客运车辆、工程车辆</w:t>
      </w:r>
      <w:r>
        <w:rPr>
          <w:rFonts w:ascii="仿宋" w:hAnsi="仿宋" w:eastAsia="仿宋"/>
          <w:sz w:val="28"/>
          <w:szCs w:val="28"/>
        </w:rPr>
        <w:t>一般具有固定的停车场站，同时受制于车辆体积，一般难以在公共充电站充电，以在停车场站配建的专用充电桩作为主要充电方式。耗电量大，对充电时长敏感度高，专用充电设施宜采用快充方式。</w:t>
      </w:r>
    </w:p>
    <w:p>
      <w:pPr>
        <w:spacing w:line="360" w:lineRule="auto"/>
        <w:ind w:firstLine="560" w:firstLineChars="200"/>
        <w:rPr>
          <w:rFonts w:ascii="仿宋" w:hAnsi="仿宋" w:eastAsia="仿宋"/>
          <w:sz w:val="28"/>
          <w:szCs w:val="28"/>
        </w:rPr>
      </w:pPr>
      <w:r>
        <w:rPr>
          <w:rFonts w:ascii="仿宋" w:hAnsi="仿宋" w:eastAsia="仿宋"/>
          <w:bCs/>
          <w:sz w:val="28"/>
          <w:szCs w:val="28"/>
        </w:rPr>
        <w:t>环卫车辆</w:t>
      </w:r>
      <w:r>
        <w:rPr>
          <w:rFonts w:ascii="仿宋" w:hAnsi="仿宋" w:eastAsia="仿宋"/>
          <w:sz w:val="28"/>
          <w:szCs w:val="28"/>
        </w:rPr>
        <w:t>行驶里程和路径可预估，一般借用专用停车场设置的专用桩进行充电，同时考虑到白天运营、夜晚停靠的运营特点，建议在白天运营期间利用专用桩进行快速充电，夜晚停靠期间利用专用桩进行慢速充电或采用小功率直流充电方式。</w:t>
      </w:r>
    </w:p>
    <w:p>
      <w:pPr>
        <w:spacing w:line="360" w:lineRule="auto"/>
        <w:ind w:firstLine="560" w:firstLineChars="200"/>
        <w:rPr>
          <w:rFonts w:ascii="仿宋" w:hAnsi="仿宋" w:eastAsia="仿宋"/>
          <w:sz w:val="28"/>
          <w:szCs w:val="28"/>
        </w:rPr>
      </w:pPr>
      <w:r>
        <w:rPr>
          <w:rFonts w:ascii="仿宋" w:hAnsi="仿宋" w:eastAsia="仿宋"/>
          <w:bCs/>
          <w:sz w:val="28"/>
          <w:szCs w:val="28"/>
        </w:rPr>
        <w:t>出租车</w:t>
      </w:r>
      <w:r>
        <w:rPr>
          <w:rFonts w:ascii="仿宋" w:hAnsi="仿宋" w:eastAsia="仿宋"/>
          <w:sz w:val="28"/>
          <w:szCs w:val="28"/>
        </w:rPr>
        <w:t>以营运载客为目的，运营里程较长，但受制于自身车体较小，携带的电池容量有限，不足以支撑全天的运营历程，需要在运营期间及时快速的补充电能，多数情况下利用专用出租车服务中心内的专用桩充电，部分情况下需要借助公共桩进行充电，具备换电条件的在运营期间可使用换电方式。</w:t>
      </w:r>
    </w:p>
    <w:p>
      <w:pPr>
        <w:spacing w:line="360" w:lineRule="auto"/>
        <w:ind w:firstLine="560" w:firstLineChars="200"/>
        <w:rPr>
          <w:rFonts w:ascii="仿宋" w:hAnsi="仿宋" w:eastAsia="仿宋"/>
          <w:sz w:val="28"/>
          <w:szCs w:val="28"/>
        </w:rPr>
      </w:pPr>
      <w:r>
        <w:rPr>
          <w:rFonts w:ascii="仿宋" w:hAnsi="仿宋" w:eastAsia="仿宋"/>
          <w:bCs/>
          <w:sz w:val="28"/>
          <w:szCs w:val="28"/>
        </w:rPr>
        <w:t>公共充电设施</w:t>
      </w:r>
      <w:r>
        <w:rPr>
          <w:rFonts w:ascii="仿宋" w:hAnsi="仿宋" w:eastAsia="仿宋"/>
          <w:sz w:val="28"/>
          <w:szCs w:val="28"/>
        </w:rPr>
        <w:t>宜采用直流充电方式，主要为直流快充方式和小功率直流充电方式；集中式公共充电站宜采用直流快充方式，提升充电效率；主要面向私人乘用车的充电桩宜采用小功率慢充充电方式。</w:t>
      </w:r>
    </w:p>
    <w:p>
      <w:pPr>
        <w:pStyle w:val="8"/>
        <w:spacing w:after="0" w:afterLines="0" w:line="240" w:lineRule="auto"/>
        <w:rPr>
          <w:rFonts w:ascii="仿宋" w:hAnsi="仿宋" w:eastAsia="仿宋"/>
          <w:b w:val="0"/>
        </w:rPr>
      </w:pPr>
      <w:r>
        <w:rPr>
          <w:rFonts w:ascii="仿宋" w:hAnsi="仿宋" w:eastAsia="仿宋"/>
          <w:b w:val="0"/>
        </w:rPr>
        <w:t>表 5</w:t>
      </w:r>
      <w:r>
        <w:rPr>
          <w:rFonts w:ascii="仿宋" w:hAnsi="仿宋" w:eastAsia="仿宋"/>
          <w:b w:val="0"/>
        </w:rPr>
        <w:noBreakHyphen/>
      </w:r>
      <w:r>
        <w:rPr>
          <w:rFonts w:ascii="仿宋" w:hAnsi="仿宋" w:eastAsia="仿宋"/>
          <w:b w:val="0"/>
        </w:rPr>
        <w:fldChar w:fldCharType="begin"/>
      </w:r>
      <w:r>
        <w:rPr>
          <w:rFonts w:ascii="仿宋" w:hAnsi="仿宋" w:eastAsia="仿宋"/>
          <w:b w:val="0"/>
        </w:rPr>
        <w:instrText xml:space="preserve"> SEQ 表 \* ARABIC \s 1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t xml:space="preserve">  各类型车辆特点及推荐充电方式</w:t>
      </w:r>
    </w:p>
    <w:tbl>
      <w:tblPr>
        <w:tblStyle w:val="25"/>
        <w:tblW w:w="8126" w:type="dxa"/>
        <w:jc w:val="center"/>
        <w:tblLayout w:type="fixed"/>
        <w:tblCellMar>
          <w:top w:w="0" w:type="dxa"/>
          <w:left w:w="108" w:type="dxa"/>
          <w:bottom w:w="0" w:type="dxa"/>
          <w:right w:w="108" w:type="dxa"/>
        </w:tblCellMar>
      </w:tblPr>
      <w:tblGrid>
        <w:gridCol w:w="1565"/>
        <w:gridCol w:w="4115"/>
        <w:gridCol w:w="1268"/>
        <w:gridCol w:w="1178"/>
      </w:tblGrid>
      <w:tr>
        <w:tblPrEx>
          <w:tblCellMar>
            <w:top w:w="0" w:type="dxa"/>
            <w:left w:w="108" w:type="dxa"/>
            <w:bottom w:w="0" w:type="dxa"/>
            <w:right w:w="108" w:type="dxa"/>
          </w:tblCellMar>
        </w:tblPrEx>
        <w:trPr>
          <w:trHeight w:val="720" w:hRule="atLeast"/>
          <w:tblHeader/>
          <w:jc w:val="center"/>
        </w:trPr>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车型</w:t>
            </w:r>
          </w:p>
        </w:tc>
        <w:tc>
          <w:tcPr>
            <w:tcW w:w="4115"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运行特点及停车场站情况</w:t>
            </w:r>
          </w:p>
        </w:tc>
        <w:tc>
          <w:tcPr>
            <w:tcW w:w="126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主要推荐充电方式</w:t>
            </w:r>
          </w:p>
        </w:tc>
        <w:tc>
          <w:tcPr>
            <w:tcW w:w="1178" w:type="dxa"/>
            <w:tcBorders>
              <w:top w:val="single" w:color="auto" w:sz="4" w:space="0"/>
              <w:left w:val="nil"/>
              <w:bottom w:val="single" w:color="auto" w:sz="4" w:space="0"/>
              <w:right w:val="single" w:color="auto" w:sz="4" w:space="0"/>
            </w:tcBorders>
            <w:shd w:val="clear" w:color="auto" w:fill="auto"/>
            <w:vAlign w:val="center"/>
          </w:tcPr>
          <w:p>
            <w:pPr>
              <w:pStyle w:val="37"/>
              <w:rPr>
                <w:rFonts w:ascii="仿宋" w:hAnsi="仿宋" w:eastAsia="仿宋" w:cs="Times New Roman"/>
              </w:rPr>
            </w:pPr>
            <w:r>
              <w:rPr>
                <w:rFonts w:ascii="仿宋" w:hAnsi="仿宋" w:eastAsia="仿宋" w:cs="Times New Roman"/>
              </w:rPr>
              <w:t>次要推荐充电方式</w:t>
            </w:r>
          </w:p>
        </w:tc>
      </w:tr>
      <w:tr>
        <w:tblPrEx>
          <w:tblCellMar>
            <w:top w:w="0" w:type="dxa"/>
            <w:left w:w="108" w:type="dxa"/>
            <w:bottom w:w="0" w:type="dxa"/>
            <w:right w:w="108" w:type="dxa"/>
          </w:tblCellMar>
        </w:tblPrEx>
        <w:trPr>
          <w:trHeight w:val="776"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公交车、客车</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运行时间多集中在6:00-21:00，连续运行，一般拥有专用的公交场站</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夜间</w:t>
            </w:r>
            <w:r>
              <w:rPr>
                <w:rFonts w:hint="eastAsia" w:ascii="仿宋" w:hAnsi="仿宋" w:eastAsia="仿宋" w:cs="Times New Roman"/>
                <w:bCs w:val="0"/>
              </w:rPr>
              <w:t>快</w:t>
            </w:r>
            <w:r>
              <w:rPr>
                <w:rFonts w:ascii="仿宋" w:hAnsi="仿宋" w:eastAsia="仿宋" w:cs="Times New Roman"/>
                <w:bCs w:val="0"/>
              </w:rPr>
              <w:t>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日间快充</w:t>
            </w:r>
          </w:p>
        </w:tc>
      </w:tr>
      <w:tr>
        <w:tblPrEx>
          <w:tblCellMar>
            <w:top w:w="0" w:type="dxa"/>
            <w:left w:w="108" w:type="dxa"/>
            <w:bottom w:w="0" w:type="dxa"/>
            <w:right w:w="108" w:type="dxa"/>
          </w:tblCellMar>
        </w:tblPrEx>
        <w:trPr>
          <w:trHeight w:val="48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出租车</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昼夜连续运行，一般拥有专用的出租车服务站点</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hint="eastAsia" w:ascii="仿宋" w:hAnsi="仿宋" w:eastAsia="仿宋" w:cs="Times New Roman"/>
                <w:bCs w:val="0"/>
              </w:rPr>
              <w:t>专</w:t>
            </w:r>
            <w:r>
              <w:rPr>
                <w:rFonts w:ascii="仿宋" w:hAnsi="仿宋" w:eastAsia="仿宋" w:cs="Times New Roman"/>
                <w:bCs w:val="0"/>
              </w:rPr>
              <w:t>用快充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hint="eastAsia" w:ascii="仿宋" w:hAnsi="仿宋" w:eastAsia="仿宋" w:cs="Times New Roman"/>
                <w:bCs w:val="0"/>
              </w:rPr>
              <w:t>公</w:t>
            </w:r>
            <w:r>
              <w:rPr>
                <w:rFonts w:ascii="仿宋" w:hAnsi="仿宋" w:eastAsia="仿宋" w:cs="Times New Roman"/>
                <w:bCs w:val="0"/>
              </w:rPr>
              <w:t>用</w:t>
            </w:r>
            <w:r>
              <w:rPr>
                <w:rFonts w:hint="eastAsia" w:ascii="仿宋" w:hAnsi="仿宋" w:eastAsia="仿宋" w:cs="Times New Roman"/>
                <w:bCs w:val="0"/>
              </w:rPr>
              <w:t>快充</w:t>
            </w:r>
          </w:p>
        </w:tc>
      </w:tr>
      <w:tr>
        <w:tblPrEx>
          <w:tblCellMar>
            <w:top w:w="0" w:type="dxa"/>
            <w:left w:w="108" w:type="dxa"/>
            <w:bottom w:w="0" w:type="dxa"/>
            <w:right w:w="108" w:type="dxa"/>
          </w:tblCellMar>
        </w:tblPrEx>
        <w:trPr>
          <w:trHeight w:val="441"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网约车、共享汽车</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大部分为白天运营，有专门服务站点</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hint="eastAsia" w:ascii="仿宋" w:hAnsi="仿宋" w:eastAsia="仿宋" w:cs="Times New Roman"/>
                <w:bCs w:val="0"/>
              </w:rPr>
              <w:t>日间</w:t>
            </w:r>
            <w:r>
              <w:rPr>
                <w:rFonts w:ascii="仿宋" w:hAnsi="仿宋" w:eastAsia="仿宋" w:cs="Times New Roman"/>
                <w:bCs w:val="0"/>
              </w:rPr>
              <w:t>快充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hint="eastAsia" w:ascii="仿宋" w:hAnsi="仿宋" w:eastAsia="仿宋" w:cs="Times New Roman"/>
                <w:bCs w:val="0"/>
              </w:rPr>
              <w:t>夜</w:t>
            </w:r>
            <w:r>
              <w:rPr>
                <w:rFonts w:ascii="仿宋" w:hAnsi="仿宋" w:eastAsia="仿宋" w:cs="Times New Roman"/>
                <w:bCs w:val="0"/>
              </w:rPr>
              <w:t>间</w:t>
            </w:r>
            <w:r>
              <w:rPr>
                <w:rFonts w:hint="eastAsia" w:ascii="仿宋" w:hAnsi="仿宋" w:eastAsia="仿宋" w:cs="Times New Roman"/>
                <w:bCs w:val="0"/>
              </w:rPr>
              <w:t>慢充</w:t>
            </w:r>
          </w:p>
        </w:tc>
      </w:tr>
      <w:tr>
        <w:tblPrEx>
          <w:tblCellMar>
            <w:top w:w="0" w:type="dxa"/>
            <w:left w:w="108" w:type="dxa"/>
            <w:bottom w:w="0" w:type="dxa"/>
            <w:right w:w="108" w:type="dxa"/>
          </w:tblCellMar>
        </w:tblPrEx>
        <w:trPr>
          <w:trHeight w:val="48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公务车</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运行时间间断，拥有专用停车场站或单位内部停车场</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夜间慢充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日间</w:t>
            </w:r>
            <w:r>
              <w:rPr>
                <w:rFonts w:hint="eastAsia" w:ascii="仿宋" w:hAnsi="仿宋" w:eastAsia="仿宋" w:cs="Times New Roman"/>
                <w:bCs w:val="0"/>
              </w:rPr>
              <w:t>快</w:t>
            </w:r>
            <w:r>
              <w:rPr>
                <w:rFonts w:ascii="仿宋" w:hAnsi="仿宋" w:eastAsia="仿宋" w:cs="Times New Roman"/>
                <w:bCs w:val="0"/>
              </w:rPr>
              <w:t>充</w:t>
            </w:r>
          </w:p>
        </w:tc>
      </w:tr>
      <w:tr>
        <w:tblPrEx>
          <w:tblCellMar>
            <w:top w:w="0" w:type="dxa"/>
            <w:left w:w="108" w:type="dxa"/>
            <w:bottom w:w="0" w:type="dxa"/>
            <w:right w:w="108" w:type="dxa"/>
          </w:tblCellMar>
        </w:tblPrEx>
        <w:trPr>
          <w:trHeight w:val="48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环卫、物流等</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运行时间间断，一般停在企事业单位内部停车场</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夜间慢充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日间快充</w:t>
            </w:r>
          </w:p>
        </w:tc>
      </w:tr>
      <w:tr>
        <w:tblPrEx>
          <w:tblCellMar>
            <w:top w:w="0" w:type="dxa"/>
            <w:left w:w="108" w:type="dxa"/>
            <w:bottom w:w="0" w:type="dxa"/>
            <w:right w:w="108" w:type="dxa"/>
          </w:tblCellMar>
        </w:tblPrEx>
        <w:trPr>
          <w:trHeight w:val="480" w:hRule="atLeast"/>
          <w:jc w:val="center"/>
        </w:trPr>
        <w:tc>
          <w:tcPr>
            <w:tcW w:w="1565" w:type="dxa"/>
            <w:tcBorders>
              <w:top w:val="nil"/>
              <w:left w:val="single" w:color="auto" w:sz="4" w:space="0"/>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私人乘用车</w:t>
            </w:r>
          </w:p>
        </w:tc>
        <w:tc>
          <w:tcPr>
            <w:tcW w:w="4115"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运行时间间断，夜间一般停在小区停车场</w:t>
            </w:r>
          </w:p>
        </w:tc>
        <w:tc>
          <w:tcPr>
            <w:tcW w:w="126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夜间慢充</w:t>
            </w:r>
          </w:p>
        </w:tc>
        <w:tc>
          <w:tcPr>
            <w:tcW w:w="1178" w:type="dxa"/>
            <w:tcBorders>
              <w:top w:val="nil"/>
              <w:left w:val="nil"/>
              <w:bottom w:val="single" w:color="auto" w:sz="4" w:space="0"/>
              <w:right w:val="single" w:color="auto" w:sz="4" w:space="0"/>
            </w:tcBorders>
            <w:shd w:val="clear" w:color="auto" w:fill="auto"/>
            <w:vAlign w:val="center"/>
          </w:tcPr>
          <w:p>
            <w:pPr>
              <w:pStyle w:val="37"/>
              <w:rPr>
                <w:rFonts w:ascii="仿宋" w:hAnsi="仿宋" w:eastAsia="仿宋" w:cs="Times New Roman"/>
                <w:bCs w:val="0"/>
              </w:rPr>
            </w:pPr>
            <w:r>
              <w:rPr>
                <w:rFonts w:ascii="仿宋" w:hAnsi="仿宋" w:eastAsia="仿宋" w:cs="Times New Roman"/>
                <w:bCs w:val="0"/>
              </w:rPr>
              <w:t>日间</w:t>
            </w:r>
            <w:r>
              <w:rPr>
                <w:rFonts w:hint="eastAsia" w:ascii="仿宋" w:hAnsi="仿宋" w:eastAsia="仿宋" w:cs="Times New Roman"/>
                <w:bCs w:val="0"/>
              </w:rPr>
              <w:t>快</w:t>
            </w:r>
            <w:r>
              <w:rPr>
                <w:rFonts w:ascii="仿宋" w:hAnsi="仿宋" w:eastAsia="仿宋" w:cs="Times New Roman"/>
                <w:bCs w:val="0"/>
              </w:rPr>
              <w:t>充</w:t>
            </w:r>
          </w:p>
        </w:tc>
      </w:tr>
    </w:tbl>
    <w:p>
      <w:pPr>
        <w:pStyle w:val="3"/>
        <w:spacing w:line="560" w:lineRule="exact"/>
        <w:rPr>
          <w:rFonts w:ascii="仿宋" w:hAnsi="仿宋" w:eastAsia="仿宋"/>
          <w:color w:val="auto"/>
          <w:szCs w:val="22"/>
        </w:rPr>
      </w:pPr>
      <w:bookmarkStart w:id="103" w:name="_Toc68014586"/>
      <w:bookmarkStart w:id="104" w:name="_Toc101299809"/>
      <w:r>
        <w:rPr>
          <w:rFonts w:ascii="仿宋" w:hAnsi="仿宋" w:eastAsia="仿宋"/>
          <w:color w:val="auto"/>
          <w:szCs w:val="22"/>
        </w:rPr>
        <w:t>充电设施</w:t>
      </w:r>
      <w:bookmarkEnd w:id="103"/>
      <w:r>
        <w:rPr>
          <w:rFonts w:ascii="仿宋" w:hAnsi="仿宋" w:eastAsia="仿宋"/>
          <w:color w:val="auto"/>
          <w:szCs w:val="22"/>
        </w:rPr>
        <w:t>配置原则</w:t>
      </w:r>
      <w:bookmarkEnd w:id="104"/>
    </w:p>
    <w:p>
      <w:pPr>
        <w:pStyle w:val="4"/>
        <w:spacing w:before="0" w:after="0" w:line="560" w:lineRule="exact"/>
        <w:rPr>
          <w:rFonts w:ascii="仿宋" w:hAnsi="仿宋" w:eastAsia="仿宋"/>
          <w:szCs w:val="22"/>
        </w:rPr>
      </w:pPr>
      <w:r>
        <w:rPr>
          <w:rFonts w:ascii="仿宋" w:hAnsi="仿宋" w:eastAsia="仿宋"/>
          <w:szCs w:val="22"/>
        </w:rPr>
        <w:t>确定地区规划车桩比</w:t>
      </w:r>
    </w:p>
    <w:p>
      <w:pPr>
        <w:spacing w:line="360" w:lineRule="auto"/>
        <w:ind w:firstLine="560" w:firstLineChars="200"/>
        <w:rPr>
          <w:rFonts w:ascii="仿宋" w:hAnsi="仿宋" w:eastAsia="仿宋"/>
          <w:sz w:val="28"/>
          <w:szCs w:val="28"/>
        </w:rPr>
      </w:pPr>
      <w:r>
        <w:rPr>
          <w:rFonts w:ascii="仿宋" w:hAnsi="仿宋" w:eastAsia="仿宋"/>
          <w:sz w:val="28"/>
          <w:szCs w:val="28"/>
        </w:rPr>
        <w:t>根据国家、省级充电设施配置要求，综合国内相关城市的车桩比选取经验，提出本次规划车桩比取值。</w:t>
      </w:r>
    </w:p>
    <w:p>
      <w:pPr>
        <w:keepNext/>
        <w:keepLines/>
        <w:spacing w:line="360" w:lineRule="auto"/>
        <w:ind w:firstLine="562"/>
        <w:rPr>
          <w:rFonts w:ascii="仿宋" w:hAnsi="仿宋" w:eastAsia="仿宋"/>
          <w:bCs/>
          <w:sz w:val="28"/>
          <w:szCs w:val="28"/>
        </w:rPr>
      </w:pPr>
      <w:r>
        <w:rPr>
          <w:rFonts w:ascii="仿宋" w:hAnsi="仿宋" w:eastAsia="仿宋"/>
          <w:bCs/>
          <w:sz w:val="28"/>
          <w:szCs w:val="28"/>
        </w:rPr>
        <w:t>（1）国家、省级充电设施配置要求</w:t>
      </w:r>
    </w:p>
    <w:p>
      <w:pPr>
        <w:pStyle w:val="8"/>
        <w:spacing w:after="0" w:afterLines="0" w:line="240" w:lineRule="auto"/>
        <w:rPr>
          <w:rFonts w:ascii="仿宋" w:hAnsi="仿宋" w:eastAsia="仿宋"/>
          <w:b w:val="0"/>
        </w:rPr>
      </w:pPr>
      <w:r>
        <w:rPr>
          <w:rFonts w:ascii="仿宋" w:hAnsi="仿宋" w:eastAsia="仿宋"/>
          <w:b w:val="0"/>
        </w:rPr>
        <w:t>表 5</w:t>
      </w:r>
      <w:r>
        <w:rPr>
          <w:rFonts w:ascii="仿宋" w:hAnsi="仿宋" w:eastAsia="仿宋"/>
          <w:b w:val="0"/>
        </w:rPr>
        <w:noBreakHyphen/>
      </w:r>
      <w:r>
        <w:rPr>
          <w:rFonts w:ascii="仿宋" w:hAnsi="仿宋" w:eastAsia="仿宋"/>
          <w:b w:val="0"/>
        </w:rPr>
        <w:fldChar w:fldCharType="begin"/>
      </w:r>
      <w:r>
        <w:rPr>
          <w:rFonts w:ascii="仿宋" w:hAnsi="仿宋" w:eastAsia="仿宋"/>
          <w:b w:val="0"/>
        </w:rPr>
        <w:instrText xml:space="preserve"> SEQ 表 \* ARABIC \s 1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t xml:space="preserve">  国家、省级充电设施配置要求对比表</w:t>
      </w:r>
    </w:p>
    <w:tbl>
      <w:tblPr>
        <w:tblStyle w:val="2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2836"/>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58" w:type="dxa"/>
            <w:shd w:val="clear" w:color="auto" w:fill="auto"/>
            <w:vAlign w:val="center"/>
          </w:tcPr>
          <w:p>
            <w:pPr>
              <w:pStyle w:val="37"/>
              <w:rPr>
                <w:rFonts w:ascii="仿宋" w:hAnsi="仿宋" w:eastAsia="仿宋" w:cs="Times New Roman"/>
              </w:rPr>
            </w:pPr>
            <w:r>
              <w:rPr>
                <w:rFonts w:ascii="仿宋" w:hAnsi="仿宋" w:eastAsia="仿宋" w:cs="Times New Roman"/>
              </w:rPr>
              <w:t>类  别</w:t>
            </w:r>
          </w:p>
        </w:tc>
        <w:tc>
          <w:tcPr>
            <w:tcW w:w="2836" w:type="dxa"/>
            <w:shd w:val="clear" w:color="auto" w:fill="auto"/>
            <w:vAlign w:val="center"/>
          </w:tcPr>
          <w:p>
            <w:pPr>
              <w:pStyle w:val="37"/>
              <w:rPr>
                <w:rFonts w:ascii="仿宋" w:hAnsi="仿宋" w:eastAsia="仿宋" w:cs="Times New Roman"/>
              </w:rPr>
            </w:pPr>
            <w:r>
              <w:rPr>
                <w:rFonts w:ascii="仿宋" w:hAnsi="仿宋" w:eastAsia="仿宋" w:cs="Times New Roman"/>
              </w:rPr>
              <w:t>国  家</w:t>
            </w:r>
          </w:p>
        </w:tc>
        <w:tc>
          <w:tcPr>
            <w:tcW w:w="2202" w:type="dxa"/>
            <w:shd w:val="clear" w:color="auto" w:fill="auto"/>
            <w:vAlign w:val="center"/>
          </w:tcPr>
          <w:p>
            <w:pPr>
              <w:pStyle w:val="37"/>
              <w:rPr>
                <w:rFonts w:ascii="仿宋" w:hAnsi="仿宋" w:eastAsia="仿宋" w:cs="Times New Roman"/>
              </w:rPr>
            </w:pPr>
            <w:r>
              <w:rPr>
                <w:rFonts w:ascii="仿宋" w:hAnsi="仿宋" w:eastAsia="仿宋" w:cs="Times New Roman"/>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5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公交车桩车比</w:t>
            </w:r>
          </w:p>
        </w:tc>
        <w:tc>
          <w:tcPr>
            <w:tcW w:w="283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220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5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出租车桩车比</w:t>
            </w:r>
          </w:p>
        </w:tc>
        <w:tc>
          <w:tcPr>
            <w:tcW w:w="283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220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5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作业车桩车比</w:t>
            </w:r>
          </w:p>
        </w:tc>
        <w:tc>
          <w:tcPr>
            <w:tcW w:w="283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220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25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公共充电桩桩车比</w:t>
            </w:r>
          </w:p>
        </w:tc>
        <w:tc>
          <w:tcPr>
            <w:tcW w:w="283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示范推广地区的新能源汽车推广应用城市≥1:8</w:t>
            </w:r>
          </w:p>
        </w:tc>
        <w:tc>
          <w:tcPr>
            <w:tcW w:w="220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25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公务及私人专用充电桩桩车比</w:t>
            </w:r>
          </w:p>
        </w:tc>
        <w:tc>
          <w:tcPr>
            <w:tcW w:w="283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w:t>
            </w:r>
          </w:p>
        </w:tc>
        <w:tc>
          <w:tcPr>
            <w:tcW w:w="2202"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w:t>
            </w:r>
          </w:p>
        </w:tc>
      </w:tr>
    </w:tbl>
    <w:p>
      <w:pPr>
        <w:pStyle w:val="56"/>
        <w:ind w:firstLine="440"/>
        <w:rPr>
          <w:rFonts w:ascii="仿宋" w:hAnsi="仿宋" w:eastAsia="仿宋"/>
          <w:sz w:val="22"/>
        </w:rPr>
      </w:pPr>
      <w:r>
        <w:rPr>
          <w:rFonts w:ascii="仿宋" w:hAnsi="仿宋" w:eastAsia="仿宋"/>
          <w:sz w:val="22"/>
        </w:rPr>
        <w:t>注：国家充电设施配置要求或方案来源于《电动汽车充电基础设施发展指南(2015-2020年)》、《国务院办公厅关于加快电动汽车充电基础设施建设的指导意见》，湖南省充电设施配置要求或方案来源于《湖南省电动汽车充电基础设施专项规划(2016-2020年)》。</w:t>
      </w:r>
    </w:p>
    <w:p>
      <w:pPr>
        <w:keepNext/>
        <w:keepLines/>
        <w:spacing w:line="360" w:lineRule="auto"/>
        <w:ind w:firstLine="562"/>
        <w:rPr>
          <w:rFonts w:ascii="仿宋" w:hAnsi="仿宋" w:eastAsia="仿宋"/>
          <w:bCs/>
          <w:sz w:val="28"/>
          <w:szCs w:val="28"/>
        </w:rPr>
      </w:pPr>
      <w:r>
        <w:rPr>
          <w:rFonts w:ascii="仿宋" w:hAnsi="仿宋" w:eastAsia="仿宋"/>
          <w:bCs/>
          <w:sz w:val="28"/>
          <w:szCs w:val="28"/>
        </w:rPr>
        <w:t>（2）国内相关城市车桩比选取经验</w:t>
      </w:r>
    </w:p>
    <w:p>
      <w:pPr>
        <w:spacing w:line="360" w:lineRule="auto"/>
        <w:ind w:firstLine="560" w:firstLineChars="200"/>
        <w:rPr>
          <w:rFonts w:ascii="仿宋" w:hAnsi="仿宋" w:eastAsia="仿宋"/>
          <w:sz w:val="28"/>
          <w:szCs w:val="28"/>
        </w:rPr>
      </w:pPr>
      <w:r>
        <w:rPr>
          <w:rFonts w:ascii="仿宋" w:hAnsi="仿宋" w:eastAsia="仿宋"/>
          <w:bCs/>
          <w:sz w:val="28"/>
          <w:szCs w:val="28"/>
        </w:rPr>
        <w:t>1）广州</w:t>
      </w:r>
      <w:r>
        <w:rPr>
          <w:rFonts w:ascii="仿宋" w:hAnsi="仿宋" w:eastAsia="仿宋"/>
          <w:sz w:val="28"/>
          <w:szCs w:val="28"/>
        </w:rPr>
        <w:t>：按公共快充柜数10:1配置公共快充站，家庭用车和公务车按照1:1配置慢充桩。</w:t>
      </w:r>
    </w:p>
    <w:p>
      <w:pPr>
        <w:spacing w:line="360" w:lineRule="auto"/>
        <w:ind w:firstLine="560" w:firstLineChars="200"/>
        <w:rPr>
          <w:rFonts w:ascii="仿宋" w:hAnsi="仿宋" w:eastAsia="仿宋"/>
          <w:sz w:val="28"/>
          <w:szCs w:val="28"/>
        </w:rPr>
      </w:pPr>
      <w:r>
        <w:rPr>
          <w:rFonts w:ascii="仿宋" w:hAnsi="仿宋" w:eastAsia="仿宋"/>
          <w:bCs/>
          <w:sz w:val="28"/>
          <w:szCs w:val="28"/>
        </w:rPr>
        <w:t>2）南京</w:t>
      </w:r>
      <w:r>
        <w:rPr>
          <w:rFonts w:ascii="仿宋" w:hAnsi="仿宋" w:eastAsia="仿宋"/>
          <w:sz w:val="28"/>
          <w:szCs w:val="28"/>
        </w:rPr>
        <w:t>：建设有13个出租车充电站，284个充电桩位，桩位原则上以车桩3:1的比例配置，主要由比亚迪公司建设，服务约800辆充电出租车，充电时间2-2.5小时，续航里程250-300km。</w:t>
      </w:r>
    </w:p>
    <w:p>
      <w:pPr>
        <w:spacing w:line="360" w:lineRule="auto"/>
        <w:ind w:firstLine="560" w:firstLineChars="200"/>
        <w:rPr>
          <w:rFonts w:ascii="仿宋" w:hAnsi="仿宋" w:eastAsia="仿宋"/>
          <w:sz w:val="28"/>
          <w:szCs w:val="28"/>
        </w:rPr>
      </w:pPr>
      <w:r>
        <w:rPr>
          <w:rFonts w:ascii="仿宋" w:hAnsi="仿宋" w:eastAsia="仿宋"/>
          <w:bCs/>
          <w:sz w:val="28"/>
          <w:szCs w:val="28"/>
        </w:rPr>
        <w:t>3）合肥</w:t>
      </w:r>
      <w:r>
        <w:rPr>
          <w:rFonts w:ascii="仿宋" w:hAnsi="仿宋" w:eastAsia="仿宋"/>
          <w:sz w:val="28"/>
          <w:szCs w:val="28"/>
        </w:rPr>
        <w:t>：公交车、短途客运：2:1-3:1；私乘车、出租车：4:1-6:1；小型物流：10:1；环卫车：4:1。各车型交流桩按照1:1进行配置。</w:t>
      </w:r>
    </w:p>
    <w:p>
      <w:pPr>
        <w:spacing w:line="360" w:lineRule="auto"/>
        <w:ind w:firstLine="560" w:firstLineChars="200"/>
        <w:rPr>
          <w:rFonts w:ascii="仿宋" w:hAnsi="仿宋" w:eastAsia="仿宋"/>
          <w:sz w:val="28"/>
          <w:szCs w:val="28"/>
        </w:rPr>
      </w:pPr>
      <w:r>
        <w:rPr>
          <w:rFonts w:ascii="仿宋" w:hAnsi="仿宋" w:eastAsia="仿宋"/>
          <w:bCs/>
          <w:sz w:val="28"/>
          <w:szCs w:val="28"/>
        </w:rPr>
        <w:t>4）深圳</w:t>
      </w:r>
      <w:r>
        <w:rPr>
          <w:rFonts w:ascii="仿宋" w:hAnsi="仿宋" w:eastAsia="仿宋"/>
          <w:sz w:val="28"/>
          <w:szCs w:val="28"/>
        </w:rPr>
        <w:t>：出租车快速充电桩5:1，私人乘用车慢充1:1.5。</w:t>
      </w:r>
    </w:p>
    <w:p>
      <w:pPr>
        <w:spacing w:line="360" w:lineRule="auto"/>
        <w:ind w:firstLine="560" w:firstLineChars="200"/>
        <w:rPr>
          <w:rFonts w:ascii="仿宋" w:hAnsi="仿宋" w:eastAsia="仿宋"/>
          <w:sz w:val="28"/>
          <w:szCs w:val="28"/>
        </w:rPr>
      </w:pPr>
      <w:r>
        <w:rPr>
          <w:rFonts w:ascii="仿宋" w:hAnsi="仿宋" w:eastAsia="仿宋"/>
          <w:bCs/>
          <w:sz w:val="28"/>
          <w:szCs w:val="28"/>
        </w:rPr>
        <w:t>5）北京</w:t>
      </w:r>
      <w:r>
        <w:rPr>
          <w:rFonts w:ascii="仿宋" w:hAnsi="仿宋" w:eastAsia="仿宋"/>
          <w:sz w:val="28"/>
          <w:szCs w:val="28"/>
        </w:rPr>
        <w:t>：对市区电动出租车按照不低于3：1的车桩比建设快速充电桩；对区域电动出租车分别按照不低于1：1、5：1的车桩比建设交流充电桩、快速充电桩；同时在出租企业建设慢充桩。</w:t>
      </w:r>
    </w:p>
    <w:p>
      <w:pPr>
        <w:keepNext/>
        <w:keepLines/>
        <w:spacing w:line="360" w:lineRule="auto"/>
        <w:ind w:firstLine="562"/>
        <w:rPr>
          <w:rFonts w:ascii="仿宋" w:hAnsi="仿宋" w:eastAsia="仿宋"/>
          <w:bCs/>
          <w:sz w:val="28"/>
          <w:szCs w:val="28"/>
        </w:rPr>
      </w:pPr>
      <w:r>
        <w:rPr>
          <w:rFonts w:ascii="仿宋" w:hAnsi="仿宋" w:eastAsia="仿宋"/>
          <w:bCs/>
          <w:sz w:val="28"/>
          <w:szCs w:val="28"/>
        </w:rPr>
        <w:t>（3）岳阳市规划车桩比</w:t>
      </w:r>
    </w:p>
    <w:p>
      <w:pPr>
        <w:spacing w:line="360" w:lineRule="auto"/>
        <w:ind w:firstLine="560" w:firstLineChars="200"/>
        <w:rPr>
          <w:rFonts w:ascii="仿宋" w:hAnsi="仿宋" w:eastAsia="仿宋"/>
          <w:sz w:val="28"/>
          <w:szCs w:val="28"/>
        </w:rPr>
      </w:pPr>
      <w:r>
        <w:rPr>
          <w:rFonts w:ascii="仿宋" w:hAnsi="仿宋" w:eastAsia="仿宋"/>
          <w:sz w:val="28"/>
          <w:szCs w:val="28"/>
        </w:rPr>
        <w:t>通过对政策文件、国内先进城市车桩比选取经验，结合岳阳市电动汽车发展水平、经济发展水平，制定了本次规划岳阳市车桩比取值，见下表所示。</w:t>
      </w:r>
    </w:p>
    <w:p>
      <w:pPr>
        <w:pStyle w:val="8"/>
        <w:spacing w:after="0" w:afterLines="0" w:line="240" w:lineRule="auto"/>
        <w:rPr>
          <w:rFonts w:ascii="仿宋" w:hAnsi="仿宋" w:eastAsia="仿宋"/>
          <w:b w:val="0"/>
        </w:rPr>
      </w:pPr>
      <w:r>
        <w:rPr>
          <w:rFonts w:ascii="仿宋" w:hAnsi="仿宋" w:eastAsia="仿宋"/>
          <w:b w:val="0"/>
        </w:rPr>
        <w:t>表 5</w:t>
      </w:r>
      <w:r>
        <w:rPr>
          <w:rFonts w:ascii="仿宋" w:hAnsi="仿宋" w:eastAsia="仿宋"/>
          <w:b w:val="0"/>
        </w:rPr>
        <w:noBreakHyphen/>
      </w:r>
      <w:r>
        <w:rPr>
          <w:rFonts w:ascii="仿宋" w:hAnsi="仿宋" w:eastAsia="仿宋"/>
          <w:b w:val="0"/>
        </w:rPr>
        <w:fldChar w:fldCharType="begin"/>
      </w:r>
      <w:r>
        <w:rPr>
          <w:rFonts w:ascii="仿宋" w:hAnsi="仿宋" w:eastAsia="仿宋"/>
          <w:b w:val="0"/>
        </w:rPr>
        <w:instrText xml:space="preserve"> SEQ 表 \* ARABIC \s 1 </w:instrText>
      </w:r>
      <w:r>
        <w:rPr>
          <w:rFonts w:ascii="仿宋" w:hAnsi="仿宋" w:eastAsia="仿宋"/>
          <w:b w:val="0"/>
        </w:rPr>
        <w:fldChar w:fldCharType="separate"/>
      </w:r>
      <w:r>
        <w:rPr>
          <w:rFonts w:ascii="仿宋" w:hAnsi="仿宋" w:eastAsia="仿宋"/>
          <w:b w:val="0"/>
        </w:rPr>
        <w:t>3</w:t>
      </w:r>
      <w:r>
        <w:rPr>
          <w:rFonts w:ascii="仿宋" w:hAnsi="仿宋" w:eastAsia="仿宋"/>
          <w:b w:val="0"/>
        </w:rPr>
        <w:fldChar w:fldCharType="end"/>
      </w:r>
      <w:r>
        <w:rPr>
          <w:rFonts w:ascii="仿宋" w:hAnsi="仿宋" w:eastAsia="仿宋"/>
          <w:b w:val="0"/>
        </w:rPr>
        <w:t xml:space="preserve">  2025年岳阳市车桩比取值</w:t>
      </w:r>
    </w:p>
    <w:tbl>
      <w:tblPr>
        <w:tblStyle w:val="25"/>
        <w:tblW w:w="830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960"/>
        <w:gridCol w:w="1297"/>
        <w:gridCol w:w="1138"/>
        <w:gridCol w:w="1157"/>
        <w:gridCol w:w="1309"/>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rPr>
            </w:pPr>
            <w:r>
              <w:rPr>
                <w:rFonts w:ascii="仿宋" w:hAnsi="仿宋" w:eastAsia="仿宋" w:cs="Times New Roman"/>
              </w:rPr>
              <w:t>车型</w:t>
            </w:r>
          </w:p>
        </w:tc>
        <w:tc>
          <w:tcPr>
            <w:tcW w:w="960" w:type="dxa"/>
            <w:shd w:val="clear" w:color="auto" w:fill="auto"/>
            <w:vAlign w:val="center"/>
          </w:tcPr>
          <w:p>
            <w:pPr>
              <w:pStyle w:val="37"/>
              <w:rPr>
                <w:rFonts w:ascii="仿宋" w:hAnsi="仿宋" w:eastAsia="仿宋" w:cs="Times New Roman"/>
              </w:rPr>
            </w:pPr>
            <w:r>
              <w:rPr>
                <w:rFonts w:ascii="仿宋" w:hAnsi="仿宋" w:eastAsia="仿宋" w:cs="Times New Roman"/>
              </w:rPr>
              <w:t>公共桩</w:t>
            </w:r>
          </w:p>
        </w:tc>
        <w:tc>
          <w:tcPr>
            <w:tcW w:w="1297" w:type="dxa"/>
            <w:shd w:val="clear" w:color="auto" w:fill="auto"/>
            <w:vAlign w:val="center"/>
          </w:tcPr>
          <w:p>
            <w:pPr>
              <w:pStyle w:val="37"/>
              <w:rPr>
                <w:rFonts w:ascii="仿宋" w:hAnsi="仿宋" w:eastAsia="仿宋" w:cs="Times New Roman"/>
              </w:rPr>
            </w:pPr>
            <w:r>
              <w:rPr>
                <w:rFonts w:ascii="仿宋" w:hAnsi="仿宋" w:eastAsia="仿宋" w:cs="Times New Roman"/>
              </w:rPr>
              <w:t>车桩比</w:t>
            </w:r>
          </w:p>
        </w:tc>
        <w:tc>
          <w:tcPr>
            <w:tcW w:w="1138" w:type="dxa"/>
            <w:shd w:val="clear" w:color="auto" w:fill="auto"/>
            <w:vAlign w:val="center"/>
          </w:tcPr>
          <w:p>
            <w:pPr>
              <w:pStyle w:val="37"/>
              <w:rPr>
                <w:rFonts w:ascii="仿宋" w:hAnsi="仿宋" w:eastAsia="仿宋" w:cs="Times New Roman"/>
              </w:rPr>
            </w:pPr>
            <w:r>
              <w:rPr>
                <w:rFonts w:ascii="仿宋" w:hAnsi="仿宋" w:eastAsia="仿宋" w:cs="Times New Roman"/>
              </w:rPr>
              <w:t>专用桩</w:t>
            </w:r>
          </w:p>
        </w:tc>
        <w:tc>
          <w:tcPr>
            <w:tcW w:w="1157" w:type="dxa"/>
            <w:shd w:val="clear" w:color="auto" w:fill="auto"/>
            <w:vAlign w:val="center"/>
          </w:tcPr>
          <w:p>
            <w:pPr>
              <w:pStyle w:val="37"/>
              <w:rPr>
                <w:rFonts w:ascii="仿宋" w:hAnsi="仿宋" w:eastAsia="仿宋" w:cs="Times New Roman"/>
              </w:rPr>
            </w:pPr>
            <w:r>
              <w:rPr>
                <w:rFonts w:ascii="仿宋" w:hAnsi="仿宋" w:eastAsia="仿宋" w:cs="Times New Roman"/>
              </w:rPr>
              <w:t>车桩比</w:t>
            </w:r>
          </w:p>
        </w:tc>
        <w:tc>
          <w:tcPr>
            <w:tcW w:w="1309" w:type="dxa"/>
            <w:shd w:val="clear" w:color="auto" w:fill="auto"/>
            <w:vAlign w:val="center"/>
          </w:tcPr>
          <w:p>
            <w:pPr>
              <w:pStyle w:val="37"/>
              <w:rPr>
                <w:rFonts w:ascii="仿宋" w:hAnsi="仿宋" w:eastAsia="仿宋" w:cs="Times New Roman"/>
              </w:rPr>
            </w:pPr>
            <w:r>
              <w:rPr>
                <w:rFonts w:ascii="仿宋" w:hAnsi="仿宋" w:eastAsia="仿宋" w:cs="Times New Roman"/>
              </w:rPr>
              <w:t>自用桩</w:t>
            </w:r>
          </w:p>
        </w:tc>
        <w:tc>
          <w:tcPr>
            <w:tcW w:w="986" w:type="dxa"/>
            <w:shd w:val="clear" w:color="auto" w:fill="auto"/>
            <w:vAlign w:val="center"/>
          </w:tcPr>
          <w:p>
            <w:pPr>
              <w:pStyle w:val="37"/>
              <w:rPr>
                <w:rFonts w:ascii="仿宋" w:hAnsi="仿宋" w:eastAsia="仿宋" w:cs="Times New Roman"/>
              </w:rPr>
            </w:pPr>
            <w:r>
              <w:rPr>
                <w:rFonts w:ascii="仿宋" w:hAnsi="仿宋" w:eastAsia="仿宋" w:cs="Times New Roman"/>
              </w:rPr>
              <w:t>车桩比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私家车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8:1</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30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70%</w:t>
            </w:r>
          </w:p>
        </w:tc>
        <w:tc>
          <w:tcPr>
            <w:tcW w:w="9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出租车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90%</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5</w:t>
            </w:r>
            <w:r>
              <w:rPr>
                <w:rFonts w:hint="eastAsia" w:ascii="仿宋" w:hAnsi="仿宋" w:eastAsia="仿宋" w:cs="Times New Roman"/>
                <w:bCs w:val="0"/>
              </w:rPr>
              <w:t>:1</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5%</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w:t>
            </w:r>
          </w:p>
        </w:tc>
        <w:tc>
          <w:tcPr>
            <w:tcW w:w="1309" w:type="dxa"/>
            <w:shd w:val="clear" w:color="auto" w:fill="auto"/>
            <w:vAlign w:val="center"/>
          </w:tcPr>
          <w:p>
            <w:pPr>
              <w:pStyle w:val="37"/>
              <w:rPr>
                <w:rFonts w:ascii="仿宋" w:hAnsi="仿宋" w:eastAsia="仿宋" w:cs="Times New Roman"/>
                <w:bCs w:val="0"/>
              </w:rPr>
            </w:pPr>
          </w:p>
        </w:tc>
        <w:tc>
          <w:tcPr>
            <w:tcW w:w="986" w:type="dxa"/>
            <w:shd w:val="clear" w:color="auto" w:fill="auto"/>
            <w:vAlign w:val="center"/>
          </w:tcPr>
          <w:p>
            <w:pPr>
              <w:pStyle w:val="37"/>
              <w:rPr>
                <w:rFonts w:ascii="仿宋" w:hAnsi="仿宋" w:eastAsia="仿宋" w:cs="Times New Roman"/>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公交车、客车、观光车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100%</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3:1</w:t>
            </w:r>
          </w:p>
        </w:tc>
        <w:tc>
          <w:tcPr>
            <w:tcW w:w="130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9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环卫车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100%</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4:1</w:t>
            </w:r>
          </w:p>
        </w:tc>
        <w:tc>
          <w:tcPr>
            <w:tcW w:w="1309"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c>
          <w:tcPr>
            <w:tcW w:w="986"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物流车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80%</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10:1</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20%</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1:1</w:t>
            </w:r>
          </w:p>
        </w:tc>
        <w:tc>
          <w:tcPr>
            <w:tcW w:w="1309" w:type="dxa"/>
            <w:shd w:val="clear" w:color="auto" w:fill="auto"/>
            <w:vAlign w:val="center"/>
          </w:tcPr>
          <w:p>
            <w:pPr>
              <w:pStyle w:val="37"/>
              <w:rPr>
                <w:rFonts w:ascii="仿宋" w:hAnsi="仿宋" w:eastAsia="仿宋" w:cs="Times New Roman"/>
                <w:bCs w:val="0"/>
              </w:rPr>
            </w:pPr>
          </w:p>
        </w:tc>
        <w:tc>
          <w:tcPr>
            <w:tcW w:w="986" w:type="dxa"/>
            <w:shd w:val="clear" w:color="auto" w:fill="auto"/>
            <w:vAlign w:val="center"/>
          </w:tcPr>
          <w:p>
            <w:pPr>
              <w:pStyle w:val="37"/>
              <w:rPr>
                <w:rFonts w:ascii="仿宋" w:hAnsi="仿宋" w:eastAsia="仿宋" w:cs="Times New Roman"/>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公务车</w:t>
            </w:r>
          </w:p>
        </w:tc>
        <w:tc>
          <w:tcPr>
            <w:tcW w:w="960"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20%</w:t>
            </w:r>
          </w:p>
        </w:tc>
        <w:tc>
          <w:tcPr>
            <w:tcW w:w="129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8:1-10:1</w:t>
            </w:r>
          </w:p>
        </w:tc>
        <w:tc>
          <w:tcPr>
            <w:tcW w:w="1138"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80%</w:t>
            </w:r>
          </w:p>
        </w:tc>
        <w:tc>
          <w:tcPr>
            <w:tcW w:w="1157" w:type="dxa"/>
            <w:shd w:val="clear" w:color="auto" w:fill="auto"/>
            <w:vAlign w:val="center"/>
          </w:tcPr>
          <w:p>
            <w:pPr>
              <w:pStyle w:val="37"/>
              <w:rPr>
                <w:rFonts w:ascii="仿宋" w:hAnsi="仿宋" w:eastAsia="仿宋" w:cs="Times New Roman"/>
                <w:bCs w:val="0"/>
              </w:rPr>
            </w:pPr>
            <w:r>
              <w:rPr>
                <w:rFonts w:ascii="仿宋" w:hAnsi="仿宋" w:eastAsia="仿宋" w:cs="Times New Roman"/>
                <w:bCs w:val="0"/>
              </w:rPr>
              <w:t>2:1</w:t>
            </w:r>
          </w:p>
        </w:tc>
        <w:tc>
          <w:tcPr>
            <w:tcW w:w="1309" w:type="dxa"/>
            <w:shd w:val="clear" w:color="auto" w:fill="auto"/>
            <w:vAlign w:val="center"/>
          </w:tcPr>
          <w:p>
            <w:pPr>
              <w:pStyle w:val="37"/>
              <w:rPr>
                <w:rFonts w:ascii="仿宋" w:hAnsi="仿宋" w:eastAsia="仿宋" w:cs="Times New Roman"/>
                <w:bCs w:val="0"/>
              </w:rPr>
            </w:pPr>
          </w:p>
        </w:tc>
        <w:tc>
          <w:tcPr>
            <w:tcW w:w="986" w:type="dxa"/>
            <w:shd w:val="clear" w:color="auto" w:fill="auto"/>
            <w:vAlign w:val="center"/>
          </w:tcPr>
          <w:p>
            <w:pPr>
              <w:pStyle w:val="37"/>
              <w:rPr>
                <w:rFonts w:ascii="仿宋" w:hAnsi="仿宋" w:eastAsia="仿宋" w:cs="Times New Roman"/>
                <w:bCs w:val="0"/>
              </w:rPr>
            </w:pPr>
          </w:p>
        </w:tc>
      </w:tr>
    </w:tbl>
    <w:p>
      <w:pPr>
        <w:pStyle w:val="4"/>
        <w:spacing w:before="0" w:after="0" w:line="560" w:lineRule="exact"/>
        <w:rPr>
          <w:rFonts w:ascii="仿宋" w:hAnsi="仿宋" w:eastAsia="仿宋"/>
          <w:szCs w:val="22"/>
        </w:rPr>
      </w:pPr>
      <w:r>
        <w:rPr>
          <w:rFonts w:ascii="仿宋" w:hAnsi="仿宋" w:eastAsia="仿宋"/>
          <w:szCs w:val="22"/>
        </w:rPr>
        <w:t>公共充电设施需求预测方法</w:t>
      </w:r>
    </w:p>
    <w:p>
      <w:pPr>
        <w:spacing w:line="360" w:lineRule="auto"/>
        <w:ind w:firstLine="560" w:firstLineChars="200"/>
        <w:rPr>
          <w:rFonts w:ascii="仿宋" w:hAnsi="仿宋" w:eastAsia="仿宋"/>
          <w:sz w:val="28"/>
          <w:szCs w:val="28"/>
        </w:rPr>
      </w:pPr>
      <w:r>
        <w:rPr>
          <w:rFonts w:ascii="仿宋" w:hAnsi="仿宋" w:eastAsia="仿宋"/>
          <w:sz w:val="28"/>
          <w:szCs w:val="28"/>
        </w:rPr>
        <w:t>根据电动汽车行驶特性，充电行为特性，分3类场景预测电动汽车充电设施建设规模，3类场景分别为：专用充电站（主要服务公交车、</w:t>
      </w:r>
      <w:r>
        <w:rPr>
          <w:rFonts w:hint="eastAsia" w:ascii="仿宋" w:hAnsi="仿宋" w:eastAsia="仿宋"/>
          <w:sz w:val="28"/>
          <w:szCs w:val="28"/>
        </w:rPr>
        <w:t>出</w:t>
      </w:r>
      <w:r>
        <w:rPr>
          <w:rFonts w:ascii="仿宋" w:hAnsi="仿宋" w:eastAsia="仿宋"/>
          <w:sz w:val="28"/>
          <w:szCs w:val="28"/>
        </w:rPr>
        <w:t>租</w:t>
      </w:r>
      <w:r>
        <w:rPr>
          <w:rFonts w:hint="eastAsia" w:ascii="仿宋" w:hAnsi="仿宋" w:eastAsia="仿宋"/>
          <w:sz w:val="28"/>
          <w:szCs w:val="28"/>
        </w:rPr>
        <w:t>车</w:t>
      </w:r>
      <w:r>
        <w:rPr>
          <w:rFonts w:ascii="仿宋" w:hAnsi="仿宋" w:eastAsia="仿宋"/>
          <w:sz w:val="28"/>
          <w:szCs w:val="28"/>
        </w:rPr>
        <w:t>、环卫车充电站）、公共充电站（主要服务出租车、网约车、部分私家车快速充电、部分货车）、单位/居民小区内部私人充电桩。</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预测思路主要分为三个步骤： </w:t>
      </w:r>
    </w:p>
    <w:p>
      <w:pPr>
        <w:spacing w:line="360" w:lineRule="auto"/>
        <w:ind w:firstLine="420" w:firstLineChars="200"/>
        <w:rPr>
          <w:rFonts w:ascii="仿宋" w:hAnsi="仿宋" w:eastAsia="仿宋"/>
        </w:rPr>
      </w:pPr>
      <w:r>
        <w:rPr>
          <w:rFonts w:ascii="仿宋" w:hAnsi="仿宋" w:eastAsia="仿宋"/>
        </w:rPr>
        <w:t xml:space="preserve"> </w:t>
      </w:r>
      <w:r>
        <w:rPr>
          <w:rFonts w:ascii="仿宋" w:hAnsi="仿宋" w:eastAsia="仿宋"/>
          <w:sz w:val="28"/>
          <w:szCs w:val="28"/>
        </w:rPr>
        <w:t>（1）公共充电站</w:t>
      </w:r>
    </w:p>
    <w:p>
      <w:pPr>
        <w:spacing w:line="360" w:lineRule="auto"/>
        <w:rPr>
          <w:rFonts w:ascii="仿宋" w:hAnsi="仿宋" w:eastAsia="仿宋"/>
          <w:sz w:val="28"/>
          <w:szCs w:val="28"/>
        </w:rPr>
      </w:pPr>
      <w:r>
        <w:rPr>
          <w:rFonts w:ascii="仿宋" w:hAnsi="仿宋" w:eastAsia="仿宋"/>
        </w:rPr>
        <w:t xml:space="preserve">      </w:t>
      </w:r>
      <w:r>
        <w:rPr>
          <w:rFonts w:ascii="仿宋" w:hAnsi="仿宋" w:eastAsia="仿宋"/>
          <w:sz w:val="28"/>
          <w:szCs w:val="28"/>
        </w:rPr>
        <w:t xml:space="preserve"> 公用充电站采用同时率系数法进行预测，根据各类型电动汽车保有量预测值，结合不同类型电动汽车的充电特性，设置电动汽车充电同时率系数，“叠加”得到公共充电设施的规模需求。</w:t>
      </w:r>
    </w:p>
    <w:p>
      <w:pPr>
        <w:adjustRightInd w:val="0"/>
        <w:snapToGrid w:val="0"/>
        <w:spacing w:line="360" w:lineRule="auto"/>
        <w:rPr>
          <w:rFonts w:ascii="仿宋" w:hAnsi="仿宋" w:eastAsia="仿宋"/>
          <w:sz w:val="28"/>
          <w:szCs w:val="28"/>
        </w:rPr>
      </w:pPr>
      <m:oMathPara>
        <m:oMath>
          <m:sSub>
            <m:sSubPr>
              <m:ctrlPr>
                <w:rPr>
                  <w:rFonts w:ascii="Cambria Math" w:hAnsi="Cambria Math" w:eastAsia="仿宋"/>
                  <w:i/>
                  <w:sz w:val="28"/>
                  <w:szCs w:val="28"/>
                </w:rPr>
              </m:ctrlPr>
            </m:sSubPr>
            <m:e>
              <m:r>
                <m:rPr/>
                <w:rPr>
                  <w:rFonts w:ascii="Cambria Math" w:hAnsi="Cambria Math" w:eastAsia="仿宋"/>
                  <w:sz w:val="28"/>
                  <w:szCs w:val="28"/>
                </w:rPr>
                <m:t>N</m:t>
              </m:r>
              <m:ctrlPr>
                <w:rPr>
                  <w:rFonts w:ascii="Cambria Math" w:hAnsi="Cambria Math" w:eastAsia="仿宋"/>
                  <w:i/>
                  <w:sz w:val="28"/>
                  <w:szCs w:val="28"/>
                </w:rPr>
              </m:ctrlPr>
            </m:e>
            <m:sub>
              <m:r>
                <m:rPr/>
                <w:rPr>
                  <w:rFonts w:ascii="Cambria Math" w:hAnsi="Cambria Math" w:eastAsia="仿宋"/>
                  <w:sz w:val="28"/>
                  <w:szCs w:val="28"/>
                </w:rPr>
                <m:t>公共</m:t>
              </m:r>
              <m:ctrlPr>
                <w:rPr>
                  <w:rFonts w:ascii="Cambria Math" w:hAnsi="Cambria Math" w:eastAsia="仿宋"/>
                  <w:i/>
                  <w:sz w:val="28"/>
                  <w:szCs w:val="28"/>
                </w:rPr>
              </m:ctrlPr>
            </m:sub>
          </m:sSub>
          <m:r>
            <m:rPr>
              <m:sty m:val="p"/>
            </m:rPr>
            <w:rPr>
              <w:rFonts w:ascii="Cambria Math" w:hAnsi="Cambria Math" w:eastAsia="仿宋"/>
              <w:sz w:val="28"/>
              <w:szCs w:val="28"/>
            </w:rPr>
            <m:t>=</m:t>
          </m:r>
          <m:nary>
            <m:naryPr>
              <m:chr m:val="∑"/>
              <m:limLoc m:val="undOvr"/>
              <m:ctrlPr>
                <w:rPr>
                  <w:rFonts w:ascii="Cambria Math" w:hAnsi="Cambria Math" w:eastAsia="仿宋"/>
                  <w:i/>
                  <w:sz w:val="28"/>
                  <w:szCs w:val="28"/>
                </w:rPr>
              </m:ctrlPr>
            </m:naryPr>
            <m:sub>
              <m:r>
                <m:rPr/>
                <w:rPr>
                  <w:rFonts w:ascii="Cambria Math" w:hAnsi="Cambria Math" w:eastAsia="仿宋"/>
                  <w:sz w:val="28"/>
                  <w:szCs w:val="28"/>
                </w:rPr>
                <m:t>i=1</m:t>
              </m:r>
              <m:ctrlPr>
                <w:rPr>
                  <w:rFonts w:ascii="Cambria Math" w:hAnsi="Cambria Math" w:eastAsia="仿宋"/>
                  <w:i/>
                  <w:sz w:val="28"/>
                  <w:szCs w:val="28"/>
                </w:rPr>
              </m:ctrlPr>
            </m:sub>
            <m:sup>
              <m:r>
                <m:rPr/>
                <w:rPr>
                  <w:rFonts w:ascii="Cambria Math" w:hAnsi="Cambria Math" w:eastAsia="仿宋"/>
                  <w:sz w:val="28"/>
                  <w:szCs w:val="28"/>
                </w:rPr>
                <m:t>i=n</m:t>
              </m:r>
              <m:ctrlPr>
                <w:rPr>
                  <w:rFonts w:ascii="Cambria Math" w:hAnsi="Cambria Math" w:eastAsia="仿宋"/>
                  <w:i/>
                  <w:sz w:val="28"/>
                  <w:szCs w:val="28"/>
                </w:rPr>
              </m:ctrlPr>
            </m:sup>
            <m:e>
              <m:sSub>
                <m:sSubPr>
                  <m:ctrlPr>
                    <w:rPr>
                      <w:rFonts w:ascii="Cambria Math" w:hAnsi="Cambria Math" w:eastAsia="仿宋"/>
                      <w:i/>
                      <w:sz w:val="28"/>
                      <w:szCs w:val="28"/>
                    </w:rPr>
                  </m:ctrlPr>
                </m:sSubPr>
                <m:e>
                  <m:r>
                    <m:rPr/>
                    <w:rPr>
                      <w:rFonts w:ascii="Cambria Math" w:hAnsi="Cambria Math" w:eastAsia="仿宋"/>
                      <w:sz w:val="28"/>
                      <w:szCs w:val="28"/>
                    </w:rPr>
                    <m:t>N</m:t>
                  </m:r>
                  <m:ctrlPr>
                    <w:rPr>
                      <w:rFonts w:ascii="Cambria Math" w:hAnsi="Cambria Math" w:eastAsia="仿宋"/>
                      <w:i/>
                      <w:sz w:val="28"/>
                      <w:szCs w:val="28"/>
                    </w:rPr>
                  </m:ctrlPr>
                </m:e>
                <m:sub>
                  <m:r>
                    <m:rPr/>
                    <w:rPr>
                      <w:rFonts w:ascii="Cambria Math" w:hAnsi="Cambria Math" w:eastAsia="仿宋"/>
                      <w:sz w:val="28"/>
                      <w:szCs w:val="28"/>
                    </w:rPr>
                    <m:t>i</m:t>
                  </m:r>
                  <m:ctrlPr>
                    <w:rPr>
                      <w:rFonts w:ascii="Cambria Math" w:hAnsi="Cambria Math" w:eastAsia="仿宋"/>
                      <w:i/>
                      <w:sz w:val="28"/>
                      <w:szCs w:val="28"/>
                    </w:rPr>
                  </m:ctrlPr>
                </m:sub>
              </m:sSub>
              <m:r>
                <m:rPr/>
                <w:rPr>
                  <w:rFonts w:ascii="Cambria Math" w:hAnsi="Cambria Math" w:eastAsia="仿宋"/>
                  <w:sz w:val="28"/>
                  <w:szCs w:val="28"/>
                </w:rPr>
                <m:t>×</m:t>
              </m:r>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w:rPr>
                      <w:rFonts w:ascii="Cambria Math" w:hAnsi="Cambria Math" w:eastAsia="仿宋"/>
                      <w:sz w:val="28"/>
                      <w:szCs w:val="28"/>
                    </w:rPr>
                    <m:t>i</m:t>
                  </m:r>
                  <m:ctrlPr>
                    <w:rPr>
                      <w:rFonts w:ascii="Cambria Math" w:hAnsi="Cambria Math" w:eastAsia="仿宋"/>
                      <w:i/>
                      <w:sz w:val="28"/>
                      <w:szCs w:val="28"/>
                    </w:rPr>
                  </m:ctrlPr>
                </m:sub>
              </m:sSub>
              <m:r>
                <m:rPr/>
                <w:rPr>
                  <w:rFonts w:ascii="Cambria Math" w:hAnsi="Cambria Math" w:eastAsia="仿宋"/>
                  <w:sz w:val="28"/>
                  <w:szCs w:val="28"/>
                </w:rPr>
                <m:t>×</m:t>
              </m:r>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w:rPr>
                      <w:rFonts w:ascii="Cambria Math" w:hAnsi="Cambria Math" w:eastAsia="仿宋"/>
                      <w:sz w:val="28"/>
                      <w:szCs w:val="28"/>
                    </w:rPr>
                    <m:t>公共</m:t>
                  </m:r>
                  <m:ctrlPr>
                    <w:rPr>
                      <w:rFonts w:ascii="Cambria Math" w:hAnsi="Cambria Math" w:eastAsia="仿宋"/>
                      <w:i/>
                      <w:sz w:val="28"/>
                      <w:szCs w:val="28"/>
                    </w:rPr>
                  </m:ctrlPr>
                </m:sub>
              </m:sSub>
              <m:ctrlPr>
                <w:rPr>
                  <w:rFonts w:ascii="Cambria Math" w:hAnsi="Cambria Math" w:eastAsia="仿宋"/>
                  <w:i/>
                  <w:sz w:val="28"/>
                  <w:szCs w:val="28"/>
                </w:rPr>
              </m:ctrlPr>
            </m:e>
          </m:nary>
        </m:oMath>
      </m:oMathPara>
    </w:p>
    <w:p>
      <w:pPr>
        <w:adjustRightInd w:val="0"/>
        <w:snapToGrid w:val="0"/>
        <w:spacing w:line="360" w:lineRule="auto"/>
        <w:rPr>
          <w:rFonts w:ascii="仿宋" w:hAnsi="仿宋" w:eastAsia="仿宋"/>
          <w:sz w:val="28"/>
          <w:szCs w:val="28"/>
        </w:rPr>
      </w:pPr>
      <m:oMathPara>
        <m:oMath>
          <m:sSub>
            <m:sSubPr>
              <m:ctrlPr>
                <w:rPr>
                  <w:rFonts w:ascii="Cambria Math" w:hAnsi="Cambria Math" w:eastAsia="仿宋"/>
                  <w:i/>
                  <w:sz w:val="28"/>
                  <w:szCs w:val="28"/>
                </w:rPr>
              </m:ctrlPr>
            </m:sSubPr>
            <m:e>
              <m:r>
                <m:rPr/>
                <w:rPr>
                  <w:rFonts w:ascii="Cambria Math" w:hAnsi="Cambria Math" w:eastAsia="仿宋"/>
                  <w:sz w:val="28"/>
                  <w:szCs w:val="28"/>
                </w:rPr>
                <m:t>P</m:t>
              </m:r>
              <m:ctrlPr>
                <w:rPr>
                  <w:rFonts w:ascii="Cambria Math" w:hAnsi="Cambria Math" w:eastAsia="仿宋"/>
                  <w:i/>
                  <w:sz w:val="28"/>
                  <w:szCs w:val="28"/>
                </w:rPr>
              </m:ctrlPr>
            </m:e>
            <m:sub>
              <m:r>
                <m:rPr/>
                <w:rPr>
                  <w:rFonts w:ascii="Cambria Math" w:hAnsi="Cambria Math" w:eastAsia="仿宋"/>
                  <w:sz w:val="28"/>
                  <w:szCs w:val="28"/>
                </w:rPr>
                <m:t>公共</m:t>
              </m:r>
              <m:ctrlPr>
                <w:rPr>
                  <w:rFonts w:ascii="Cambria Math" w:hAnsi="Cambria Math" w:eastAsia="仿宋"/>
                  <w:i/>
                  <w:sz w:val="28"/>
                  <w:szCs w:val="28"/>
                </w:rPr>
              </m:ctrlPr>
            </m:sub>
          </m:sSub>
          <m:r>
            <m:rPr/>
            <w:rPr>
              <w:rFonts w:ascii="Cambria Math" w:hAnsi="Cambria Math" w:eastAsia="仿宋"/>
              <w:sz w:val="28"/>
              <w:szCs w:val="28"/>
            </w:rPr>
            <m:t>=</m:t>
          </m:r>
          <m:sSub>
            <m:sSubPr>
              <m:ctrlPr>
                <w:rPr>
                  <w:rFonts w:ascii="Cambria Math" w:hAnsi="Cambria Math" w:eastAsia="仿宋"/>
                  <w:i/>
                  <w:sz w:val="28"/>
                  <w:szCs w:val="28"/>
                </w:rPr>
              </m:ctrlPr>
            </m:sSubPr>
            <m:e>
              <m:r>
                <m:rPr/>
                <w:rPr>
                  <w:rFonts w:ascii="Cambria Math" w:hAnsi="Cambria Math" w:eastAsia="仿宋"/>
                  <w:sz w:val="28"/>
                  <w:szCs w:val="28"/>
                </w:rPr>
                <m:t>N</m:t>
              </m:r>
              <m:ctrlPr>
                <w:rPr>
                  <w:rFonts w:ascii="Cambria Math" w:hAnsi="Cambria Math" w:eastAsia="仿宋"/>
                  <w:i/>
                  <w:sz w:val="28"/>
                  <w:szCs w:val="28"/>
                </w:rPr>
              </m:ctrlPr>
            </m:e>
            <m:sub>
              <m:r>
                <m:rPr/>
                <w:rPr>
                  <w:rFonts w:ascii="Cambria Math" w:hAnsi="Cambria Math" w:eastAsia="仿宋"/>
                  <w:sz w:val="28"/>
                  <w:szCs w:val="28"/>
                </w:rPr>
                <m:t>公共</m:t>
              </m:r>
              <m:ctrlPr>
                <w:rPr>
                  <w:rFonts w:ascii="Cambria Math" w:hAnsi="Cambria Math" w:eastAsia="仿宋"/>
                  <w:i/>
                  <w:sz w:val="28"/>
                  <w:szCs w:val="28"/>
                </w:rPr>
              </m:ctrlPr>
            </m:sub>
          </m:sSub>
          <m:r>
            <m:rPr/>
            <w:rPr>
              <w:rFonts w:ascii="Cambria Math" w:hAnsi="Cambria Math" w:eastAsia="仿宋"/>
              <w:sz w:val="28"/>
              <w:szCs w:val="28"/>
            </w:rPr>
            <m:t>×</m:t>
          </m:r>
          <m:sSub>
            <m:sSubPr>
              <m:ctrlPr>
                <w:rPr>
                  <w:rFonts w:ascii="Cambria Math" w:hAnsi="Cambria Math" w:eastAsia="仿宋"/>
                  <w:i/>
                  <w:sz w:val="28"/>
                  <w:szCs w:val="28"/>
                </w:rPr>
              </m:ctrlPr>
            </m:sSubPr>
            <m:e>
              <m:r>
                <m:rPr/>
                <w:rPr>
                  <w:rFonts w:ascii="Cambria Math" w:hAnsi="Cambria Math" w:eastAsia="仿宋"/>
                  <w:sz w:val="28"/>
                  <w:szCs w:val="28"/>
                </w:rPr>
                <m:t>P</m:t>
              </m:r>
              <m:ctrlPr>
                <w:rPr>
                  <w:rFonts w:ascii="Cambria Math" w:hAnsi="Cambria Math" w:eastAsia="仿宋"/>
                  <w:i/>
                  <w:sz w:val="28"/>
                  <w:szCs w:val="28"/>
                </w:rPr>
              </m:ctrlPr>
            </m:e>
            <m:sub>
              <m:r>
                <m:rPr/>
                <w:rPr>
                  <w:rFonts w:ascii="Cambria Math" w:hAnsi="Cambria Math" w:eastAsia="仿宋"/>
                  <w:sz w:val="28"/>
                  <w:szCs w:val="28"/>
                </w:rPr>
                <m:t>标准桩</m:t>
              </m:r>
              <m:ctrlPr>
                <w:rPr>
                  <w:rFonts w:ascii="Cambria Math" w:hAnsi="Cambria Math" w:eastAsia="仿宋"/>
                  <w:i/>
                  <w:sz w:val="28"/>
                  <w:szCs w:val="28"/>
                </w:rPr>
              </m:ctrlPr>
            </m:sub>
          </m:sSub>
        </m:oMath>
      </m:oMathPara>
    </w:p>
    <w:p>
      <w:pPr>
        <w:spacing w:line="360" w:lineRule="auto"/>
        <w:rPr>
          <w:rFonts w:ascii="仿宋" w:hAnsi="仿宋" w:eastAsia="仿宋"/>
          <w:sz w:val="28"/>
          <w:szCs w:val="28"/>
        </w:rPr>
      </w:pPr>
      <w:r>
        <w:rPr>
          <w:rFonts w:ascii="仿宋" w:hAnsi="仿宋" w:eastAsia="仿宋"/>
          <w:sz w:val="28"/>
          <w:szCs w:val="28"/>
        </w:rPr>
        <w:t>式中：</w:t>
      </w:r>
      <m:oMath>
        <m:sSub>
          <m:sSubPr>
            <m:ctrlPr>
              <w:rPr>
                <w:rFonts w:ascii="Cambria Math" w:hAnsi="Cambria Math" w:eastAsia="仿宋"/>
                <w:i/>
                <w:sz w:val="28"/>
                <w:szCs w:val="28"/>
              </w:rPr>
            </m:ctrlPr>
          </m:sSubPr>
          <m:e>
            <m:r>
              <m:rPr/>
              <w:rPr>
                <w:rFonts w:ascii="Cambria Math" w:hAnsi="Cambria Math" w:eastAsia="仿宋"/>
                <w:sz w:val="28"/>
                <w:szCs w:val="28"/>
              </w:rPr>
              <m:t>N</m:t>
            </m:r>
            <m:ctrlPr>
              <w:rPr>
                <w:rFonts w:ascii="Cambria Math" w:hAnsi="Cambria Math" w:eastAsia="仿宋"/>
                <w:i/>
                <w:sz w:val="28"/>
                <w:szCs w:val="28"/>
              </w:rPr>
            </m:ctrlPr>
          </m:e>
          <m:sub>
            <m:r>
              <m:rPr>
                <m:sty m:val="p"/>
              </m:rPr>
              <w:rPr>
                <w:rFonts w:ascii="Cambria Math" w:hAnsi="Cambria Math" w:eastAsia="仿宋"/>
                <w:sz w:val="28"/>
                <w:szCs w:val="28"/>
              </w:rPr>
              <m:t>i</m:t>
            </m:r>
            <m:ctrlPr>
              <w:rPr>
                <w:rFonts w:ascii="Cambria Math" w:hAnsi="Cambria Math" w:eastAsia="仿宋"/>
                <w:i/>
                <w:sz w:val="28"/>
                <w:szCs w:val="28"/>
              </w:rPr>
            </m:ctrlPr>
          </m:sub>
        </m:sSub>
      </m:oMath>
      <w:r>
        <w:rPr>
          <w:rFonts w:ascii="仿宋" w:hAnsi="仿宋" w:eastAsia="仿宋"/>
          <w:sz w:val="28"/>
          <w:szCs w:val="28"/>
        </w:rPr>
        <w:t>—第i类型电动汽车保有量；</w:t>
      </w:r>
    </w:p>
    <w:p>
      <w:pPr>
        <w:spacing w:line="360" w:lineRule="auto"/>
        <w:ind w:firstLine="840" w:firstLineChars="300"/>
        <w:rPr>
          <w:rFonts w:ascii="仿宋" w:hAnsi="仿宋" w:eastAsia="仿宋"/>
          <w:sz w:val="28"/>
          <w:szCs w:val="28"/>
        </w:rPr>
      </w:pPr>
      <m:oMath>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w:rPr>
                <w:rFonts w:ascii="Cambria Math" w:hAnsi="Cambria Math" w:eastAsia="仿宋"/>
                <w:sz w:val="28"/>
                <w:szCs w:val="28"/>
              </w:rPr>
              <m:t>i</m:t>
            </m:r>
            <m:ctrlPr>
              <w:rPr>
                <w:rFonts w:ascii="Cambria Math" w:hAnsi="Cambria Math" w:eastAsia="仿宋"/>
                <w:i/>
                <w:sz w:val="28"/>
                <w:szCs w:val="28"/>
              </w:rPr>
            </m:ctrlPr>
          </m:sub>
        </m:sSub>
      </m:oMath>
      <w:r>
        <w:rPr>
          <w:rFonts w:ascii="仿宋" w:hAnsi="仿宋" w:eastAsia="仿宋"/>
          <w:sz w:val="28"/>
          <w:szCs w:val="28"/>
        </w:rPr>
        <w:t xml:space="preserve">  —第i类型电动汽车在公共充电设施充电的同时率系数；</w:t>
      </w:r>
    </w:p>
    <w:p>
      <w:pPr>
        <w:spacing w:line="360" w:lineRule="auto"/>
        <w:ind w:firstLine="840" w:firstLineChars="300"/>
        <w:rPr>
          <w:rFonts w:ascii="仿宋" w:hAnsi="仿宋" w:eastAsia="仿宋"/>
          <w:sz w:val="28"/>
          <w:szCs w:val="28"/>
        </w:rPr>
      </w:pPr>
      <m:oMath>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m:sty m:val="p"/>
              </m:rPr>
              <w:rPr>
                <w:rFonts w:ascii="Cambria Math" w:hAnsi="Cambria Math" w:eastAsia="仿宋"/>
                <w:sz w:val="28"/>
                <w:szCs w:val="28"/>
              </w:rPr>
              <m:t>公共</m:t>
            </m:r>
            <m:ctrlPr>
              <w:rPr>
                <w:rFonts w:ascii="Cambria Math" w:hAnsi="Cambria Math" w:eastAsia="仿宋"/>
                <w:i/>
                <w:sz w:val="28"/>
                <w:szCs w:val="28"/>
              </w:rPr>
            </m:ctrlPr>
          </m:sub>
        </m:sSub>
      </m:oMath>
      <w:r>
        <w:rPr>
          <w:rFonts w:ascii="仿宋" w:hAnsi="仿宋" w:eastAsia="仿宋"/>
          <w:sz w:val="28"/>
          <w:szCs w:val="28"/>
        </w:rPr>
        <w:t>—各类型电动汽车在公共领域充电的同时率系数；</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  </w:t>
      </w:r>
      <m:oMath>
        <m:sSub>
          <m:sSubPr>
            <m:ctrlPr>
              <w:rPr>
                <w:rFonts w:ascii="Cambria Math" w:hAnsi="Cambria Math" w:eastAsia="仿宋"/>
                <w:i/>
                <w:sz w:val="28"/>
                <w:szCs w:val="28"/>
              </w:rPr>
            </m:ctrlPr>
          </m:sSubPr>
          <m:e>
            <m:r>
              <m:rPr/>
              <w:rPr>
                <w:rFonts w:ascii="Cambria Math" w:hAnsi="Cambria Math" w:eastAsia="仿宋"/>
                <w:sz w:val="28"/>
                <w:szCs w:val="28"/>
              </w:rPr>
              <m:t>P</m:t>
            </m:r>
            <m:ctrlPr>
              <w:rPr>
                <w:rFonts w:ascii="Cambria Math" w:hAnsi="Cambria Math" w:eastAsia="仿宋"/>
                <w:i/>
                <w:sz w:val="28"/>
                <w:szCs w:val="28"/>
              </w:rPr>
            </m:ctrlPr>
          </m:e>
          <m:sub>
            <m:r>
              <m:rPr/>
              <w:rPr>
                <w:rFonts w:ascii="Cambria Math" w:hAnsi="Cambria Math" w:eastAsia="仿宋"/>
                <w:sz w:val="28"/>
                <w:szCs w:val="28"/>
              </w:rPr>
              <m:t>标准桩</m:t>
            </m:r>
            <m:ctrlPr>
              <w:rPr>
                <w:rFonts w:ascii="Cambria Math" w:hAnsi="Cambria Math" w:eastAsia="仿宋"/>
                <w:i/>
                <w:sz w:val="28"/>
                <w:szCs w:val="28"/>
              </w:rPr>
            </m:ctrlPr>
          </m:sub>
        </m:sSub>
      </m:oMath>
      <w:r>
        <w:rPr>
          <w:rFonts w:ascii="仿宋" w:hAnsi="仿宋" w:eastAsia="仿宋"/>
          <w:iCs/>
          <w:sz w:val="28"/>
          <w:szCs w:val="28"/>
        </w:rPr>
        <w:t xml:space="preserve"> </w:t>
      </w:r>
      <w:r>
        <w:rPr>
          <w:rFonts w:ascii="仿宋" w:hAnsi="仿宋" w:eastAsia="仿宋"/>
          <w:sz w:val="28"/>
          <w:szCs w:val="28"/>
        </w:rPr>
        <w:t xml:space="preserve"> —标准桩的充电功率，可参考实际情况确定，如选取60kW作为标准桩。</w:t>
      </w:r>
    </w:p>
    <w:p>
      <w:pPr>
        <w:spacing w:line="360" w:lineRule="auto"/>
        <w:ind w:firstLine="560" w:firstLineChars="200"/>
        <w:rPr>
          <w:rFonts w:ascii="仿宋" w:hAnsi="仿宋" w:eastAsia="仿宋"/>
          <w:sz w:val="28"/>
          <w:szCs w:val="28"/>
        </w:rPr>
      </w:pPr>
      <w:r>
        <w:rPr>
          <w:rFonts w:ascii="仿宋" w:hAnsi="仿宋" w:eastAsia="仿宋"/>
          <w:sz w:val="28"/>
          <w:szCs w:val="28"/>
        </w:rPr>
        <w:t>该方法按车辆类型分别计算电动汽车在公共领域的充电需求。考虑电动汽车的充电同时率，首先在计算某一类型电动汽车的充电需求时，引入同时率系数</w:t>
      </w:r>
      <m:oMath>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w:rPr>
                <w:rFonts w:ascii="Cambria Math" w:hAnsi="Cambria Math" w:eastAsia="仿宋"/>
                <w:sz w:val="28"/>
                <w:szCs w:val="28"/>
              </w:rPr>
              <m:t>i</m:t>
            </m:r>
            <m:ctrlPr>
              <w:rPr>
                <w:rFonts w:ascii="Cambria Math" w:hAnsi="Cambria Math" w:eastAsia="仿宋"/>
                <w:i/>
                <w:sz w:val="28"/>
                <w:szCs w:val="28"/>
              </w:rPr>
            </m:ctrlPr>
          </m:sub>
        </m:sSub>
      </m:oMath>
      <w:r>
        <w:rPr>
          <w:rFonts w:ascii="仿宋" w:hAnsi="仿宋" w:eastAsia="仿宋"/>
          <w:sz w:val="28"/>
          <w:szCs w:val="28"/>
        </w:rPr>
        <w:t>（参考取值为0.1~0.2）；其次，考虑公共充电设施可为各类型电动汽车提供充电服务，并非按车辆类型分开建设运营，因此引入各类型电动汽车间的同时率系数</w:t>
      </w:r>
      <m:oMath>
        <m:sSub>
          <m:sSubPr>
            <m:ctrlPr>
              <w:rPr>
                <w:rFonts w:ascii="Cambria Math" w:hAnsi="Cambria Math" w:eastAsia="仿宋"/>
                <w:i/>
                <w:sz w:val="28"/>
                <w:szCs w:val="28"/>
              </w:rPr>
            </m:ctrlPr>
          </m:sSubPr>
          <m:e>
            <m:r>
              <m:rPr/>
              <w:rPr>
                <w:rFonts w:ascii="Cambria Math" w:hAnsi="Cambria Math" w:eastAsia="仿宋"/>
                <w:sz w:val="28"/>
                <w:szCs w:val="28"/>
              </w:rPr>
              <m:t>τ</m:t>
            </m:r>
            <m:ctrlPr>
              <w:rPr>
                <w:rFonts w:ascii="Cambria Math" w:hAnsi="Cambria Math" w:eastAsia="仿宋"/>
                <w:i/>
                <w:sz w:val="28"/>
                <w:szCs w:val="28"/>
              </w:rPr>
            </m:ctrlPr>
          </m:e>
          <m:sub>
            <m:r>
              <m:rPr>
                <m:sty m:val="p"/>
              </m:rPr>
              <w:rPr>
                <w:rFonts w:ascii="Cambria Math" w:hAnsi="Cambria Math" w:eastAsia="仿宋"/>
                <w:sz w:val="28"/>
                <w:szCs w:val="28"/>
              </w:rPr>
              <m:t>公共</m:t>
            </m:r>
            <m:ctrlPr>
              <w:rPr>
                <w:rFonts w:ascii="Cambria Math" w:hAnsi="Cambria Math" w:eastAsia="仿宋"/>
                <w:i/>
                <w:sz w:val="28"/>
                <w:szCs w:val="28"/>
              </w:rPr>
            </m:ctrlPr>
          </m:sub>
        </m:sSub>
      </m:oMath>
      <w:r>
        <w:rPr>
          <w:rFonts w:ascii="仿宋" w:hAnsi="仿宋" w:eastAsia="仿宋"/>
          <w:sz w:val="28"/>
          <w:szCs w:val="28"/>
        </w:rPr>
        <w:t>公共（参考取值为0.85~0.95）做进一步修正。实际工作中，上述参数取值需结合各地实际情况选取。</w:t>
      </w:r>
    </w:p>
    <w:p>
      <w:pPr>
        <w:spacing w:line="360" w:lineRule="auto"/>
        <w:ind w:firstLine="560" w:firstLineChars="200"/>
        <w:rPr>
          <w:rFonts w:ascii="仿宋" w:hAnsi="仿宋" w:eastAsia="仿宋"/>
          <w:sz w:val="28"/>
          <w:szCs w:val="28"/>
        </w:rPr>
      </w:pPr>
      <w:r>
        <w:rPr>
          <w:rFonts w:ascii="仿宋" w:hAnsi="仿宋" w:eastAsia="仿宋"/>
          <w:sz w:val="28"/>
          <w:szCs w:val="28"/>
        </w:rPr>
        <w:t>（2）专用充电站</w:t>
      </w:r>
    </w:p>
    <w:p>
      <w:pPr>
        <w:spacing w:line="360" w:lineRule="auto"/>
        <w:ind w:firstLine="560" w:firstLineChars="200"/>
        <w:rPr>
          <w:rFonts w:ascii="仿宋" w:hAnsi="仿宋" w:eastAsia="仿宋"/>
          <w:sz w:val="28"/>
          <w:szCs w:val="28"/>
        </w:rPr>
      </w:pPr>
      <w:r>
        <w:rPr>
          <w:rFonts w:ascii="仿宋" w:hAnsi="仿宋" w:eastAsia="仿宋"/>
          <w:sz w:val="28"/>
          <w:szCs w:val="28"/>
        </w:rPr>
        <w:t>根据各类型电动汽车保有量预测值，结合确定的车桩比进行专用充电设施预测。其中，出租车、公交车、观光车、环卫车采用专用直流充电桩，公务车采用专用交流充电桩。</w:t>
      </w:r>
    </w:p>
    <w:p>
      <w:pPr>
        <w:spacing w:line="360" w:lineRule="auto"/>
        <w:ind w:firstLine="560" w:firstLineChars="200"/>
        <w:rPr>
          <w:rFonts w:ascii="仿宋" w:hAnsi="仿宋" w:eastAsia="仿宋"/>
          <w:sz w:val="28"/>
          <w:szCs w:val="28"/>
        </w:rPr>
      </w:pPr>
      <w:r>
        <w:rPr>
          <w:rFonts w:ascii="仿宋" w:hAnsi="仿宋" w:eastAsia="仿宋"/>
          <w:sz w:val="28"/>
          <w:szCs w:val="28"/>
        </w:rPr>
        <w:t>（3）单位/居民小区充电场所</w:t>
      </w:r>
    </w:p>
    <w:p>
      <w:pPr>
        <w:spacing w:line="360" w:lineRule="auto"/>
        <w:ind w:firstLine="560" w:firstLineChars="200"/>
        <w:rPr>
          <w:rFonts w:ascii="仿宋" w:hAnsi="仿宋" w:eastAsia="仿宋"/>
          <w:sz w:val="28"/>
          <w:szCs w:val="28"/>
        </w:rPr>
      </w:pPr>
      <w:r>
        <w:rPr>
          <w:rFonts w:ascii="仿宋" w:hAnsi="仿宋" w:eastAsia="仿宋"/>
          <w:sz w:val="28"/>
          <w:szCs w:val="28"/>
        </w:rPr>
        <w:t>该类充电桩所主要满足单位车辆及私人乘用车的充电需求，该类充电场所布置功率为7kW的慢充充电桩，远期布置规模为“一车一桩”。2021年，岳阳市私人充电桩占私人电动汽车的23%，预计2025年私桩安装率将达到40%左右。</w:t>
      </w:r>
    </w:p>
    <w:p>
      <w:pPr>
        <w:spacing w:line="360" w:lineRule="auto"/>
        <w:ind w:firstLine="560" w:firstLineChars="200"/>
        <w:rPr>
          <w:rFonts w:ascii="仿宋" w:hAnsi="仿宋" w:eastAsia="仿宋"/>
          <w:sz w:val="28"/>
          <w:szCs w:val="28"/>
        </w:rPr>
      </w:pPr>
    </w:p>
    <w:p>
      <w:pPr>
        <w:pStyle w:val="3"/>
        <w:spacing w:line="560" w:lineRule="exact"/>
        <w:rPr>
          <w:rFonts w:ascii="仿宋" w:hAnsi="仿宋" w:eastAsia="仿宋"/>
          <w:color w:val="auto"/>
          <w:szCs w:val="22"/>
        </w:rPr>
      </w:pPr>
      <w:bookmarkStart w:id="105" w:name="_Toc101299810"/>
      <w:r>
        <w:rPr>
          <w:rFonts w:ascii="仿宋" w:hAnsi="仿宋" w:eastAsia="仿宋"/>
          <w:color w:val="auto"/>
          <w:szCs w:val="22"/>
        </w:rPr>
        <w:t>充电设施需求预测结果</w:t>
      </w:r>
      <w:bookmarkEnd w:id="105"/>
    </w:p>
    <w:p>
      <w:pPr>
        <w:spacing w:line="360" w:lineRule="auto"/>
        <w:ind w:firstLine="560" w:firstLineChars="200"/>
        <w:rPr>
          <w:rFonts w:ascii="仿宋" w:hAnsi="仿宋" w:eastAsia="仿宋"/>
          <w:sz w:val="28"/>
          <w:szCs w:val="28"/>
        </w:rPr>
      </w:pPr>
      <w:r>
        <w:rPr>
          <w:rFonts w:ascii="仿宋" w:hAnsi="仿宋" w:eastAsia="仿宋"/>
          <w:sz w:val="28"/>
          <w:szCs w:val="28"/>
        </w:rPr>
        <w:t>采用同时率系数法进行充电设施规模预测，并用地区规划车桩比进行结果校核后，预测2023年和2025年岳阳市电动汽车充电基础设施总需求分别为14746枪和28100枪，其中公共充电基础设施需求分别为3357枪、5100枪。</w:t>
      </w:r>
    </w:p>
    <w:p>
      <w:pPr>
        <w:pStyle w:val="8"/>
        <w:spacing w:after="0" w:afterLines="0" w:line="240" w:lineRule="auto"/>
        <w:rPr>
          <w:rFonts w:ascii="仿宋" w:hAnsi="仿宋" w:eastAsia="仿宋" w:cs="仿宋"/>
          <w:b w:val="0"/>
        </w:rPr>
      </w:pPr>
      <w:r>
        <w:rPr>
          <w:rFonts w:hint="eastAsia" w:ascii="仿宋" w:hAnsi="仿宋" w:eastAsia="仿宋" w:cs="仿宋"/>
          <w:b w:val="0"/>
        </w:rPr>
        <w:t>表 5</w:t>
      </w:r>
      <w:r>
        <w:rPr>
          <w:rFonts w:hint="eastAsia" w:ascii="仿宋" w:hAnsi="仿宋" w:eastAsia="仿宋" w:cs="仿宋"/>
          <w:b w:val="0"/>
        </w:rPr>
        <w:noBreakHyphen/>
      </w:r>
      <w:r>
        <w:rPr>
          <w:rFonts w:hint="eastAsia" w:ascii="仿宋" w:hAnsi="仿宋" w:eastAsia="仿宋" w:cs="仿宋"/>
          <w:b w:val="0"/>
        </w:rPr>
        <w:fldChar w:fldCharType="begin"/>
      </w:r>
      <w:r>
        <w:rPr>
          <w:rFonts w:hint="eastAsia" w:ascii="仿宋" w:hAnsi="仿宋" w:eastAsia="仿宋" w:cs="仿宋"/>
          <w:b w:val="0"/>
        </w:rPr>
        <w:instrText xml:space="preserve"> SEQ 表 \* ARABIC \s 1 </w:instrText>
      </w:r>
      <w:r>
        <w:rPr>
          <w:rFonts w:hint="eastAsia" w:ascii="仿宋" w:hAnsi="仿宋" w:eastAsia="仿宋" w:cs="仿宋"/>
          <w:b w:val="0"/>
        </w:rPr>
        <w:fldChar w:fldCharType="separate"/>
      </w:r>
      <w:r>
        <w:rPr>
          <w:rFonts w:ascii="仿宋" w:hAnsi="仿宋" w:eastAsia="仿宋" w:cs="仿宋"/>
          <w:b w:val="0"/>
        </w:rPr>
        <w:t>4</w:t>
      </w:r>
      <w:r>
        <w:rPr>
          <w:rFonts w:hint="eastAsia" w:ascii="仿宋" w:hAnsi="仿宋" w:eastAsia="仿宋" w:cs="仿宋"/>
          <w:b w:val="0"/>
        </w:rPr>
        <w:fldChar w:fldCharType="end"/>
      </w:r>
      <w:r>
        <w:rPr>
          <w:rFonts w:hint="eastAsia" w:ascii="仿宋" w:hAnsi="仿宋" w:eastAsia="仿宋" w:cs="仿宋"/>
          <w:b w:val="0"/>
        </w:rPr>
        <w:t xml:space="preserve">  “十四五”期间充电设施需求预测结果</w:t>
      </w:r>
    </w:p>
    <w:p>
      <w:pPr>
        <w:pStyle w:val="8"/>
        <w:spacing w:after="0" w:afterLines="0" w:line="240" w:lineRule="auto"/>
        <w:rPr>
          <w:rFonts w:ascii="仿宋" w:hAnsi="仿宋" w:eastAsia="仿宋" w:cs="仿宋"/>
          <w:b w:val="0"/>
          <w:highlight w:val="yellow"/>
        </w:rPr>
      </w:pPr>
      <w:r>
        <w:rPr>
          <w:rFonts w:hint="eastAsia" w:ascii="仿宋" w:hAnsi="仿宋" w:eastAsia="仿宋" w:cs="仿宋"/>
          <w:b w:val="0"/>
        </w:rPr>
        <w:t xml:space="preserve">                                                                     单位：枪</w:t>
      </w:r>
    </w:p>
    <w:tbl>
      <w:tblPr>
        <w:tblStyle w:val="25"/>
        <w:tblW w:w="8359" w:type="dxa"/>
        <w:jc w:val="center"/>
        <w:tblLayout w:type="autofit"/>
        <w:tblCellMar>
          <w:top w:w="15" w:type="dxa"/>
          <w:left w:w="15" w:type="dxa"/>
          <w:bottom w:w="15" w:type="dxa"/>
          <w:right w:w="15" w:type="dxa"/>
        </w:tblCellMar>
      </w:tblPr>
      <w:tblGrid>
        <w:gridCol w:w="1560"/>
        <w:gridCol w:w="1554"/>
        <w:gridCol w:w="1060"/>
        <w:gridCol w:w="1080"/>
        <w:gridCol w:w="1080"/>
        <w:gridCol w:w="1080"/>
        <w:gridCol w:w="945"/>
      </w:tblGrid>
      <w:tr>
        <w:tblPrEx>
          <w:tblCellMar>
            <w:top w:w="15" w:type="dxa"/>
            <w:left w:w="15" w:type="dxa"/>
            <w:bottom w:w="15" w:type="dxa"/>
            <w:right w:w="15" w:type="dxa"/>
          </w:tblCellMar>
        </w:tblPrEx>
        <w:trPr>
          <w:trHeight w:val="286" w:hRule="atLeast"/>
          <w:jc w:val="center"/>
        </w:trPr>
        <w:tc>
          <w:tcPr>
            <w:tcW w:w="311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充电设施分类</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2021年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2022年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2023年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2024年</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2025年</w:t>
            </w:r>
          </w:p>
        </w:tc>
      </w:tr>
      <w:tr>
        <w:tblPrEx>
          <w:tblCellMar>
            <w:top w:w="15" w:type="dxa"/>
            <w:left w:w="15" w:type="dxa"/>
            <w:bottom w:w="15" w:type="dxa"/>
            <w:right w:w="15" w:type="dxa"/>
          </w:tblCellMar>
        </w:tblPrEx>
        <w:trPr>
          <w:trHeight w:val="286" w:hRule="atLeast"/>
          <w:jc w:val="center"/>
        </w:trPr>
        <w:tc>
          <w:tcPr>
            <w:tcW w:w="311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社会公共充电桩</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652 </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2297 </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3357 </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4577 </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5100 </w:t>
            </w:r>
          </w:p>
        </w:tc>
      </w:tr>
      <w:tr>
        <w:tblPrEx>
          <w:tblCellMar>
            <w:top w:w="15" w:type="dxa"/>
            <w:left w:w="15" w:type="dxa"/>
            <w:bottom w:w="15" w:type="dxa"/>
            <w:right w:w="15" w:type="dxa"/>
          </w:tblCellMar>
        </w:tblPrEx>
        <w:trPr>
          <w:trHeight w:val="378" w:hRule="atLeast"/>
          <w:jc w:val="center"/>
        </w:trPr>
        <w:tc>
          <w:tcPr>
            <w:tcW w:w="15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专用充电桩</w:t>
            </w: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出租车、网约车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18</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38</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80</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184</w:t>
            </w:r>
          </w:p>
        </w:tc>
      </w:tr>
      <w:tr>
        <w:tblPrEx>
          <w:tblCellMar>
            <w:top w:w="15" w:type="dxa"/>
            <w:left w:w="15" w:type="dxa"/>
            <w:bottom w:w="15" w:type="dxa"/>
            <w:right w:w="15" w:type="dxa"/>
          </w:tblCellMar>
        </w:tblPrEx>
        <w:trPr>
          <w:trHeight w:val="286" w:hRule="atLeast"/>
          <w:jc w:val="center"/>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公交车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536</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641</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735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840</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961</w:t>
            </w:r>
          </w:p>
        </w:tc>
      </w:tr>
      <w:tr>
        <w:tblPrEx>
          <w:tblCellMar>
            <w:top w:w="15" w:type="dxa"/>
            <w:left w:w="15" w:type="dxa"/>
            <w:bottom w:w="15" w:type="dxa"/>
            <w:right w:w="15" w:type="dxa"/>
          </w:tblCellMar>
        </w:tblPrEx>
        <w:trPr>
          <w:trHeight w:val="286" w:hRule="atLeast"/>
          <w:jc w:val="center"/>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环卫车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24</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44</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57</w:t>
            </w:r>
          </w:p>
        </w:tc>
      </w:tr>
      <w:tr>
        <w:tblPrEx>
          <w:tblCellMar>
            <w:top w:w="15" w:type="dxa"/>
            <w:left w:w="15" w:type="dxa"/>
            <w:bottom w:w="15" w:type="dxa"/>
            <w:right w:w="15" w:type="dxa"/>
          </w:tblCellMar>
        </w:tblPrEx>
        <w:trPr>
          <w:trHeight w:val="286" w:hRule="atLeast"/>
          <w:jc w:val="center"/>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公务车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428</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926</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1526</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2100</w:t>
            </w:r>
          </w:p>
        </w:tc>
      </w:tr>
      <w:tr>
        <w:tblPrEx>
          <w:tblCellMar>
            <w:top w:w="15" w:type="dxa"/>
            <w:left w:w="15" w:type="dxa"/>
            <w:bottom w:w="15" w:type="dxa"/>
            <w:right w:w="15" w:type="dxa"/>
          </w:tblCellMar>
        </w:tblPrEx>
        <w:trPr>
          <w:trHeight w:val="625" w:hRule="atLeast"/>
          <w:jc w:val="center"/>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旅游、通勤、公路客运</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228</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264</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366</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421</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596</w:t>
            </w:r>
          </w:p>
        </w:tc>
      </w:tr>
      <w:tr>
        <w:tblPrEx>
          <w:tblCellMar>
            <w:top w:w="15" w:type="dxa"/>
            <w:left w:w="15" w:type="dxa"/>
            <w:bottom w:w="15" w:type="dxa"/>
            <w:right w:w="15" w:type="dxa"/>
          </w:tblCellMar>
        </w:tblPrEx>
        <w:trPr>
          <w:trHeight w:val="286" w:hRule="atLeast"/>
          <w:jc w:val="center"/>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物流车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100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200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300</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414</w:t>
            </w:r>
          </w:p>
        </w:tc>
      </w:tr>
      <w:tr>
        <w:tblPrEx>
          <w:tblCellMar>
            <w:top w:w="15" w:type="dxa"/>
            <w:left w:w="15" w:type="dxa"/>
            <w:bottom w:w="15" w:type="dxa"/>
            <w:right w:w="15" w:type="dxa"/>
          </w:tblCellMar>
        </w:tblPrEx>
        <w:trPr>
          <w:trHeight w:val="540" w:hRule="atLeast"/>
          <w:jc w:val="center"/>
        </w:trPr>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居民自用充电桩</w:t>
            </w:r>
          </w:p>
        </w:tc>
        <w:tc>
          <w:tcPr>
            <w:tcW w:w="155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私人电动汽车</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2700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5493</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9100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13346</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color w:val="000000"/>
                <w:kern w:val="0"/>
                <w:szCs w:val="21"/>
              </w:rPr>
            </w:pPr>
            <w:r>
              <w:rPr>
                <w:rFonts w:ascii="仿宋" w:hAnsi="仿宋" w:eastAsia="仿宋" w:cs="宋体"/>
                <w:color w:val="000000"/>
                <w:kern w:val="0"/>
                <w:szCs w:val="21"/>
              </w:rPr>
              <w:t>18688</w:t>
            </w:r>
          </w:p>
        </w:tc>
      </w:tr>
    </w:tbl>
    <w:p>
      <w:pPr>
        <w:pStyle w:val="10"/>
        <w:ind w:firstLine="560"/>
        <w:rPr>
          <w:rFonts w:ascii="仿宋" w:hAnsi="仿宋" w:eastAsia="仿宋"/>
        </w:rPr>
      </w:pPr>
    </w:p>
    <w:p>
      <w:pPr>
        <w:pStyle w:val="10"/>
        <w:ind w:firstLine="560"/>
        <w:rPr>
          <w:rFonts w:ascii="仿宋" w:hAnsi="仿宋" w:eastAsia="仿宋"/>
        </w:rPr>
      </w:pPr>
    </w:p>
    <w:p>
      <w:pPr>
        <w:pStyle w:val="10"/>
        <w:ind w:firstLine="560"/>
        <w:rPr>
          <w:rFonts w:ascii="仿宋" w:hAnsi="仿宋" w:eastAsia="仿宋"/>
        </w:rPr>
        <w:sectPr>
          <w:pgSz w:w="11906" w:h="16838"/>
          <w:pgMar w:top="1440" w:right="1800" w:bottom="1440" w:left="1800" w:header="851" w:footer="992" w:gutter="0"/>
          <w:cols w:space="425" w:num="1"/>
          <w:docGrid w:type="lines" w:linePitch="312" w:charSpace="0"/>
        </w:sectPr>
      </w:pPr>
    </w:p>
    <w:p>
      <w:pPr>
        <w:pStyle w:val="2"/>
        <w:tabs>
          <w:tab w:val="clear" w:pos="3970"/>
        </w:tabs>
        <w:spacing w:line="560" w:lineRule="exact"/>
        <w:ind w:left="2835" w:hanging="567"/>
        <w:jc w:val="left"/>
        <w:rPr>
          <w:rFonts w:ascii="仿宋" w:hAnsi="仿宋" w:eastAsia="仿宋"/>
          <w:sz w:val="36"/>
          <w:szCs w:val="36"/>
        </w:rPr>
      </w:pPr>
      <w:bookmarkStart w:id="106" w:name="_Toc101299811"/>
      <w:r>
        <w:rPr>
          <w:rFonts w:ascii="仿宋" w:hAnsi="仿宋" w:eastAsia="仿宋"/>
          <w:sz w:val="36"/>
          <w:szCs w:val="36"/>
        </w:rPr>
        <w:t>建设目标及规划原则</w:t>
      </w:r>
      <w:bookmarkEnd w:id="106"/>
    </w:p>
    <w:p>
      <w:pPr>
        <w:pStyle w:val="3"/>
        <w:spacing w:line="560" w:lineRule="exact"/>
        <w:rPr>
          <w:rFonts w:ascii="仿宋" w:hAnsi="仿宋" w:eastAsia="仿宋"/>
          <w:color w:val="auto"/>
          <w:szCs w:val="22"/>
        </w:rPr>
      </w:pPr>
      <w:bookmarkStart w:id="107" w:name="_Toc101299812"/>
      <w:r>
        <w:rPr>
          <w:rFonts w:ascii="仿宋" w:hAnsi="仿宋" w:eastAsia="仿宋"/>
          <w:color w:val="auto"/>
          <w:szCs w:val="22"/>
        </w:rPr>
        <w:t>建设目标</w:t>
      </w:r>
      <w:bookmarkEnd w:id="107"/>
    </w:p>
    <w:p>
      <w:pPr>
        <w:pStyle w:val="10"/>
        <w:ind w:firstLine="560"/>
        <w:rPr>
          <w:rFonts w:ascii="仿宋" w:hAnsi="仿宋" w:eastAsia="仿宋"/>
        </w:rPr>
      </w:pPr>
      <w:r>
        <w:rPr>
          <w:rFonts w:ascii="仿宋" w:hAnsi="仿宋" w:eastAsia="仿宋"/>
        </w:rPr>
        <w:t>根据岳阳市人民政府办公室2021年13号文《关于加快我市电动汽车充（换）电基础设施建设的通知》，对“十四五”期间岳阳市充电动汽车充电设施建设提出工作目标。</w:t>
      </w:r>
    </w:p>
    <w:p>
      <w:pPr>
        <w:pStyle w:val="10"/>
        <w:ind w:firstLine="560"/>
        <w:rPr>
          <w:rFonts w:ascii="仿宋" w:hAnsi="仿宋" w:eastAsia="仿宋"/>
        </w:rPr>
      </w:pPr>
      <w:r>
        <w:rPr>
          <w:rFonts w:ascii="仿宋" w:hAnsi="仿宋" w:eastAsia="仿宋"/>
        </w:rPr>
        <w:t>按照“规划引领、科学布局、适度超前、有序建设”的原则，重点加强党政机关和企事业单位内部停车场、交通枢纽、国省干道服务区公交场站、出租车服务站点、独立用地的公共停车场及商务楼宇、超市卖场、学校、医院、景区景点、居民小区内停车场等充电设施建设。到2022年底，全市建成公共充电桩（不含专用充电桩）2300个，其他类充电桩8300个，满足超过23600辆电动汽车充电需求；到2025年底，全市建成公共充电桩（不含专用充电桩）5100个，其他类充电桩23000个，满足超过38600辆电动汽车充电需求，城市建成区公共充电设施服务半径小于2公里。建立相对完善的标准规范和市场监管体系，构建可持续发展的“互联网+充电基础设施”产业格局。</w:t>
      </w:r>
    </w:p>
    <w:p>
      <w:pPr>
        <w:pStyle w:val="10"/>
        <w:ind w:firstLine="560"/>
        <w:rPr>
          <w:rFonts w:ascii="仿宋" w:hAnsi="仿宋" w:eastAsia="仿宋"/>
        </w:rPr>
      </w:pPr>
    </w:p>
    <w:p>
      <w:pPr>
        <w:pStyle w:val="3"/>
        <w:spacing w:line="560" w:lineRule="exact"/>
        <w:rPr>
          <w:rFonts w:ascii="仿宋" w:hAnsi="仿宋" w:eastAsia="仿宋"/>
          <w:color w:val="auto"/>
          <w:szCs w:val="22"/>
        </w:rPr>
      </w:pPr>
      <w:bookmarkStart w:id="108" w:name="_Toc101299813"/>
      <w:bookmarkStart w:id="109" w:name="_Toc68014590"/>
      <w:r>
        <w:rPr>
          <w:rFonts w:ascii="仿宋" w:hAnsi="仿宋" w:eastAsia="仿宋"/>
          <w:color w:val="auto"/>
          <w:szCs w:val="22"/>
        </w:rPr>
        <w:t>规划原则</w:t>
      </w:r>
      <w:bookmarkEnd w:id="108"/>
      <w:bookmarkEnd w:id="109"/>
    </w:p>
    <w:p>
      <w:pPr>
        <w:pStyle w:val="10"/>
        <w:ind w:firstLine="560"/>
        <w:rPr>
          <w:rFonts w:ascii="仿宋" w:hAnsi="仿宋" w:eastAsia="仿宋"/>
        </w:rPr>
      </w:pPr>
      <w:r>
        <w:rPr>
          <w:rFonts w:ascii="仿宋" w:hAnsi="仿宋" w:eastAsia="仿宋"/>
        </w:rPr>
        <w:t>按照“规划引领、科学布局、适度超前、有序建设”的原则，坚持“依托市场、创新机制、多措并举、分类施策”，基本建成“车桩相随、开放通用、标准统一、智能高效”的充电设施体系。</w:t>
      </w:r>
    </w:p>
    <w:p>
      <w:pPr>
        <w:pStyle w:val="10"/>
        <w:ind w:firstLine="560"/>
        <w:rPr>
          <w:rFonts w:ascii="仿宋" w:hAnsi="仿宋" w:eastAsia="仿宋"/>
          <w:bCs/>
        </w:rPr>
      </w:pPr>
      <w:r>
        <w:rPr>
          <w:rFonts w:ascii="仿宋" w:hAnsi="仿宋" w:eastAsia="仿宋"/>
          <w:bCs/>
        </w:rPr>
        <w:t>1、整体规划、适度超前</w:t>
      </w:r>
    </w:p>
    <w:p>
      <w:pPr>
        <w:pStyle w:val="10"/>
        <w:ind w:firstLine="560"/>
        <w:rPr>
          <w:rFonts w:ascii="仿宋" w:hAnsi="仿宋" w:eastAsia="仿宋"/>
        </w:rPr>
      </w:pPr>
      <w:r>
        <w:rPr>
          <w:rFonts w:ascii="仿宋" w:hAnsi="仿宋" w:eastAsia="仿宋"/>
        </w:rPr>
        <w:t>加强全市充电基础设施发展的顶层设计，从全局统筹规划，建立政府有关部门与相关企业各司其职、各尽所能、群策群力、合作共赢的推进机制，按照桩站先行、适度超前建设的策略，推进充电基础设施科学发展。</w:t>
      </w:r>
    </w:p>
    <w:p>
      <w:pPr>
        <w:pStyle w:val="10"/>
        <w:ind w:firstLine="560"/>
        <w:rPr>
          <w:rFonts w:ascii="仿宋" w:hAnsi="仿宋" w:eastAsia="仿宋"/>
          <w:bCs/>
        </w:rPr>
      </w:pPr>
      <w:r>
        <w:rPr>
          <w:rFonts w:ascii="仿宋" w:hAnsi="仿宋" w:eastAsia="仿宋"/>
          <w:bCs/>
        </w:rPr>
        <w:t>2、因地制宜、差异发展</w:t>
      </w:r>
    </w:p>
    <w:p>
      <w:pPr>
        <w:pStyle w:val="10"/>
        <w:ind w:firstLine="560"/>
        <w:rPr>
          <w:rFonts w:ascii="仿宋" w:hAnsi="仿宋" w:eastAsia="仿宋"/>
        </w:rPr>
      </w:pPr>
      <w:r>
        <w:rPr>
          <w:rFonts w:ascii="仿宋" w:hAnsi="仿宋" w:eastAsia="仿宋"/>
        </w:rPr>
        <w:t>着眼于电动汽车未来发展，紧密结合不同领域、不同层次充电需求，按照“公用设施快充为主、慢充为辅，专用设施快慢并重”的原则，不同县区分为城区与乡镇，调整充电基础设施建设目标任务，遵循“市场主导、快慢互济”的技术导向，加大交通、市政、电力等公共资源整合力度。</w:t>
      </w:r>
    </w:p>
    <w:p>
      <w:pPr>
        <w:pStyle w:val="10"/>
        <w:ind w:firstLine="560"/>
        <w:rPr>
          <w:rFonts w:ascii="仿宋" w:hAnsi="仿宋" w:eastAsia="仿宋"/>
          <w:bCs/>
        </w:rPr>
      </w:pPr>
      <w:r>
        <w:rPr>
          <w:rFonts w:ascii="仿宋" w:hAnsi="仿宋" w:eastAsia="仿宋"/>
          <w:bCs/>
        </w:rPr>
        <w:t>3、资源整合、协调发展</w:t>
      </w:r>
    </w:p>
    <w:p>
      <w:pPr>
        <w:pStyle w:val="10"/>
        <w:ind w:firstLine="560"/>
        <w:rPr>
          <w:rFonts w:ascii="仿宋" w:hAnsi="仿宋" w:eastAsia="仿宋"/>
        </w:rPr>
      </w:pPr>
      <w:r>
        <w:rPr>
          <w:rFonts w:ascii="仿宋" w:hAnsi="仿宋" w:eastAsia="仿宋"/>
        </w:rPr>
        <w:t>主要围绕</w:t>
      </w:r>
      <w:r>
        <w:rPr>
          <w:rFonts w:hint="eastAsia" w:ascii="仿宋" w:hAnsi="仿宋" w:eastAsia="仿宋"/>
        </w:rPr>
        <w:t>岳阳</w:t>
      </w:r>
      <w:r>
        <w:rPr>
          <w:rFonts w:ascii="仿宋" w:hAnsi="仿宋" w:eastAsia="仿宋"/>
        </w:rPr>
        <w:t>市重要交通网络进行充电设施的优化布置，构造以主要交通路网为核心的电动汽车充电网络，打造安全、便利、有效的充电体系。同时避免对城市交通、景观造成负面干扰和影响。电动汽车充电设施运营需要可靠的电力供应作为支撑，规划布局时充分考虑充电装置运行特点，利用好充电装置的负荷控制和削峰填谷效应时效性。</w:t>
      </w:r>
    </w:p>
    <w:p>
      <w:pPr>
        <w:pStyle w:val="2"/>
        <w:tabs>
          <w:tab w:val="clear" w:pos="3970"/>
        </w:tabs>
        <w:ind w:left="2530" w:leftChars="0" w:firstLine="410" w:firstLineChars="0"/>
        <w:jc w:val="both"/>
        <w:rPr>
          <w:rFonts w:ascii="仿宋" w:hAnsi="仿宋" w:eastAsia="仿宋"/>
          <w:sz w:val="36"/>
          <w:szCs w:val="36"/>
        </w:rPr>
      </w:pPr>
      <w:r>
        <w:rPr>
          <w:rFonts w:ascii="仿宋" w:hAnsi="仿宋" w:eastAsia="仿宋"/>
          <w:sz w:val="36"/>
          <w:szCs w:val="36"/>
        </w:rPr>
        <w:br w:type="page"/>
      </w:r>
      <w:bookmarkStart w:id="110" w:name="_Toc101299814"/>
      <w:bookmarkStart w:id="111" w:name="_Toc68014592"/>
      <w:r>
        <w:rPr>
          <w:rFonts w:ascii="仿宋" w:hAnsi="仿宋" w:eastAsia="仿宋"/>
          <w:sz w:val="36"/>
          <w:szCs w:val="36"/>
        </w:rPr>
        <w:t>充电设施布局方案</w:t>
      </w:r>
      <w:bookmarkEnd w:id="110"/>
      <w:bookmarkEnd w:id="111"/>
    </w:p>
    <w:p>
      <w:pPr>
        <w:pStyle w:val="3"/>
        <w:spacing w:line="560" w:lineRule="exact"/>
        <w:rPr>
          <w:rFonts w:ascii="仿宋" w:hAnsi="仿宋" w:eastAsia="仿宋"/>
          <w:color w:val="auto"/>
          <w:szCs w:val="22"/>
        </w:rPr>
      </w:pPr>
      <w:bookmarkStart w:id="112" w:name="_Toc101299815"/>
      <w:bookmarkStart w:id="113" w:name="_Toc68014593"/>
      <w:r>
        <w:rPr>
          <w:rFonts w:ascii="仿宋" w:hAnsi="仿宋" w:eastAsia="仿宋"/>
          <w:color w:val="auto"/>
          <w:szCs w:val="22"/>
        </w:rPr>
        <w:t>充电设施布局及接入原则</w:t>
      </w:r>
      <w:bookmarkEnd w:id="112"/>
      <w:bookmarkEnd w:id="113"/>
    </w:p>
    <w:p>
      <w:pPr>
        <w:pStyle w:val="4"/>
        <w:spacing w:before="0" w:after="0" w:line="560" w:lineRule="exact"/>
        <w:rPr>
          <w:rFonts w:ascii="仿宋" w:hAnsi="仿宋" w:eastAsia="仿宋"/>
          <w:szCs w:val="22"/>
        </w:rPr>
      </w:pPr>
      <w:bookmarkStart w:id="114" w:name="_Toc68014594"/>
      <w:r>
        <w:rPr>
          <w:rFonts w:ascii="仿宋" w:hAnsi="仿宋" w:eastAsia="仿宋"/>
          <w:szCs w:val="22"/>
        </w:rPr>
        <w:t>社会公共充电设施布局原则</w:t>
      </w:r>
      <w:bookmarkEnd w:id="114"/>
    </w:p>
    <w:p>
      <w:pPr>
        <w:pStyle w:val="10"/>
        <w:ind w:firstLine="560"/>
        <w:rPr>
          <w:rFonts w:ascii="仿宋" w:hAnsi="仿宋" w:eastAsia="仿宋"/>
          <w:bCs/>
        </w:rPr>
      </w:pPr>
      <w:r>
        <w:rPr>
          <w:rFonts w:ascii="仿宋" w:hAnsi="仿宋" w:eastAsia="仿宋"/>
          <w:bCs/>
        </w:rPr>
        <w:t>（1）公共充电设施选址原则</w:t>
      </w:r>
    </w:p>
    <w:p>
      <w:pPr>
        <w:pStyle w:val="10"/>
        <w:ind w:firstLine="560"/>
        <w:rPr>
          <w:rFonts w:ascii="仿宋" w:hAnsi="仿宋" w:eastAsia="仿宋"/>
        </w:rPr>
      </w:pPr>
      <w:r>
        <w:rPr>
          <w:rFonts w:ascii="仿宋" w:hAnsi="仿宋" w:eastAsia="仿宋"/>
        </w:rPr>
        <w:t>1、应充分利用各类建筑物配建停车场、社会公共停车场、路边停车位资源，将其作为主要的可建桩资源；当可建桩资源不足时，可适当考虑可作为独立用地充电站建设的土地资源，结合区域调研情况，列出各类建筑物配建充电设施的推荐表。</w:t>
      </w:r>
    </w:p>
    <w:p>
      <w:pPr>
        <w:pStyle w:val="10"/>
        <w:ind w:firstLine="560"/>
        <w:rPr>
          <w:rFonts w:ascii="仿宋" w:hAnsi="仿宋" w:eastAsia="仿宋"/>
        </w:rPr>
      </w:pPr>
      <w:r>
        <w:rPr>
          <w:rFonts w:ascii="仿宋" w:hAnsi="仿宋" w:eastAsia="仿宋"/>
        </w:rPr>
        <w:t>2、公共充电设施应结合车流客流特征因素，充分利用现状及规划停车场资源选址布局。</w:t>
      </w:r>
    </w:p>
    <w:p>
      <w:pPr>
        <w:pStyle w:val="10"/>
        <w:ind w:firstLine="560"/>
        <w:rPr>
          <w:rFonts w:ascii="仿宋" w:hAnsi="仿宋" w:eastAsia="仿宋"/>
        </w:rPr>
      </w:pPr>
      <w:r>
        <w:rPr>
          <w:rFonts w:ascii="仿宋" w:hAnsi="仿宋" w:eastAsia="仿宋"/>
        </w:rPr>
        <w:t>3、公共充电设施选址应考虑场地产权方的建设意愿。</w:t>
      </w:r>
    </w:p>
    <w:p>
      <w:pPr>
        <w:pStyle w:val="10"/>
        <w:ind w:firstLine="560"/>
        <w:rPr>
          <w:rFonts w:ascii="仿宋" w:hAnsi="仿宋" w:eastAsia="仿宋"/>
        </w:rPr>
      </w:pPr>
      <w:r>
        <w:rPr>
          <w:rFonts w:ascii="仿宋" w:hAnsi="仿宋" w:eastAsia="仿宋"/>
        </w:rPr>
        <w:t>4、公共充电设施选址应考虑现状与规划期内的电源条件，包括电源点位置、线路通道、电网裕度等。</w:t>
      </w:r>
    </w:p>
    <w:p>
      <w:pPr>
        <w:pStyle w:val="10"/>
        <w:ind w:firstLine="560"/>
        <w:rPr>
          <w:rFonts w:ascii="仿宋" w:hAnsi="仿宋" w:eastAsia="仿宋"/>
        </w:rPr>
      </w:pPr>
      <w:r>
        <w:rPr>
          <w:rFonts w:ascii="仿宋" w:hAnsi="仿宋" w:eastAsia="仿宋"/>
        </w:rPr>
        <w:t>5、公共充电设施选址应尽量减少对交通运输的影响，宜靠近城市道路，不宜选在城市干道的交叉路口和交通繁忙路段附近。</w:t>
      </w:r>
    </w:p>
    <w:p>
      <w:pPr>
        <w:pStyle w:val="10"/>
        <w:ind w:firstLine="560"/>
        <w:rPr>
          <w:rFonts w:ascii="仿宋" w:hAnsi="仿宋" w:eastAsia="仿宋"/>
        </w:rPr>
      </w:pPr>
      <w:r>
        <w:rPr>
          <w:rFonts w:ascii="仿宋" w:hAnsi="仿宋" w:eastAsia="仿宋"/>
        </w:rPr>
        <w:t>6、公共充电设施选址应满足便利性、经济性、安全性等要求。</w:t>
      </w:r>
    </w:p>
    <w:p>
      <w:pPr>
        <w:pStyle w:val="10"/>
        <w:ind w:firstLine="560"/>
        <w:rPr>
          <w:rFonts w:ascii="仿宋" w:hAnsi="仿宋" w:eastAsia="仿宋"/>
        </w:rPr>
      </w:pPr>
      <w:r>
        <w:rPr>
          <w:rFonts w:ascii="仿宋" w:hAnsi="仿宋" w:eastAsia="仿宋"/>
        </w:rPr>
        <w:t>7、</w:t>
      </w:r>
      <w:r>
        <w:rPr>
          <w:rFonts w:hint="eastAsia" w:ascii="仿宋" w:hAnsi="仿宋" w:eastAsia="仿宋"/>
        </w:rPr>
        <w:t>充电基础设施的安装场所选址和安装设计应符合国家和行业统一标准，符合规划、建设、环保、供电、消防和防雷等方面的相关规定。</w:t>
      </w:r>
    </w:p>
    <w:p>
      <w:pPr>
        <w:pStyle w:val="10"/>
        <w:ind w:firstLine="560"/>
        <w:rPr>
          <w:rFonts w:ascii="仿宋" w:hAnsi="仿宋" w:eastAsia="仿宋"/>
          <w:bCs/>
        </w:rPr>
      </w:pPr>
      <w:r>
        <w:rPr>
          <w:rFonts w:ascii="仿宋" w:hAnsi="仿宋" w:eastAsia="仿宋"/>
          <w:bCs/>
        </w:rPr>
        <w:t>（2）空间布局原则</w:t>
      </w:r>
    </w:p>
    <w:p>
      <w:pPr>
        <w:pStyle w:val="10"/>
        <w:ind w:firstLine="560"/>
        <w:rPr>
          <w:rFonts w:ascii="仿宋" w:hAnsi="仿宋" w:eastAsia="仿宋"/>
        </w:rPr>
      </w:pPr>
      <w:r>
        <w:rPr>
          <w:rFonts w:ascii="仿宋" w:hAnsi="仿宋" w:eastAsia="仿宋"/>
        </w:rPr>
        <w:t>1、城市中心块区（街道及中心城镇）应结合充电需求、块区功能定位及特点，合理设置充电服务半径目标。</w:t>
      </w:r>
    </w:p>
    <w:p>
      <w:pPr>
        <w:pStyle w:val="10"/>
        <w:ind w:firstLine="560"/>
        <w:rPr>
          <w:rFonts w:ascii="仿宋" w:hAnsi="仿宋" w:eastAsia="仿宋"/>
        </w:rPr>
      </w:pPr>
      <w:r>
        <w:rPr>
          <w:rFonts w:ascii="仿宋" w:hAnsi="仿宋" w:eastAsia="仿宋"/>
        </w:rPr>
        <w:t>2、一般乡镇块区应确保公共充电网络的乡镇全覆盖，确保公共充电基础保障能力。</w:t>
      </w:r>
    </w:p>
    <w:p>
      <w:pPr>
        <w:pStyle w:val="10"/>
        <w:ind w:firstLine="560"/>
        <w:rPr>
          <w:rFonts w:ascii="仿宋" w:hAnsi="仿宋" w:eastAsia="仿宋"/>
        </w:rPr>
      </w:pPr>
      <w:r>
        <w:rPr>
          <w:rFonts w:ascii="仿宋" w:hAnsi="仿宋" w:eastAsia="仿宋"/>
        </w:rPr>
        <w:t>3、公共充电设施空间布局宜按照“点、线、面”三个层次开展。其中：</w:t>
      </w:r>
    </w:p>
    <w:p>
      <w:pPr>
        <w:pStyle w:val="10"/>
        <w:ind w:firstLine="560"/>
        <w:rPr>
          <w:rFonts w:ascii="仿宋" w:hAnsi="仿宋" w:eastAsia="仿宋"/>
        </w:rPr>
      </w:pPr>
      <w:r>
        <w:rPr>
          <w:rFonts w:ascii="仿宋" w:hAnsi="仿宋" w:eastAsia="仿宋"/>
        </w:rPr>
        <w:t>1）“点”上加强，交通枢纽、商业中心、大型综合体、旅游景点、文体设施等交通集散点宜结合停车场资源，按照“一点一站”的原则布局；</w:t>
      </w:r>
    </w:p>
    <w:p>
      <w:pPr>
        <w:pStyle w:val="10"/>
        <w:ind w:firstLine="560"/>
        <w:rPr>
          <w:rFonts w:ascii="仿宋" w:hAnsi="仿宋" w:eastAsia="仿宋"/>
        </w:rPr>
      </w:pPr>
      <w:r>
        <w:rPr>
          <w:rFonts w:ascii="仿宋" w:hAnsi="仿宋" w:eastAsia="仿宋"/>
        </w:rPr>
        <w:t>2）“线”上连通，主要结合规划和现状的城市主干道（含国道、省道等）周边停车场进行布局；</w:t>
      </w:r>
    </w:p>
    <w:p>
      <w:pPr>
        <w:pStyle w:val="10"/>
        <w:ind w:firstLine="560"/>
        <w:rPr>
          <w:rFonts w:ascii="仿宋" w:hAnsi="仿宋" w:eastAsia="仿宋"/>
        </w:rPr>
      </w:pPr>
      <w:r>
        <w:rPr>
          <w:rFonts w:ascii="仿宋" w:hAnsi="仿宋" w:eastAsia="仿宋"/>
        </w:rPr>
        <w:t>3）“面”上覆盖，主要按照服务半径要求合理布局，满足规划区基本充电需求。</w:t>
      </w:r>
    </w:p>
    <w:p>
      <w:pPr>
        <w:pStyle w:val="10"/>
        <w:ind w:firstLine="560"/>
        <w:rPr>
          <w:rFonts w:ascii="仿宋" w:hAnsi="仿宋" w:eastAsia="仿宋"/>
        </w:rPr>
      </w:pPr>
      <w:r>
        <w:rPr>
          <w:rFonts w:ascii="仿宋" w:hAnsi="仿宋" w:eastAsia="仿宋"/>
        </w:rPr>
        <w:t>4、对于地理位置较近的多个公共充电设施站点，可合并为一个项目，确定项目的建设总规模，不再细分至各站点。</w:t>
      </w:r>
    </w:p>
    <w:p>
      <w:pPr>
        <w:pStyle w:val="10"/>
        <w:ind w:firstLine="560"/>
        <w:rPr>
          <w:rFonts w:ascii="仿宋" w:hAnsi="仿宋" w:eastAsia="仿宋"/>
        </w:rPr>
      </w:pPr>
      <w:r>
        <w:rPr>
          <w:rFonts w:ascii="仿宋" w:hAnsi="仿宋" w:eastAsia="仿宋"/>
        </w:rPr>
        <w:t>5、公共充电设施布局应结合政府政策、城市定位、充电需求、市场环境、土地资源等因素，以快充为主，根据场地周边业态、停车场资源、电网容量、用户出行及停车特性，合理配置站点内充电桩设备类型及数量。</w:t>
      </w:r>
    </w:p>
    <w:p>
      <w:pPr>
        <w:pStyle w:val="10"/>
        <w:ind w:firstLine="560"/>
        <w:rPr>
          <w:rFonts w:ascii="仿宋" w:hAnsi="仿宋" w:eastAsia="仿宋"/>
          <w:bCs/>
        </w:rPr>
      </w:pPr>
      <w:r>
        <w:rPr>
          <w:rFonts w:ascii="仿宋" w:hAnsi="仿宋" w:eastAsia="仿宋"/>
          <w:bCs/>
        </w:rPr>
        <w:t>（3）时序安排原则</w:t>
      </w:r>
    </w:p>
    <w:p>
      <w:pPr>
        <w:pStyle w:val="10"/>
        <w:ind w:firstLine="560"/>
        <w:rPr>
          <w:rFonts w:ascii="仿宋" w:hAnsi="仿宋" w:eastAsia="仿宋"/>
        </w:rPr>
      </w:pPr>
      <w:r>
        <w:rPr>
          <w:rFonts w:ascii="仿宋" w:hAnsi="仿宋" w:eastAsia="仿宋"/>
        </w:rPr>
        <w:t>1、公共充电设施项目建设时序安排应考虑电动汽车的逐年发展情况，分析公共充电需求的逐年增长情况。</w:t>
      </w:r>
    </w:p>
    <w:p>
      <w:pPr>
        <w:pStyle w:val="10"/>
        <w:ind w:firstLine="560"/>
        <w:rPr>
          <w:rFonts w:ascii="仿宋" w:hAnsi="仿宋" w:eastAsia="仿宋"/>
        </w:rPr>
      </w:pPr>
      <w:r>
        <w:rPr>
          <w:rFonts w:ascii="仿宋" w:hAnsi="仿宋" w:eastAsia="仿宋"/>
        </w:rPr>
        <w:t>2、公共充电设施项目建设时序安排应实现各区域均衡发展。</w:t>
      </w:r>
    </w:p>
    <w:p>
      <w:pPr>
        <w:pStyle w:val="10"/>
        <w:ind w:firstLine="560"/>
        <w:rPr>
          <w:rFonts w:ascii="仿宋" w:hAnsi="仿宋" w:eastAsia="仿宋"/>
        </w:rPr>
      </w:pPr>
      <w:r>
        <w:rPr>
          <w:rFonts w:ascii="仿宋" w:hAnsi="仿宋" w:eastAsia="仿宋"/>
        </w:rPr>
        <w:t>3、优先安排充电需求较大、建设条件成熟的公共充电设施项目。</w:t>
      </w:r>
    </w:p>
    <w:p>
      <w:pPr>
        <w:pStyle w:val="10"/>
        <w:ind w:firstLine="560"/>
        <w:rPr>
          <w:rFonts w:ascii="仿宋" w:hAnsi="仿宋" w:eastAsia="仿宋"/>
        </w:rPr>
      </w:pPr>
      <w:r>
        <w:rPr>
          <w:rFonts w:ascii="仿宋" w:hAnsi="仿宋" w:eastAsia="仿宋"/>
        </w:rPr>
        <w:t>4、优先安排基础保障型公共充电设施项目，确保充电普惠服务能力。</w:t>
      </w:r>
    </w:p>
    <w:p>
      <w:pPr>
        <w:pStyle w:val="4"/>
        <w:spacing w:before="0" w:after="0" w:line="560" w:lineRule="exact"/>
        <w:rPr>
          <w:rFonts w:ascii="仿宋" w:hAnsi="仿宋" w:eastAsia="仿宋"/>
          <w:szCs w:val="22"/>
        </w:rPr>
      </w:pPr>
      <w:bookmarkStart w:id="115" w:name="_Toc68014595"/>
      <w:r>
        <w:rPr>
          <w:rFonts w:ascii="仿宋" w:hAnsi="仿宋" w:eastAsia="仿宋"/>
          <w:szCs w:val="22"/>
        </w:rPr>
        <w:t>专用充电设施布局原则</w:t>
      </w:r>
      <w:bookmarkEnd w:id="115"/>
    </w:p>
    <w:p>
      <w:pPr>
        <w:pStyle w:val="10"/>
        <w:ind w:firstLine="560"/>
        <w:rPr>
          <w:rFonts w:ascii="仿宋" w:hAnsi="仿宋" w:eastAsia="仿宋"/>
        </w:rPr>
      </w:pPr>
      <w:r>
        <w:rPr>
          <w:rFonts w:ascii="仿宋" w:hAnsi="仿宋" w:eastAsia="仿宋"/>
        </w:rPr>
        <w:t>对于公交等定点定线运行的公共服务领域电动汽车，根据线路运营需求，优先结合停车场站配建充电设施，沿途合理建设独立占地的快充站和换电站。推进城市公共充电设施建设，实现高效互补。</w:t>
      </w:r>
    </w:p>
    <w:p>
      <w:pPr>
        <w:pStyle w:val="10"/>
        <w:ind w:firstLine="560"/>
        <w:rPr>
          <w:rFonts w:ascii="仿宋" w:hAnsi="仿宋" w:eastAsia="仿宋"/>
        </w:rPr>
      </w:pPr>
      <w:r>
        <w:rPr>
          <w:rFonts w:ascii="仿宋" w:hAnsi="仿宋" w:eastAsia="仿宋"/>
          <w:bCs/>
        </w:rPr>
        <w:t>1、结合专业车辆停放场站</w:t>
      </w:r>
      <w:r>
        <w:rPr>
          <w:rFonts w:ascii="仿宋" w:hAnsi="仿宋" w:eastAsia="仿宋"/>
        </w:rPr>
        <w:t>。电动公交专用充电桩可结合城市公交首末站、公交停车场和公交枢纽建设。故本次专项规划重点参考城市公交首末站规划。</w:t>
      </w:r>
    </w:p>
    <w:p>
      <w:pPr>
        <w:pStyle w:val="10"/>
        <w:ind w:firstLine="560"/>
        <w:rPr>
          <w:rFonts w:ascii="仿宋" w:hAnsi="仿宋" w:eastAsia="仿宋"/>
        </w:rPr>
      </w:pPr>
      <w:r>
        <w:rPr>
          <w:rFonts w:ascii="仿宋" w:hAnsi="仿宋" w:eastAsia="仿宋"/>
          <w:bCs/>
        </w:rPr>
        <w:t>2、结合车辆运营特性布置</w:t>
      </w:r>
      <w:r>
        <w:rPr>
          <w:rFonts w:ascii="仿宋" w:hAnsi="仿宋" w:eastAsia="仿宋"/>
        </w:rPr>
        <w:t>。公交车辆、环卫车辆一般白天运行，需要提供大功率、快速充电式充电设施；公交车由于线路固定，故其充电设施应重点布设于公交线路首末站，环卫车的充电设施应重点布设于垃圾中转站或者垃圾处理站内。</w:t>
      </w:r>
    </w:p>
    <w:p>
      <w:pPr>
        <w:pStyle w:val="10"/>
        <w:ind w:firstLine="560"/>
        <w:rPr>
          <w:rFonts w:ascii="仿宋" w:hAnsi="仿宋" w:eastAsia="仿宋"/>
        </w:rPr>
      </w:pPr>
      <w:r>
        <w:rPr>
          <w:rFonts w:ascii="仿宋" w:hAnsi="仿宋" w:eastAsia="仿宋"/>
          <w:bCs/>
        </w:rPr>
        <w:t>3、设施布置时应因地制宜</w:t>
      </w:r>
      <w:r>
        <w:rPr>
          <w:rFonts w:ascii="仿宋" w:hAnsi="仿宋" w:eastAsia="仿宋"/>
        </w:rPr>
        <w:t>。充电设施在具体落地时，应结合专用车辆规模及场地大小综合布设，做到因地制宜。</w:t>
      </w:r>
    </w:p>
    <w:p>
      <w:pPr>
        <w:pStyle w:val="4"/>
        <w:spacing w:before="0" w:after="0" w:line="560" w:lineRule="exact"/>
        <w:rPr>
          <w:rFonts w:ascii="仿宋" w:hAnsi="仿宋" w:eastAsia="仿宋"/>
          <w:szCs w:val="22"/>
        </w:rPr>
      </w:pPr>
      <w:bookmarkStart w:id="116" w:name="_Toc68014596"/>
      <w:r>
        <w:rPr>
          <w:rFonts w:ascii="仿宋" w:hAnsi="仿宋" w:eastAsia="仿宋"/>
          <w:szCs w:val="22"/>
        </w:rPr>
        <w:t>居民自用充电设施布局原则</w:t>
      </w:r>
      <w:bookmarkEnd w:id="116"/>
    </w:p>
    <w:p>
      <w:pPr>
        <w:pStyle w:val="10"/>
        <w:ind w:firstLine="560"/>
        <w:rPr>
          <w:rFonts w:ascii="仿宋" w:hAnsi="仿宋" w:eastAsia="仿宋"/>
        </w:rPr>
      </w:pPr>
      <w:r>
        <w:rPr>
          <w:rFonts w:ascii="仿宋" w:hAnsi="仿宋" w:eastAsia="仿宋"/>
        </w:rPr>
        <w:t>自用充电设施指在个人自有或长期租赁（一年以上）的固定停车位建设的自用车辆充电设施，主要位于小区内部，坚持“一车一桩”、“桩随车走”。</w:t>
      </w:r>
    </w:p>
    <w:p>
      <w:pPr>
        <w:pStyle w:val="10"/>
        <w:ind w:firstLine="560"/>
        <w:rPr>
          <w:rFonts w:ascii="仿宋" w:hAnsi="仿宋" w:eastAsia="仿宋"/>
        </w:rPr>
      </w:pPr>
      <w:r>
        <w:rPr>
          <w:rFonts w:ascii="仿宋" w:hAnsi="仿宋" w:eastAsia="仿宋"/>
        </w:rPr>
        <w:t>新建住宅小区专属停车位，按100%配建比例预留电动汽车充电桩安装条件；具备充电设施配置要求的小区，根据实际需求和场地建设条件进行配置，老旧小区结合老旧小区改造进行配置。对有固定停车位的用户，优先在停车位配建充电设施；对没有固定车位的用户，可考虑在居民区配建公共充电位，建立充电车位分时共享制，为用户充电创造条件。在居民聚集、无配置条件的住宅区附近1公里区域内配置公共快充电站，以满足用户充电需求。</w:t>
      </w:r>
    </w:p>
    <w:p>
      <w:pPr>
        <w:pStyle w:val="4"/>
        <w:spacing w:before="0" w:after="0" w:line="560" w:lineRule="exact"/>
        <w:rPr>
          <w:rFonts w:ascii="仿宋" w:hAnsi="仿宋" w:eastAsia="仿宋"/>
          <w:szCs w:val="22"/>
        </w:rPr>
      </w:pPr>
      <w:bookmarkStart w:id="117" w:name="_Toc68014597"/>
      <w:r>
        <w:rPr>
          <w:rFonts w:ascii="仿宋" w:hAnsi="仿宋" w:eastAsia="仿宋"/>
          <w:szCs w:val="22"/>
        </w:rPr>
        <w:t>充电设施接入原则</w:t>
      </w:r>
    </w:p>
    <w:p>
      <w:pPr>
        <w:pStyle w:val="10"/>
        <w:ind w:firstLine="560"/>
        <w:rPr>
          <w:rFonts w:ascii="仿宋" w:hAnsi="仿宋" w:eastAsia="仿宋"/>
        </w:rPr>
      </w:pPr>
      <w:r>
        <w:rPr>
          <w:rFonts w:ascii="仿宋" w:hAnsi="仿宋" w:eastAsia="仿宋"/>
        </w:rPr>
        <w:t>充电设施接入电网所需的线路走廊、地下通道、变/配电站址应与城乡规划、土地利用规划和配电网发展规划相协调。充换电设施应满足配电网的配电自动化要求，其接入电网不应影响电网的可靠供电，在接入电网时应充分考虑接入点的供电能力，保障电网安全和电动汽车的电能供给。</w:t>
      </w:r>
    </w:p>
    <w:p>
      <w:pPr>
        <w:pStyle w:val="10"/>
        <w:ind w:firstLine="560"/>
        <w:rPr>
          <w:rFonts w:ascii="仿宋" w:hAnsi="仿宋" w:eastAsia="仿宋"/>
          <w:bCs/>
        </w:rPr>
      </w:pPr>
      <w:r>
        <w:rPr>
          <w:rFonts w:ascii="仿宋" w:hAnsi="仿宋" w:eastAsia="仿宋"/>
          <w:bCs/>
        </w:rPr>
        <w:t>1、接入点</w:t>
      </w:r>
    </w:p>
    <w:p>
      <w:pPr>
        <w:pStyle w:val="10"/>
        <w:ind w:firstLine="560"/>
        <w:rPr>
          <w:rFonts w:ascii="仿宋" w:hAnsi="仿宋" w:eastAsia="仿宋"/>
        </w:rPr>
      </w:pPr>
      <w:r>
        <w:rPr>
          <w:rFonts w:ascii="仿宋" w:hAnsi="仿宋" w:eastAsia="仿宋"/>
        </w:rPr>
        <w:t>220V供电的充电设备，宜接入低压公用配电箱；接入10kV电网的充换电设施，容量小于4000kVA宜接入公用电网10kV线路或接入环网柜、电缆分支箱、开关站等。</w:t>
      </w:r>
    </w:p>
    <w:p>
      <w:pPr>
        <w:pStyle w:val="10"/>
        <w:ind w:firstLine="560"/>
        <w:rPr>
          <w:rFonts w:ascii="仿宋" w:hAnsi="仿宋" w:eastAsia="仿宋"/>
          <w:bCs/>
        </w:rPr>
      </w:pPr>
      <w:r>
        <w:rPr>
          <w:rFonts w:ascii="仿宋" w:hAnsi="仿宋" w:eastAsia="仿宋"/>
          <w:bCs/>
        </w:rPr>
        <w:t>2、供电电源</w:t>
      </w:r>
    </w:p>
    <w:p>
      <w:pPr>
        <w:pStyle w:val="10"/>
        <w:ind w:firstLine="560"/>
        <w:rPr>
          <w:rFonts w:ascii="仿宋" w:hAnsi="仿宋" w:eastAsia="仿宋"/>
        </w:rPr>
      </w:pPr>
      <w:r>
        <w:rPr>
          <w:rFonts w:ascii="仿宋" w:hAnsi="仿宋" w:eastAsia="仿宋"/>
        </w:rPr>
        <w:t>充换电设施供电电源点应具备足够的供电能力，提供合格的电能质量,并确保电网安全运行。属于二级重要用户的充换电设施宜采用双回路供电，应满足如下要求：</w:t>
      </w:r>
    </w:p>
    <w:p>
      <w:pPr>
        <w:pStyle w:val="10"/>
        <w:ind w:firstLine="560"/>
        <w:rPr>
          <w:rFonts w:ascii="仿宋" w:hAnsi="仿宋" w:eastAsia="仿宋"/>
        </w:rPr>
      </w:pPr>
      <w:r>
        <w:rPr>
          <w:rFonts w:ascii="仿宋" w:hAnsi="仿宋" w:eastAsia="仿宋"/>
        </w:rPr>
        <w:t>a）当任何一路电源发生故障时，另一路电源应能对保安负荷持续供电；</w:t>
      </w:r>
    </w:p>
    <w:p>
      <w:pPr>
        <w:pStyle w:val="10"/>
        <w:ind w:firstLine="560"/>
        <w:rPr>
          <w:rFonts w:ascii="仿宋" w:hAnsi="仿宋" w:eastAsia="仿宋"/>
        </w:rPr>
      </w:pPr>
      <w:r>
        <w:rPr>
          <w:rFonts w:ascii="仿宋" w:hAnsi="仿宋" w:eastAsia="仿宋"/>
        </w:rPr>
        <w:t>b）应配置自备应急电源，电源容量至少应满足全部保安负荷正常供电需求。</w:t>
      </w:r>
    </w:p>
    <w:p>
      <w:pPr>
        <w:pStyle w:val="10"/>
        <w:ind w:firstLine="560"/>
        <w:rPr>
          <w:rFonts w:ascii="仿宋" w:hAnsi="仿宋" w:eastAsia="仿宋"/>
          <w:bCs/>
        </w:rPr>
      </w:pPr>
      <w:r>
        <w:rPr>
          <w:rFonts w:ascii="仿宋" w:hAnsi="仿宋" w:eastAsia="仿宋"/>
          <w:bCs/>
        </w:rPr>
        <w:t>3、供电变压器</w:t>
      </w:r>
    </w:p>
    <w:p>
      <w:pPr>
        <w:pStyle w:val="10"/>
        <w:ind w:firstLine="560"/>
        <w:rPr>
          <w:rFonts w:ascii="仿宋" w:hAnsi="仿宋" w:eastAsia="仿宋"/>
        </w:rPr>
      </w:pPr>
      <w:r>
        <w:rPr>
          <w:rFonts w:ascii="仿宋" w:hAnsi="仿宋" w:eastAsia="仿宋"/>
        </w:rPr>
        <w:t>充换电设施配电变压器宜选用干式低损耗节能型变压器。过负荷、大容量等特殊条件下，可选用油浸式变压器。220V单相接入的充电设施,变压器宜采用Dyn接线方式。</w:t>
      </w:r>
    </w:p>
    <w:p>
      <w:pPr>
        <w:pStyle w:val="10"/>
        <w:ind w:firstLine="560"/>
        <w:rPr>
          <w:rFonts w:ascii="仿宋" w:hAnsi="仿宋" w:eastAsia="仿宋"/>
          <w:bCs/>
        </w:rPr>
      </w:pPr>
      <w:r>
        <w:rPr>
          <w:rFonts w:ascii="仿宋" w:hAnsi="仿宋" w:eastAsia="仿宋"/>
          <w:bCs/>
        </w:rPr>
        <w:t>4、接入电网线路</w:t>
      </w:r>
    </w:p>
    <w:p>
      <w:pPr>
        <w:pStyle w:val="10"/>
        <w:ind w:firstLine="560"/>
        <w:rPr>
          <w:rFonts w:ascii="仿宋" w:hAnsi="仿宋" w:eastAsia="仿宋"/>
        </w:rPr>
      </w:pPr>
      <w:r>
        <w:rPr>
          <w:rFonts w:ascii="仿宋" w:hAnsi="仿宋" w:eastAsia="仿宋"/>
        </w:rPr>
        <w:t>充换电设施接入电网线路应具有较强的适应性，其导线截面宜根据充换电设施最终规划容量一次选定。充换电设施接入电网线路的导线截面按经济电流密度选择，并按长期允许发热和机械强度条件进行校核。</w:t>
      </w:r>
    </w:p>
    <w:p>
      <w:pPr>
        <w:pStyle w:val="10"/>
        <w:ind w:firstLine="560"/>
        <w:rPr>
          <w:rFonts w:ascii="仿宋" w:hAnsi="仿宋" w:eastAsia="仿宋"/>
        </w:rPr>
      </w:pPr>
    </w:p>
    <w:p>
      <w:pPr>
        <w:pStyle w:val="3"/>
        <w:spacing w:line="560" w:lineRule="exact"/>
        <w:rPr>
          <w:rFonts w:ascii="仿宋" w:hAnsi="仿宋" w:eastAsia="仿宋"/>
          <w:color w:val="auto"/>
          <w:szCs w:val="22"/>
        </w:rPr>
      </w:pPr>
      <w:bookmarkStart w:id="118" w:name="_Toc101299816"/>
      <w:r>
        <w:rPr>
          <w:rFonts w:ascii="仿宋" w:hAnsi="仿宋" w:eastAsia="仿宋"/>
          <w:color w:val="auto"/>
          <w:szCs w:val="22"/>
        </w:rPr>
        <w:t>充电站选址原则及设计要求</w:t>
      </w:r>
      <w:bookmarkEnd w:id="118"/>
    </w:p>
    <w:p>
      <w:pPr>
        <w:pStyle w:val="4"/>
        <w:spacing w:before="0" w:after="0" w:line="560" w:lineRule="exact"/>
        <w:rPr>
          <w:rFonts w:ascii="仿宋" w:hAnsi="仿宋" w:eastAsia="仿宋"/>
          <w:szCs w:val="22"/>
        </w:rPr>
      </w:pPr>
      <w:r>
        <w:rPr>
          <w:rFonts w:ascii="仿宋" w:hAnsi="仿宋" w:eastAsia="仿宋"/>
          <w:szCs w:val="22"/>
        </w:rPr>
        <w:t>充电站选址原则</w:t>
      </w:r>
    </w:p>
    <w:p>
      <w:pPr>
        <w:pStyle w:val="10"/>
        <w:ind w:firstLine="560"/>
        <w:rPr>
          <w:rFonts w:ascii="仿宋" w:hAnsi="仿宋" w:eastAsia="仿宋"/>
          <w:bCs/>
        </w:rPr>
      </w:pPr>
      <w:r>
        <w:rPr>
          <w:rFonts w:ascii="仿宋" w:hAnsi="仿宋" w:eastAsia="仿宋"/>
          <w:bCs/>
        </w:rPr>
        <w:t>（1）以需求为导向建立布局合理的充电站网络</w:t>
      </w:r>
    </w:p>
    <w:p>
      <w:pPr>
        <w:pStyle w:val="10"/>
        <w:ind w:firstLine="560"/>
        <w:rPr>
          <w:rFonts w:ascii="仿宋" w:hAnsi="仿宋" w:eastAsia="仿宋"/>
        </w:rPr>
      </w:pPr>
      <w:r>
        <w:rPr>
          <w:rFonts w:ascii="仿宋" w:hAnsi="仿宋" w:eastAsia="仿宋"/>
        </w:rPr>
        <w:t>充电站布局以充电需求为导向，充电需求是指一定数量的电动汽车在特定时间和特定地点对充电的需求。充电需求和交通密度密切相关，但又受到电动汽车的运行方式的制约。充电站数量控制应考虑与充电需求的分布尽可能保持一致，应与各区域的电动汽车交通密度成正比。因此，规划充电站应根据区域供需平衡情况，再结合城市空间布局结构，满足该地区电动汽车运行配套需求，服务能力适度超前。</w:t>
      </w:r>
    </w:p>
    <w:p>
      <w:pPr>
        <w:pStyle w:val="10"/>
        <w:ind w:firstLine="560"/>
        <w:rPr>
          <w:rFonts w:ascii="仿宋" w:hAnsi="仿宋" w:eastAsia="仿宋"/>
          <w:bCs/>
        </w:rPr>
      </w:pPr>
      <w:r>
        <w:rPr>
          <w:rFonts w:ascii="仿宋" w:hAnsi="仿宋" w:eastAsia="仿宋"/>
          <w:bCs/>
        </w:rPr>
        <w:t>（2）遵循差别化服务和管理方式</w:t>
      </w:r>
    </w:p>
    <w:p>
      <w:pPr>
        <w:pStyle w:val="10"/>
        <w:ind w:firstLine="560"/>
        <w:rPr>
          <w:rFonts w:ascii="仿宋" w:hAnsi="仿宋" w:eastAsia="仿宋"/>
        </w:rPr>
      </w:pPr>
      <w:r>
        <w:rPr>
          <w:rFonts w:ascii="仿宋" w:hAnsi="仿宋" w:eastAsia="仿宋"/>
        </w:rPr>
        <w:t>根据各片区充电站需求的空间分布，结合地方意向对不同类型的充电设施布局统筹安排，确保每个设施均具有合理的服务范围或密度，相邻充电站之间应保持合理的联系，从总体上实现均衡布局。考虑电池的寿命老化、交通拥堵等现实因素，从保证电动汽车使用者连续行驶角度出发，充电站的服务半径应以电动汽车单次充电行驶里程 100 公里计算。集中充电站服务范围为 100~120 平方公里，服务半径为 5~7 公里；充换电站服务半径约为 2 公里。</w:t>
      </w:r>
    </w:p>
    <w:p>
      <w:pPr>
        <w:pStyle w:val="10"/>
        <w:ind w:firstLine="560"/>
        <w:rPr>
          <w:rFonts w:ascii="仿宋" w:hAnsi="仿宋" w:eastAsia="仿宋"/>
          <w:bCs/>
        </w:rPr>
      </w:pPr>
      <w:r>
        <w:rPr>
          <w:rFonts w:ascii="仿宋" w:hAnsi="仿宋" w:eastAsia="仿宋"/>
          <w:bCs/>
        </w:rPr>
        <w:t>（3）站点布局因地制宜，土地集约化利用</w:t>
      </w:r>
    </w:p>
    <w:p>
      <w:pPr>
        <w:pStyle w:val="10"/>
        <w:ind w:firstLine="560"/>
        <w:rPr>
          <w:rFonts w:ascii="仿宋" w:hAnsi="仿宋" w:eastAsia="仿宋"/>
        </w:rPr>
      </w:pPr>
      <w:r>
        <w:rPr>
          <w:rFonts w:ascii="仿宋" w:hAnsi="仿宋" w:eastAsia="仿宋"/>
        </w:rPr>
        <w:t>集中充电站考虑独立建设；充换电站可独立或结合公交场站、交通枢纽、公共停车场、轨道交通站点，P+R 停车场等市政设施用地建设。独立充电桩可考虑在住宅小区、办公场所、大型超市等公共设施的停车位建设，一般按停车位数量的 2%~3%布设。</w:t>
      </w:r>
    </w:p>
    <w:p>
      <w:pPr>
        <w:pStyle w:val="10"/>
        <w:ind w:firstLine="560"/>
        <w:rPr>
          <w:rFonts w:ascii="仿宋" w:hAnsi="仿宋" w:eastAsia="仿宋"/>
          <w:bCs/>
        </w:rPr>
      </w:pPr>
      <w:r>
        <w:rPr>
          <w:rFonts w:ascii="仿宋" w:hAnsi="仿宋" w:eastAsia="仿宋"/>
          <w:bCs/>
        </w:rPr>
        <w:t>（4）满足城市总体规划和路网规划要求</w:t>
      </w:r>
    </w:p>
    <w:p>
      <w:pPr>
        <w:pStyle w:val="10"/>
        <w:ind w:firstLine="560"/>
        <w:rPr>
          <w:rFonts w:ascii="仿宋" w:hAnsi="仿宋" w:eastAsia="仿宋"/>
        </w:rPr>
      </w:pPr>
      <w:r>
        <w:rPr>
          <w:rFonts w:ascii="仿宋" w:hAnsi="仿宋" w:eastAsia="仿宋"/>
        </w:rPr>
        <w:t>充电站布局是对不同区域的充电站需求条件分析后得出的结果，但是具体到充电站选址定点时还须考虑其实施条件的可能性。充电站的选址定点应结合地区建设规划和路网规划，以网点总体布局规划为宏观控制依据，经过对布局网点及其周围地区规划选址方案的比较，确定网点设置用地。</w:t>
      </w:r>
    </w:p>
    <w:p>
      <w:pPr>
        <w:pStyle w:val="10"/>
        <w:ind w:firstLine="560"/>
        <w:rPr>
          <w:rFonts w:ascii="仿宋" w:hAnsi="仿宋" w:eastAsia="仿宋"/>
          <w:bCs/>
        </w:rPr>
      </w:pPr>
      <w:r>
        <w:rPr>
          <w:rFonts w:ascii="仿宋" w:hAnsi="仿宋" w:eastAsia="仿宋"/>
          <w:bCs/>
        </w:rPr>
        <w:t>（5）满足站点用地面积相关规范要求</w:t>
      </w:r>
    </w:p>
    <w:p>
      <w:pPr>
        <w:pStyle w:val="10"/>
        <w:ind w:firstLine="560"/>
        <w:rPr>
          <w:rFonts w:ascii="仿宋" w:hAnsi="仿宋" w:eastAsia="仿宋"/>
        </w:rPr>
      </w:pPr>
      <w:r>
        <w:rPr>
          <w:rFonts w:ascii="仿宋" w:hAnsi="仿宋" w:eastAsia="仿宋"/>
        </w:rPr>
        <w:t>根据充电站的基本功能和配置要求，参考《城市道路交通规划设计规范》中加油站用地面积的规定和国家电网公司充电站相关标准的要求，以土地高效利用为基础，本次规划综合相关规范标准与行业实践经验，从节约用地角度出发，确定规划充电站选址用地规模为：集中充电站用地面积按照 3000 平方米预留。大型充换电站面积按 2000 平方米预留，中型充换电站按 1000 平方米预留，小型充换电站按 800 平方米预留。此外，充电站布点应满足环境保护、防火安全等要求，宜充分利用就近的供电、交通、消防等公用设施。</w:t>
      </w:r>
    </w:p>
    <w:p>
      <w:pPr>
        <w:pStyle w:val="4"/>
        <w:spacing w:before="0" w:after="0" w:line="560" w:lineRule="exact"/>
        <w:rPr>
          <w:rFonts w:ascii="仿宋" w:hAnsi="仿宋" w:eastAsia="仿宋"/>
          <w:szCs w:val="22"/>
        </w:rPr>
      </w:pPr>
      <w:r>
        <w:rPr>
          <w:rFonts w:ascii="仿宋" w:hAnsi="仿宋" w:eastAsia="仿宋"/>
          <w:szCs w:val="22"/>
        </w:rPr>
        <w:t>充电站设计原则</w:t>
      </w:r>
    </w:p>
    <w:p>
      <w:pPr>
        <w:pStyle w:val="10"/>
        <w:ind w:firstLine="560"/>
        <w:rPr>
          <w:rFonts w:ascii="仿宋" w:hAnsi="仿宋" w:eastAsia="仿宋"/>
        </w:rPr>
      </w:pPr>
      <w:r>
        <w:rPr>
          <w:rFonts w:ascii="仿宋" w:hAnsi="仿宋" w:eastAsia="仿宋"/>
        </w:rPr>
        <w:t>（1）在保证交通组织顺通、工艺布置合理的前提下，应根据自然地形布置充电站尽量减少土石方。在用电紧张的地区，充电站内停车位可采用立体布局。充电设备的布局宜靠近上级供配电设备，以缩短供电电缆的路径。</w:t>
      </w:r>
    </w:p>
    <w:p>
      <w:pPr>
        <w:pStyle w:val="10"/>
        <w:ind w:firstLine="560"/>
        <w:rPr>
          <w:rFonts w:ascii="仿宋" w:hAnsi="仿宋" w:eastAsia="仿宋"/>
        </w:rPr>
      </w:pPr>
      <w:r>
        <w:rPr>
          <w:rFonts w:ascii="仿宋" w:hAnsi="仿宋" w:eastAsia="仿宋"/>
        </w:rPr>
        <w:t>（2）充电站宜设在临时停车位置。</w:t>
      </w:r>
    </w:p>
    <w:p>
      <w:pPr>
        <w:pStyle w:val="10"/>
        <w:ind w:firstLine="560"/>
        <w:rPr>
          <w:rFonts w:ascii="仿宋" w:hAnsi="仿宋" w:eastAsia="仿宋"/>
        </w:rPr>
      </w:pPr>
      <w:r>
        <w:rPr>
          <w:rFonts w:ascii="仿宋" w:hAnsi="仿宋" w:eastAsia="仿宋"/>
        </w:rPr>
        <w:t>（3）充电站内道路的设置应满足消防及服务车辆通行的要求。充电站的出入口不宜少于2个，当充电站的车位不超过50个时，可设置一个出入口。出入口宜分开设置，并明确指示标识。</w:t>
      </w:r>
    </w:p>
    <w:p>
      <w:pPr>
        <w:pStyle w:val="10"/>
        <w:ind w:firstLine="560"/>
        <w:rPr>
          <w:rFonts w:ascii="仿宋" w:hAnsi="仿宋" w:eastAsia="仿宋"/>
        </w:rPr>
      </w:pPr>
      <w:r>
        <w:rPr>
          <w:rFonts w:ascii="仿宋" w:hAnsi="仿宋" w:eastAsia="仿宋"/>
        </w:rPr>
        <w:t>（4）充电设备应靠近充电位布置，以便于充电，设备外廓距充电位边缘的净距不宜小于0.4m。充电设备的布置不宜妨碍其他车辆充电和通行，同时应采取保护充电设备及操作人员安全的措施。</w:t>
      </w:r>
    </w:p>
    <w:p>
      <w:pPr>
        <w:pStyle w:val="10"/>
        <w:ind w:firstLine="560"/>
        <w:rPr>
          <w:rFonts w:ascii="仿宋" w:hAnsi="仿宋" w:eastAsia="仿宋"/>
        </w:rPr>
      </w:pPr>
      <w:r>
        <w:rPr>
          <w:rFonts w:ascii="仿宋" w:hAnsi="仿宋" w:eastAsia="仿宋"/>
        </w:rPr>
        <w:t>（5）充电站宜由中压线路供电；用电设备容量在100kW及以下或需用的变压器容量在50kVA以下的，可采用低压供电。</w:t>
      </w:r>
    </w:p>
    <w:p>
      <w:pPr>
        <w:pStyle w:val="10"/>
        <w:ind w:firstLine="560"/>
        <w:rPr>
          <w:rFonts w:ascii="仿宋" w:hAnsi="仿宋" w:eastAsia="仿宋"/>
        </w:rPr>
      </w:pPr>
      <w:r>
        <w:rPr>
          <w:rFonts w:ascii="仿宋" w:hAnsi="仿宋" w:eastAsia="仿宋"/>
        </w:rPr>
        <w:t>（6）交流充电桩供电电源应采用220V交流电压，额定电压不应大于32A。</w:t>
      </w:r>
    </w:p>
    <w:p>
      <w:pPr>
        <w:pStyle w:val="10"/>
        <w:ind w:firstLine="560"/>
        <w:rPr>
          <w:rFonts w:ascii="仿宋" w:hAnsi="仿宋" w:eastAsia="仿宋"/>
        </w:rPr>
      </w:pPr>
    </w:p>
    <w:bookmarkEnd w:id="117"/>
    <w:p>
      <w:pPr>
        <w:pStyle w:val="3"/>
        <w:spacing w:line="560" w:lineRule="exact"/>
        <w:rPr>
          <w:rFonts w:ascii="仿宋" w:hAnsi="仿宋" w:eastAsia="仿宋"/>
          <w:color w:val="auto"/>
          <w:szCs w:val="22"/>
        </w:rPr>
      </w:pPr>
      <w:bookmarkStart w:id="119" w:name="_Toc68014598"/>
      <w:bookmarkStart w:id="120" w:name="_Toc101299817"/>
      <w:r>
        <w:rPr>
          <w:rFonts w:hint="eastAsia" w:ascii="仿宋" w:hAnsi="仿宋" w:eastAsia="仿宋"/>
          <w:color w:val="auto"/>
          <w:szCs w:val="22"/>
        </w:rPr>
        <w:t>充</w:t>
      </w:r>
      <w:r>
        <w:rPr>
          <w:rFonts w:ascii="仿宋" w:hAnsi="仿宋" w:eastAsia="仿宋"/>
          <w:color w:val="auto"/>
          <w:szCs w:val="22"/>
        </w:rPr>
        <w:t>电基础设施布</w:t>
      </w:r>
      <w:r>
        <w:rPr>
          <w:rFonts w:hint="eastAsia" w:ascii="仿宋" w:hAnsi="仿宋" w:eastAsia="仿宋"/>
          <w:color w:val="auto"/>
          <w:szCs w:val="22"/>
        </w:rPr>
        <w:t>局</w:t>
      </w:r>
      <w:r>
        <w:rPr>
          <w:rFonts w:ascii="仿宋" w:hAnsi="仿宋" w:eastAsia="仿宋"/>
          <w:color w:val="auto"/>
          <w:szCs w:val="22"/>
        </w:rPr>
        <w:t>方案</w:t>
      </w:r>
      <w:bookmarkEnd w:id="119"/>
      <w:bookmarkEnd w:id="120"/>
    </w:p>
    <w:p>
      <w:pPr>
        <w:pStyle w:val="4"/>
        <w:rPr>
          <w:rFonts w:ascii="仿宋" w:hAnsi="仿宋" w:eastAsia="仿宋"/>
          <w:szCs w:val="22"/>
        </w:rPr>
      </w:pPr>
      <w:r>
        <w:rPr>
          <w:rFonts w:hint="eastAsia" w:ascii="仿宋" w:hAnsi="仿宋" w:eastAsia="仿宋"/>
          <w:szCs w:val="22"/>
        </w:rPr>
        <w:t>公交车、客运车专用充电设施布点</w:t>
      </w:r>
    </w:p>
    <w:p>
      <w:pPr>
        <w:pStyle w:val="10"/>
        <w:ind w:firstLine="560"/>
        <w:rPr>
          <w:rFonts w:ascii="仿宋" w:hAnsi="仿宋" w:eastAsia="仿宋"/>
        </w:rPr>
      </w:pPr>
      <w:r>
        <w:rPr>
          <w:rFonts w:hint="eastAsia" w:ascii="仿宋" w:hAnsi="仿宋" w:eastAsia="仿宋"/>
        </w:rPr>
        <w:t>电动公交车、</w:t>
      </w:r>
      <w:r>
        <w:rPr>
          <w:rFonts w:ascii="仿宋" w:hAnsi="仿宋" w:eastAsia="仿宋"/>
        </w:rPr>
        <w:t>客运车</w:t>
      </w:r>
      <w:r>
        <w:rPr>
          <w:rFonts w:hint="eastAsia" w:ascii="仿宋" w:hAnsi="仿宋" w:eastAsia="仿宋"/>
        </w:rPr>
        <w:t>运行路线和行驶里程相对固定，大中城市公交车日均行驶里程200-250公里。公交车停靠地点为始、末站停车场，客运</w:t>
      </w:r>
      <w:r>
        <w:rPr>
          <w:rFonts w:ascii="仿宋" w:hAnsi="仿宋" w:eastAsia="仿宋"/>
        </w:rPr>
        <w:t>车</w:t>
      </w:r>
      <w:r>
        <w:rPr>
          <w:rFonts w:hint="eastAsia" w:ascii="仿宋" w:hAnsi="仿宋" w:eastAsia="仿宋"/>
        </w:rPr>
        <w:t>主要</w:t>
      </w:r>
      <w:r>
        <w:rPr>
          <w:rFonts w:ascii="仿宋" w:hAnsi="仿宋" w:eastAsia="仿宋"/>
        </w:rPr>
        <w:t>停靠点为</w:t>
      </w:r>
      <w:r>
        <w:rPr>
          <w:rFonts w:hint="eastAsia" w:ascii="仿宋" w:hAnsi="仿宋" w:eastAsia="仿宋"/>
        </w:rPr>
        <w:t>县级客运枢纽站、乡镇输服务站，主要通过公交、</w:t>
      </w:r>
      <w:r>
        <w:rPr>
          <w:rFonts w:ascii="仿宋" w:hAnsi="仿宋" w:eastAsia="仿宋"/>
        </w:rPr>
        <w:t>客运专用</w:t>
      </w:r>
      <w:r>
        <w:rPr>
          <w:rFonts w:hint="eastAsia" w:ascii="仿宋" w:hAnsi="仿宋" w:eastAsia="仿宋"/>
        </w:rPr>
        <w:t>充电设施进行电能补充。</w:t>
      </w:r>
    </w:p>
    <w:p>
      <w:pPr>
        <w:pStyle w:val="10"/>
        <w:ind w:firstLine="560"/>
        <w:rPr>
          <w:rFonts w:ascii="仿宋" w:hAnsi="仿宋" w:eastAsia="仿宋"/>
        </w:rPr>
      </w:pPr>
      <w:r>
        <w:rPr>
          <w:rFonts w:hint="eastAsia" w:ascii="仿宋" w:hAnsi="仿宋" w:eastAsia="仿宋"/>
        </w:rPr>
        <w:t>本次规划考虑结合公交枢纽站、首末站、停保场，县级客运枢纽站、乡镇服务站配套建设公交、</w:t>
      </w:r>
      <w:r>
        <w:rPr>
          <w:rFonts w:ascii="仿宋" w:hAnsi="仿宋" w:eastAsia="仿宋"/>
        </w:rPr>
        <w:t>客运</w:t>
      </w:r>
      <w:r>
        <w:rPr>
          <w:rFonts w:hint="eastAsia" w:ascii="仿宋" w:hAnsi="仿宋" w:eastAsia="仿宋"/>
        </w:rPr>
        <w:t>充电点77处，其中公交车充电桩数</w:t>
      </w:r>
      <w:r>
        <w:rPr>
          <w:rFonts w:ascii="仿宋" w:hAnsi="仿宋" w:eastAsia="仿宋"/>
        </w:rPr>
        <w:t>961</w:t>
      </w:r>
      <w:r>
        <w:rPr>
          <w:rFonts w:hint="eastAsia" w:ascii="仿宋" w:hAnsi="仿宋" w:eastAsia="仿宋"/>
        </w:rPr>
        <w:t>个(已建</w:t>
      </w:r>
      <w:r>
        <w:rPr>
          <w:rFonts w:ascii="仿宋" w:hAnsi="仿宋" w:eastAsia="仿宋"/>
        </w:rPr>
        <w:t>389</w:t>
      </w:r>
      <w:r>
        <w:rPr>
          <w:rFonts w:hint="eastAsia" w:ascii="仿宋" w:hAnsi="仿宋" w:eastAsia="仿宋"/>
        </w:rPr>
        <w:t>个，新建</w:t>
      </w:r>
      <w:r>
        <w:rPr>
          <w:rFonts w:ascii="仿宋" w:hAnsi="仿宋" w:eastAsia="仿宋"/>
        </w:rPr>
        <w:t>572</w:t>
      </w:r>
      <w:r>
        <w:rPr>
          <w:rFonts w:hint="eastAsia" w:ascii="仿宋" w:hAnsi="仿宋" w:eastAsia="仿宋"/>
        </w:rPr>
        <w:t>个)，客运</w:t>
      </w:r>
      <w:r>
        <w:rPr>
          <w:rFonts w:ascii="仿宋" w:hAnsi="仿宋" w:eastAsia="仿宋"/>
        </w:rPr>
        <w:t>充电桩数596</w:t>
      </w:r>
      <w:r>
        <w:rPr>
          <w:rFonts w:hint="eastAsia" w:ascii="仿宋" w:hAnsi="仿宋" w:eastAsia="仿宋"/>
        </w:rPr>
        <w:t>个（已</w:t>
      </w:r>
      <w:r>
        <w:rPr>
          <w:rFonts w:ascii="仿宋" w:hAnsi="仿宋" w:eastAsia="仿宋"/>
        </w:rPr>
        <w:t>建218</w:t>
      </w:r>
      <w:r>
        <w:rPr>
          <w:rFonts w:hint="eastAsia" w:ascii="仿宋" w:hAnsi="仿宋" w:eastAsia="仿宋"/>
        </w:rPr>
        <w:t>个</w:t>
      </w:r>
      <w:r>
        <w:rPr>
          <w:rFonts w:ascii="仿宋" w:hAnsi="仿宋" w:eastAsia="仿宋"/>
        </w:rPr>
        <w:t>，新建378</w:t>
      </w:r>
      <w:r>
        <w:rPr>
          <w:rFonts w:hint="eastAsia" w:ascii="仿宋" w:hAnsi="仿宋" w:eastAsia="仿宋"/>
        </w:rPr>
        <w:t>个），能够满足岳阳市</w:t>
      </w:r>
      <w:r>
        <w:rPr>
          <w:rFonts w:ascii="仿宋" w:hAnsi="仿宋" w:eastAsia="仿宋"/>
        </w:rPr>
        <w:t>1823</w:t>
      </w:r>
      <w:r>
        <w:rPr>
          <w:rFonts w:hint="eastAsia" w:ascii="仿宋" w:hAnsi="仿宋" w:eastAsia="仿宋"/>
        </w:rPr>
        <w:t>辆电动公交车、1</w:t>
      </w:r>
      <w:r>
        <w:rPr>
          <w:rFonts w:ascii="仿宋" w:hAnsi="仿宋" w:eastAsia="仿宋"/>
        </w:rPr>
        <w:t>4</w:t>
      </w:r>
      <w:r>
        <w:rPr>
          <w:rFonts w:hint="eastAsia" w:ascii="仿宋" w:hAnsi="仿宋" w:eastAsia="仿宋"/>
        </w:rPr>
        <w:t>90辆客运</w:t>
      </w:r>
      <w:r>
        <w:rPr>
          <w:rFonts w:ascii="仿宋" w:hAnsi="仿宋" w:eastAsia="仿宋"/>
        </w:rPr>
        <w:t>车</w:t>
      </w:r>
      <w:r>
        <w:rPr>
          <w:rFonts w:hint="eastAsia" w:ascii="仿宋" w:hAnsi="仿宋" w:eastAsia="仿宋"/>
        </w:rPr>
        <w:t>日常运营时的充电需求。</w:t>
      </w:r>
    </w:p>
    <w:p>
      <w:pPr>
        <w:pStyle w:val="4"/>
        <w:rPr>
          <w:rFonts w:ascii="仿宋" w:hAnsi="仿宋" w:eastAsia="仿宋"/>
        </w:rPr>
      </w:pPr>
      <w:r>
        <w:rPr>
          <w:rFonts w:ascii="仿宋" w:hAnsi="仿宋" w:eastAsia="仿宋"/>
        </w:rPr>
        <w:t>出租车</w:t>
      </w:r>
      <w:r>
        <w:rPr>
          <w:rFonts w:hint="eastAsia" w:ascii="仿宋" w:hAnsi="仿宋" w:eastAsia="仿宋"/>
        </w:rPr>
        <w:t>专用充电设施布点</w:t>
      </w:r>
    </w:p>
    <w:p>
      <w:pPr>
        <w:pStyle w:val="10"/>
        <w:ind w:firstLine="560"/>
        <w:rPr>
          <w:rFonts w:ascii="仿宋" w:hAnsi="仿宋" w:eastAsia="仿宋"/>
        </w:rPr>
      </w:pPr>
      <w:r>
        <w:rPr>
          <w:rFonts w:hint="eastAsia" w:ascii="仿宋" w:hAnsi="仿宋" w:eastAsia="仿宋"/>
        </w:rPr>
        <w:t>电动出租车行驶时间一般远大于停泊时间，日均行驶里程受城市规模、运营时间和服务半径影响较大，大中城市出租车日均行驶里程350-500公里，且出租车与私人乘用车类似，行驶路线、泊车位置一般无固定规律。本规划中出租车主要考虑通过公共充电设施补充电能，另外结合主要公共交通枢纽中的出租车营业站、服务站配套建设少量出租车充电设施。</w:t>
      </w:r>
    </w:p>
    <w:p>
      <w:pPr>
        <w:pStyle w:val="10"/>
        <w:ind w:firstLine="560"/>
        <w:rPr>
          <w:rFonts w:ascii="仿宋" w:hAnsi="仿宋" w:eastAsia="仿宋"/>
        </w:rPr>
      </w:pPr>
      <w:r>
        <w:rPr>
          <w:rFonts w:hint="eastAsia" w:ascii="仿宋" w:hAnsi="仿宋" w:eastAsia="仿宋"/>
        </w:rPr>
        <w:t>本次规划考虑结合出租车营业站、服务站配套建设出租车充电站</w:t>
      </w:r>
      <w:r>
        <w:rPr>
          <w:rFonts w:ascii="仿宋" w:hAnsi="仿宋" w:eastAsia="仿宋"/>
        </w:rPr>
        <w:t>11</w:t>
      </w:r>
      <w:r>
        <w:rPr>
          <w:rFonts w:hint="eastAsia" w:ascii="仿宋" w:hAnsi="仿宋" w:eastAsia="仿宋"/>
        </w:rPr>
        <w:t>处，充</w:t>
      </w:r>
      <w:r>
        <w:rPr>
          <w:rFonts w:ascii="仿宋" w:hAnsi="仿宋" w:eastAsia="仿宋"/>
        </w:rPr>
        <w:t>电桩</w:t>
      </w:r>
      <w:r>
        <w:rPr>
          <w:rFonts w:hint="eastAsia" w:ascii="仿宋" w:hAnsi="仿宋" w:eastAsia="仿宋"/>
        </w:rPr>
        <w:t>184个。岳</w:t>
      </w:r>
      <w:r>
        <w:rPr>
          <w:rFonts w:ascii="仿宋" w:hAnsi="仿宋" w:eastAsia="仿宋"/>
        </w:rPr>
        <w:t>阳市中心城区</w:t>
      </w:r>
      <w:r>
        <w:rPr>
          <w:rFonts w:hint="eastAsia" w:ascii="仿宋" w:hAnsi="仿宋" w:eastAsia="仿宋"/>
        </w:rPr>
        <w:t>按</w:t>
      </w:r>
      <w:r>
        <w:rPr>
          <w:rFonts w:ascii="仿宋" w:hAnsi="仿宋" w:eastAsia="仿宋"/>
        </w:rPr>
        <w:t>2</w:t>
      </w:r>
      <w:r>
        <w:rPr>
          <w:rFonts w:hint="eastAsia" w:ascii="仿宋" w:hAnsi="仿宋" w:eastAsia="仿宋"/>
        </w:rPr>
        <w:t>座规划</w:t>
      </w:r>
      <w:r>
        <w:rPr>
          <w:rFonts w:ascii="仿宋" w:hAnsi="仿宋" w:eastAsia="仿宋"/>
        </w:rPr>
        <w:t>、</w:t>
      </w:r>
      <w:r>
        <w:rPr>
          <w:rFonts w:hint="eastAsia" w:ascii="仿宋" w:hAnsi="仿宋" w:eastAsia="仿宋"/>
        </w:rPr>
        <w:t>各</w:t>
      </w:r>
      <w:r>
        <w:rPr>
          <w:rFonts w:ascii="仿宋" w:hAnsi="仿宋" w:eastAsia="仿宋"/>
        </w:rPr>
        <w:t>县区按</w:t>
      </w:r>
      <w:r>
        <w:rPr>
          <w:rFonts w:hint="eastAsia" w:ascii="仿宋" w:hAnsi="仿宋" w:eastAsia="仿宋"/>
        </w:rPr>
        <w:t>1座</w:t>
      </w:r>
      <w:r>
        <w:rPr>
          <w:rFonts w:ascii="仿宋" w:hAnsi="仿宋" w:eastAsia="仿宋"/>
        </w:rPr>
        <w:t>规划，</w:t>
      </w:r>
      <w:r>
        <w:rPr>
          <w:rFonts w:hint="eastAsia" w:ascii="仿宋" w:hAnsi="仿宋" w:eastAsia="仿宋"/>
        </w:rPr>
        <w:t>能够满足岳阳市2020辆出租车日常运营时的充电需求。</w:t>
      </w:r>
    </w:p>
    <w:p>
      <w:pPr>
        <w:pStyle w:val="4"/>
        <w:rPr>
          <w:rFonts w:ascii="仿宋" w:hAnsi="仿宋" w:eastAsia="仿宋"/>
        </w:rPr>
      </w:pPr>
      <w:r>
        <w:rPr>
          <w:rFonts w:hint="eastAsia" w:ascii="仿宋" w:hAnsi="仿宋" w:eastAsia="仿宋"/>
        </w:rPr>
        <w:t>环卫车、物流车专用充电设施布点</w:t>
      </w:r>
    </w:p>
    <w:p>
      <w:pPr>
        <w:pStyle w:val="12"/>
        <w:ind w:firstLine="560"/>
        <w:rPr>
          <w:rFonts w:ascii="仿宋" w:hAnsi="仿宋" w:eastAsia="仿宋"/>
          <w:kern w:val="0"/>
        </w:rPr>
      </w:pPr>
      <w:r>
        <w:rPr>
          <w:rFonts w:hint="eastAsia" w:ascii="仿宋" w:hAnsi="仿宋" w:eastAsia="仿宋"/>
          <w:kern w:val="0"/>
        </w:rPr>
        <w:t>环卫专用车辆泊车规律较为固定，除执行任务外均停泊于固定停车场所。结合环卫车辆行驶线路、行驶特性、泊车规律等条件进行科学合理布点，考虑优先选择环卫车辆固定停泊的停车场。本次规划考虑结合规划的环卫车停车场配套建设环卫专用车充电站11座，总充电桩数</w:t>
      </w:r>
      <w:r>
        <w:rPr>
          <w:rFonts w:ascii="仿宋" w:hAnsi="仿宋" w:eastAsia="仿宋"/>
          <w:kern w:val="0"/>
        </w:rPr>
        <w:t>57</w:t>
      </w:r>
      <w:r>
        <w:rPr>
          <w:rFonts w:hint="eastAsia" w:ascii="仿宋" w:hAnsi="仿宋" w:eastAsia="仿宋"/>
          <w:kern w:val="0"/>
        </w:rPr>
        <w:t>个，能够满足岳阳市环卫专用车充电需求。</w:t>
      </w:r>
    </w:p>
    <w:p>
      <w:pPr>
        <w:pStyle w:val="12"/>
        <w:ind w:firstLine="560"/>
        <w:rPr>
          <w:rFonts w:ascii="仿宋" w:hAnsi="仿宋" w:eastAsia="仿宋"/>
          <w:kern w:val="0"/>
        </w:rPr>
      </w:pPr>
      <w:r>
        <w:rPr>
          <w:rFonts w:hint="eastAsia" w:ascii="仿宋" w:hAnsi="仿宋" w:eastAsia="仿宋"/>
          <w:kern w:val="0"/>
        </w:rPr>
        <w:t>物流专用车辆泊车规律较为固定，除执行任务外均停泊于固定停车场所。结合专用车辆行驶线路、行驶特性、泊车规律等条件进行科学合理布点。考虑优先选择专用车固定停泊的停车场。根据《岳阳市综合交通体系发展“十四五”规划-交通物流专项规划》，岳阳社会物流系统节点网络的框架结构为四大综</w:t>
      </w:r>
      <w:r>
        <w:rPr>
          <w:rFonts w:ascii="仿宋" w:hAnsi="仿宋" w:eastAsia="仿宋"/>
          <w:kern w:val="0"/>
        </w:rPr>
        <w:t>合</w:t>
      </w:r>
      <w:r>
        <w:rPr>
          <w:rFonts w:hint="eastAsia" w:ascii="仿宋" w:hAnsi="仿宋" w:eastAsia="仿宋"/>
          <w:kern w:val="0"/>
        </w:rPr>
        <w:t>物流园区和八个集聚辐射能力较强的物流园。本次规划考虑结合规划的物流园区、物流中心配套建设物流专用车充电站29处，总充电桩数</w:t>
      </w:r>
      <w:r>
        <w:rPr>
          <w:rFonts w:ascii="仿宋" w:hAnsi="仿宋" w:eastAsia="仿宋"/>
          <w:kern w:val="0"/>
        </w:rPr>
        <w:t>414</w:t>
      </w:r>
      <w:r>
        <w:rPr>
          <w:rFonts w:hint="eastAsia" w:ascii="仿宋" w:hAnsi="仿宋" w:eastAsia="仿宋"/>
          <w:kern w:val="0"/>
        </w:rPr>
        <w:t>个，能够满足岳阳市物流专用车充电需求。</w:t>
      </w:r>
    </w:p>
    <w:p>
      <w:pPr>
        <w:pStyle w:val="4"/>
        <w:rPr>
          <w:rFonts w:ascii="仿宋" w:hAnsi="仿宋" w:eastAsia="仿宋"/>
        </w:rPr>
      </w:pPr>
      <w:r>
        <w:rPr>
          <w:rFonts w:hint="eastAsia" w:ascii="仿宋" w:hAnsi="仿宋" w:eastAsia="仿宋"/>
        </w:rPr>
        <w:t>公共充电设施布点</w:t>
      </w:r>
    </w:p>
    <w:p>
      <w:pPr>
        <w:pStyle w:val="12"/>
        <w:ind w:firstLine="560"/>
        <w:rPr>
          <w:rFonts w:ascii="仿宋" w:hAnsi="仿宋" w:eastAsia="仿宋"/>
          <w:kern w:val="0"/>
        </w:rPr>
      </w:pPr>
      <w:r>
        <w:rPr>
          <w:rFonts w:hint="eastAsia" w:ascii="仿宋" w:hAnsi="仿宋" w:eastAsia="仿宋"/>
          <w:kern w:val="0"/>
        </w:rPr>
        <w:t>本次规划中岳阳市公共充电设施主要服务对象为：电动私家车、电动公务车、电动出租车等小型乘用车辆。公共充电设施为提高充电效率，可选取一些位置较好、车位较多(50个及以上停车位)的大型社会公共停车场建设集中式公共充电站。</w:t>
      </w:r>
    </w:p>
    <w:p>
      <w:pPr>
        <w:pStyle w:val="12"/>
        <w:ind w:firstLine="560"/>
        <w:rPr>
          <w:rFonts w:ascii="仿宋" w:hAnsi="仿宋" w:eastAsia="仿宋"/>
          <w:kern w:val="0"/>
        </w:rPr>
      </w:pPr>
      <w:r>
        <w:rPr>
          <w:rFonts w:hint="eastAsia" w:ascii="仿宋" w:hAnsi="仿宋" w:eastAsia="仿宋"/>
          <w:kern w:val="0"/>
        </w:rPr>
        <w:t>主要布</w:t>
      </w:r>
      <w:r>
        <w:rPr>
          <w:rFonts w:ascii="仿宋" w:hAnsi="仿宋" w:eastAsia="仿宋"/>
          <w:kern w:val="0"/>
        </w:rPr>
        <w:t>点区域：</w:t>
      </w:r>
    </w:p>
    <w:p>
      <w:pPr>
        <w:pStyle w:val="12"/>
        <w:numPr>
          <w:ilvl w:val="1"/>
          <w:numId w:val="2"/>
        </w:numPr>
        <w:tabs>
          <w:tab w:val="clear" w:pos="909"/>
        </w:tabs>
        <w:ind w:left="0" w:firstLine="709" w:firstLineChars="0"/>
        <w:rPr>
          <w:rFonts w:ascii="仿宋" w:hAnsi="仿宋" w:eastAsia="仿宋"/>
          <w:kern w:val="0"/>
        </w:rPr>
      </w:pPr>
      <w:r>
        <w:rPr>
          <w:rFonts w:hint="eastAsia" w:ascii="仿宋" w:hAnsi="仿宋" w:eastAsia="仿宋"/>
          <w:kern w:val="0"/>
        </w:rPr>
        <w:t>大型公共建筑物停车场、社会公共停车场所停车场；</w:t>
      </w:r>
    </w:p>
    <w:p>
      <w:pPr>
        <w:pStyle w:val="12"/>
        <w:numPr>
          <w:ilvl w:val="1"/>
          <w:numId w:val="2"/>
        </w:numPr>
        <w:tabs>
          <w:tab w:val="clear" w:pos="909"/>
        </w:tabs>
        <w:ind w:hanging="200" w:firstLineChars="0"/>
        <w:rPr>
          <w:rFonts w:ascii="仿宋" w:hAnsi="仿宋" w:eastAsia="仿宋"/>
          <w:kern w:val="0"/>
        </w:rPr>
      </w:pPr>
      <w:r>
        <w:rPr>
          <w:rFonts w:hint="eastAsia" w:ascii="仿宋" w:hAnsi="仿宋" w:eastAsia="仿宋"/>
          <w:kern w:val="0"/>
        </w:rPr>
        <w:t>全市党政机关、企事业单位内部停车场；</w:t>
      </w:r>
    </w:p>
    <w:p>
      <w:pPr>
        <w:pStyle w:val="12"/>
        <w:numPr>
          <w:ilvl w:val="1"/>
          <w:numId w:val="2"/>
        </w:numPr>
        <w:tabs>
          <w:tab w:val="clear" w:pos="909"/>
        </w:tabs>
        <w:ind w:hanging="200" w:firstLineChars="0"/>
        <w:rPr>
          <w:rFonts w:ascii="仿宋" w:hAnsi="仿宋" w:eastAsia="仿宋"/>
          <w:kern w:val="0"/>
        </w:rPr>
      </w:pPr>
      <w:r>
        <w:rPr>
          <w:rFonts w:hint="eastAsia" w:ascii="仿宋" w:hAnsi="仿宋" w:eastAsia="仿宋"/>
          <w:kern w:val="0"/>
        </w:rPr>
        <w:t>旅游</w:t>
      </w:r>
      <w:r>
        <w:rPr>
          <w:rFonts w:ascii="仿宋" w:hAnsi="仿宋" w:eastAsia="仿宋"/>
          <w:kern w:val="0"/>
        </w:rPr>
        <w:t>景区、公园广场</w:t>
      </w:r>
      <w:r>
        <w:rPr>
          <w:rFonts w:hint="eastAsia" w:ascii="仿宋" w:hAnsi="仿宋" w:eastAsia="仿宋"/>
          <w:kern w:val="0"/>
        </w:rPr>
        <w:t>；</w:t>
      </w:r>
    </w:p>
    <w:p>
      <w:pPr>
        <w:pStyle w:val="12"/>
        <w:numPr>
          <w:ilvl w:val="1"/>
          <w:numId w:val="2"/>
        </w:numPr>
        <w:tabs>
          <w:tab w:val="clear" w:pos="909"/>
        </w:tabs>
        <w:ind w:hanging="200" w:firstLineChars="0"/>
        <w:rPr>
          <w:rFonts w:ascii="仿宋" w:hAnsi="仿宋" w:eastAsia="仿宋"/>
          <w:kern w:val="0"/>
        </w:rPr>
      </w:pPr>
      <w:r>
        <w:rPr>
          <w:rFonts w:hint="eastAsia" w:ascii="仿宋" w:hAnsi="仿宋" w:eastAsia="仿宋"/>
          <w:kern w:val="0"/>
        </w:rPr>
        <w:t>干线公路沿线有条件的区域及具备条件的已建加油站等；</w:t>
      </w:r>
    </w:p>
    <w:p>
      <w:pPr>
        <w:pStyle w:val="12"/>
        <w:numPr>
          <w:ilvl w:val="1"/>
          <w:numId w:val="2"/>
        </w:numPr>
        <w:tabs>
          <w:tab w:val="clear" w:pos="909"/>
        </w:tabs>
        <w:ind w:hanging="200" w:firstLineChars="0"/>
        <w:rPr>
          <w:rFonts w:ascii="仿宋" w:hAnsi="仿宋" w:eastAsia="仿宋"/>
          <w:kern w:val="0"/>
        </w:rPr>
      </w:pPr>
      <w:r>
        <w:rPr>
          <w:rFonts w:hint="eastAsia" w:ascii="仿宋" w:hAnsi="仿宋" w:eastAsia="仿宋"/>
          <w:kern w:val="0"/>
        </w:rPr>
        <w:t>各乡</w:t>
      </w:r>
      <w:r>
        <w:rPr>
          <w:rFonts w:ascii="仿宋" w:hAnsi="仿宋" w:eastAsia="仿宋"/>
          <w:kern w:val="0"/>
        </w:rPr>
        <w:t>镇镇域中心及</w:t>
      </w:r>
      <w:r>
        <w:rPr>
          <w:rFonts w:hint="eastAsia" w:ascii="仿宋" w:hAnsi="仿宋" w:eastAsia="仿宋"/>
          <w:kern w:val="0"/>
        </w:rPr>
        <w:t>经济</w:t>
      </w:r>
      <w:r>
        <w:rPr>
          <w:rFonts w:ascii="仿宋" w:hAnsi="仿宋" w:eastAsia="仿宋"/>
          <w:kern w:val="0"/>
        </w:rPr>
        <w:t>较为发达的</w:t>
      </w:r>
      <w:r>
        <w:rPr>
          <w:rFonts w:hint="eastAsia" w:ascii="仿宋" w:hAnsi="仿宋" w:eastAsia="仿宋"/>
          <w:kern w:val="0"/>
        </w:rPr>
        <w:t>村</w:t>
      </w:r>
      <w:r>
        <w:rPr>
          <w:rFonts w:ascii="仿宋" w:hAnsi="仿宋" w:eastAsia="仿宋"/>
          <w:kern w:val="0"/>
        </w:rPr>
        <w:t>组</w:t>
      </w:r>
    </w:p>
    <w:p>
      <w:pPr>
        <w:pStyle w:val="12"/>
        <w:ind w:firstLine="560"/>
        <w:rPr>
          <w:rFonts w:ascii="仿宋" w:hAnsi="仿宋" w:eastAsia="仿宋"/>
          <w:kern w:val="0"/>
        </w:rPr>
      </w:pPr>
      <w:r>
        <w:rPr>
          <w:rFonts w:hint="eastAsia" w:ascii="仿宋" w:hAnsi="仿宋" w:eastAsia="仿宋"/>
          <w:kern w:val="0"/>
        </w:rPr>
        <w:t>本次规划考虑结合以上重</w:t>
      </w:r>
      <w:r>
        <w:rPr>
          <w:rFonts w:ascii="仿宋" w:hAnsi="仿宋" w:eastAsia="仿宋"/>
          <w:kern w:val="0"/>
        </w:rPr>
        <w:t>点建设区域</w:t>
      </w:r>
      <w:r>
        <w:rPr>
          <w:rFonts w:hint="eastAsia" w:ascii="仿宋" w:hAnsi="仿宋" w:eastAsia="仿宋"/>
          <w:kern w:val="0"/>
        </w:rPr>
        <w:t>，共规划了充</w:t>
      </w:r>
      <w:r>
        <w:rPr>
          <w:rFonts w:ascii="仿宋" w:hAnsi="仿宋" w:eastAsia="仿宋"/>
          <w:kern w:val="0"/>
        </w:rPr>
        <w:t>电桩</w:t>
      </w:r>
      <w:r>
        <w:rPr>
          <w:rFonts w:hint="eastAsia" w:ascii="仿宋" w:hAnsi="仿宋" w:eastAsia="仿宋"/>
          <w:kern w:val="0"/>
        </w:rPr>
        <w:t>5100个。其中：公共充电点</w:t>
      </w:r>
      <w:r>
        <w:rPr>
          <w:rFonts w:ascii="仿宋" w:hAnsi="仿宋" w:eastAsia="仿宋"/>
          <w:kern w:val="0"/>
        </w:rPr>
        <w:t>216</w:t>
      </w:r>
      <w:r>
        <w:rPr>
          <w:rFonts w:hint="eastAsia" w:ascii="仿宋" w:hAnsi="仿宋" w:eastAsia="仿宋"/>
          <w:kern w:val="0"/>
        </w:rPr>
        <w:t>处，充</w:t>
      </w:r>
      <w:r>
        <w:rPr>
          <w:rFonts w:ascii="仿宋" w:hAnsi="仿宋" w:eastAsia="仿宋"/>
          <w:kern w:val="0"/>
        </w:rPr>
        <w:t>电桩数2094</w:t>
      </w:r>
      <w:r>
        <w:rPr>
          <w:rFonts w:hint="eastAsia" w:ascii="仿宋" w:hAnsi="仿宋" w:eastAsia="仿宋"/>
          <w:kern w:val="0"/>
        </w:rPr>
        <w:t>个</w:t>
      </w:r>
      <w:r>
        <w:rPr>
          <w:rFonts w:ascii="仿宋" w:hAnsi="仿宋" w:eastAsia="仿宋"/>
          <w:kern w:val="0"/>
        </w:rPr>
        <w:t>；</w:t>
      </w:r>
      <w:r>
        <w:rPr>
          <w:rFonts w:hint="eastAsia" w:ascii="仿宋" w:hAnsi="仿宋" w:eastAsia="仿宋"/>
          <w:kern w:val="0"/>
        </w:rPr>
        <w:t>党政机关、企事业单位内部停车场充</w:t>
      </w:r>
      <w:r>
        <w:rPr>
          <w:rFonts w:ascii="仿宋" w:hAnsi="仿宋" w:eastAsia="仿宋"/>
          <w:kern w:val="0"/>
        </w:rPr>
        <w:t>电站</w:t>
      </w:r>
      <w:r>
        <w:rPr>
          <w:rFonts w:hint="eastAsia" w:ascii="仿宋" w:hAnsi="仿宋" w:eastAsia="仿宋"/>
          <w:kern w:val="0"/>
        </w:rPr>
        <w:t>165处</w:t>
      </w:r>
      <w:r>
        <w:rPr>
          <w:rFonts w:ascii="仿宋" w:hAnsi="仿宋" w:eastAsia="仿宋"/>
          <w:kern w:val="0"/>
        </w:rPr>
        <w:t>，</w:t>
      </w:r>
      <w:r>
        <w:rPr>
          <w:rFonts w:hint="eastAsia" w:ascii="仿宋" w:hAnsi="仿宋" w:eastAsia="仿宋"/>
          <w:kern w:val="0"/>
        </w:rPr>
        <w:t>充</w:t>
      </w:r>
      <w:r>
        <w:rPr>
          <w:rFonts w:ascii="仿宋" w:hAnsi="仿宋" w:eastAsia="仿宋"/>
          <w:kern w:val="0"/>
        </w:rPr>
        <w:t>电桩数1666</w:t>
      </w:r>
      <w:r>
        <w:rPr>
          <w:rFonts w:hint="eastAsia" w:ascii="仿宋" w:hAnsi="仿宋" w:eastAsia="仿宋"/>
          <w:kern w:val="0"/>
        </w:rPr>
        <w:t>个；以</w:t>
      </w:r>
      <w:r>
        <w:rPr>
          <w:rFonts w:ascii="仿宋" w:hAnsi="仿宋" w:eastAsia="仿宋"/>
          <w:kern w:val="0"/>
        </w:rPr>
        <w:t>及</w:t>
      </w:r>
      <w:r>
        <w:rPr>
          <w:rFonts w:hint="eastAsia" w:ascii="仿宋" w:hAnsi="仿宋" w:eastAsia="仿宋"/>
          <w:kern w:val="0"/>
        </w:rPr>
        <w:t>覆盖</w:t>
      </w:r>
      <w:r>
        <w:rPr>
          <w:rFonts w:ascii="仿宋" w:hAnsi="仿宋" w:eastAsia="仿宋"/>
          <w:kern w:val="0"/>
        </w:rPr>
        <w:t>全</w:t>
      </w:r>
      <w:r>
        <w:rPr>
          <w:rFonts w:hint="eastAsia" w:ascii="仿宋" w:hAnsi="仿宋" w:eastAsia="仿宋"/>
          <w:kern w:val="0"/>
        </w:rPr>
        <w:t>457个乡镇的</w:t>
      </w:r>
      <w:r>
        <w:rPr>
          <w:rFonts w:ascii="仿宋" w:hAnsi="仿宋" w:eastAsia="仿宋"/>
          <w:kern w:val="0"/>
        </w:rPr>
        <w:t>分散式</w:t>
      </w:r>
      <w:r>
        <w:rPr>
          <w:rFonts w:hint="eastAsia" w:ascii="仿宋" w:hAnsi="仿宋" w:eastAsia="仿宋"/>
          <w:kern w:val="0"/>
        </w:rPr>
        <w:t>充电桩</w:t>
      </w:r>
      <w:r>
        <w:rPr>
          <w:rFonts w:ascii="仿宋" w:hAnsi="仿宋" w:eastAsia="仿宋"/>
          <w:kern w:val="0"/>
        </w:rPr>
        <w:t>1340</w:t>
      </w:r>
      <w:r>
        <w:rPr>
          <w:rFonts w:hint="eastAsia" w:ascii="仿宋" w:hAnsi="仿宋" w:eastAsia="仿宋"/>
          <w:kern w:val="0"/>
        </w:rPr>
        <w:t>个。</w:t>
      </w:r>
    </w:p>
    <w:p>
      <w:pPr>
        <w:pStyle w:val="4"/>
        <w:rPr>
          <w:rFonts w:ascii="仿宋" w:hAnsi="仿宋" w:eastAsia="仿宋"/>
        </w:rPr>
      </w:pPr>
      <w:r>
        <w:rPr>
          <w:rFonts w:hint="eastAsia" w:ascii="仿宋" w:hAnsi="仿宋" w:eastAsia="仿宋"/>
        </w:rPr>
        <w:t>单位专用充电设施规划</w:t>
      </w:r>
    </w:p>
    <w:p>
      <w:pPr>
        <w:pStyle w:val="12"/>
        <w:ind w:firstLine="560"/>
        <w:rPr>
          <w:rFonts w:ascii="仿宋" w:hAnsi="仿宋" w:eastAsia="仿宋"/>
          <w:kern w:val="0"/>
        </w:rPr>
      </w:pPr>
      <w:r>
        <w:rPr>
          <w:rFonts w:hint="eastAsia" w:ascii="仿宋" w:hAnsi="仿宋" w:eastAsia="仿宋"/>
          <w:kern w:val="0"/>
        </w:rPr>
        <w:t>单位公</w:t>
      </w:r>
      <w:r>
        <w:rPr>
          <w:rFonts w:ascii="仿宋" w:hAnsi="仿宋" w:eastAsia="仿宋"/>
          <w:kern w:val="0"/>
        </w:rPr>
        <w:t>务车</w:t>
      </w:r>
      <w:r>
        <w:rPr>
          <w:rFonts w:hint="eastAsia" w:ascii="仿宋" w:hAnsi="仿宋" w:eastAsia="仿宋"/>
          <w:kern w:val="0"/>
        </w:rPr>
        <w:t>以“</w:t>
      </w:r>
      <w:r>
        <w:rPr>
          <w:rFonts w:ascii="仿宋" w:hAnsi="仿宋" w:eastAsia="仿宋"/>
          <w:kern w:val="0"/>
        </w:rPr>
        <w:t>专用慢充为主，公用快充为辅</w:t>
      </w:r>
      <w:r>
        <w:rPr>
          <w:rFonts w:hint="eastAsia" w:ascii="仿宋" w:hAnsi="仿宋" w:eastAsia="仿宋"/>
          <w:kern w:val="0"/>
        </w:rPr>
        <w:t>”</w:t>
      </w:r>
      <w:r>
        <w:rPr>
          <w:rFonts w:ascii="仿宋" w:hAnsi="仿宋" w:eastAsia="仿宋"/>
          <w:kern w:val="0"/>
        </w:rPr>
        <w:t>的原则</w:t>
      </w:r>
      <w:r>
        <w:rPr>
          <w:rFonts w:hint="eastAsia" w:ascii="仿宋" w:hAnsi="仿宋" w:eastAsia="仿宋"/>
          <w:kern w:val="0"/>
        </w:rPr>
        <w:t>建设</w:t>
      </w:r>
      <w:r>
        <w:rPr>
          <w:rFonts w:ascii="仿宋" w:hAnsi="仿宋" w:eastAsia="仿宋"/>
          <w:kern w:val="0"/>
        </w:rPr>
        <w:t>专用充电桩。</w:t>
      </w:r>
      <w:r>
        <w:rPr>
          <w:rFonts w:hint="eastAsia" w:ascii="仿宋" w:hAnsi="仿宋" w:eastAsia="仿宋"/>
          <w:kern w:val="0"/>
        </w:rPr>
        <w:t>规划期</w:t>
      </w:r>
      <w:r>
        <w:rPr>
          <w:rFonts w:ascii="仿宋" w:hAnsi="仿宋" w:eastAsia="仿宋"/>
          <w:kern w:val="0"/>
        </w:rPr>
        <w:t>末</w:t>
      </w:r>
      <w:r>
        <w:rPr>
          <w:rFonts w:hint="eastAsia" w:ascii="仿宋" w:hAnsi="仿宋" w:eastAsia="仿宋"/>
          <w:kern w:val="0"/>
        </w:rPr>
        <w:t>电</w:t>
      </w:r>
      <w:r>
        <w:rPr>
          <w:rFonts w:ascii="仿宋" w:hAnsi="仿宋" w:eastAsia="仿宋"/>
          <w:kern w:val="0"/>
        </w:rPr>
        <w:t>动公务车的</w:t>
      </w:r>
      <w:r>
        <w:rPr>
          <w:rFonts w:hint="eastAsia" w:ascii="仿宋" w:hAnsi="仿宋" w:eastAsia="仿宋"/>
          <w:kern w:val="0"/>
        </w:rPr>
        <w:t>数量</w:t>
      </w:r>
      <w:r>
        <w:rPr>
          <w:rFonts w:ascii="仿宋" w:hAnsi="仿宋" w:eastAsia="仿宋"/>
          <w:kern w:val="0"/>
        </w:rPr>
        <w:t>预计为4199</w:t>
      </w:r>
      <w:r>
        <w:rPr>
          <w:rFonts w:hint="eastAsia" w:ascii="仿宋" w:hAnsi="仿宋" w:eastAsia="仿宋"/>
          <w:kern w:val="0"/>
        </w:rPr>
        <w:t>辆</w:t>
      </w:r>
      <w:r>
        <w:rPr>
          <w:rFonts w:ascii="仿宋" w:hAnsi="仿宋" w:eastAsia="仿宋"/>
          <w:kern w:val="0"/>
        </w:rPr>
        <w:t>，按</w:t>
      </w:r>
      <w:r>
        <w:rPr>
          <w:rFonts w:hint="eastAsia" w:ascii="仿宋" w:hAnsi="仿宋" w:eastAsia="仿宋"/>
          <w:kern w:val="0"/>
        </w:rPr>
        <w:t>2：1的</w:t>
      </w:r>
      <w:r>
        <w:rPr>
          <w:rFonts w:ascii="仿宋" w:hAnsi="仿宋" w:eastAsia="仿宋"/>
          <w:kern w:val="0"/>
        </w:rPr>
        <w:t>车</w:t>
      </w:r>
      <w:r>
        <w:rPr>
          <w:rFonts w:hint="eastAsia" w:ascii="仿宋" w:hAnsi="仿宋" w:eastAsia="仿宋"/>
          <w:kern w:val="0"/>
        </w:rPr>
        <w:t>桩</w:t>
      </w:r>
      <w:r>
        <w:rPr>
          <w:rFonts w:ascii="仿宋" w:hAnsi="仿宋" w:eastAsia="仿宋"/>
          <w:kern w:val="0"/>
        </w:rPr>
        <w:t>比</w:t>
      </w:r>
      <w:r>
        <w:rPr>
          <w:rFonts w:hint="eastAsia" w:ascii="仿宋" w:hAnsi="仿宋" w:eastAsia="仿宋"/>
          <w:kern w:val="0"/>
        </w:rPr>
        <w:t>共</w:t>
      </w:r>
      <w:r>
        <w:rPr>
          <w:rFonts w:ascii="仿宋" w:hAnsi="仿宋" w:eastAsia="仿宋"/>
          <w:kern w:val="0"/>
        </w:rPr>
        <w:t>建设2100</w:t>
      </w:r>
      <w:r>
        <w:rPr>
          <w:rFonts w:hint="eastAsia" w:ascii="仿宋" w:hAnsi="仿宋" w:eastAsia="仿宋"/>
          <w:kern w:val="0"/>
        </w:rPr>
        <w:t>个</w:t>
      </w:r>
      <w:r>
        <w:rPr>
          <w:rFonts w:ascii="仿宋" w:hAnsi="仿宋" w:eastAsia="仿宋"/>
          <w:kern w:val="0"/>
        </w:rPr>
        <w:t>交流慢充桩，建设于本单位内部停车场</w:t>
      </w:r>
      <w:r>
        <w:rPr>
          <w:rFonts w:hint="eastAsia" w:ascii="仿宋" w:hAnsi="仿宋" w:eastAsia="仿宋"/>
          <w:kern w:val="0"/>
        </w:rPr>
        <w:t>，</w:t>
      </w:r>
      <w:r>
        <w:rPr>
          <w:rFonts w:ascii="仿宋" w:hAnsi="仿宋" w:eastAsia="仿宋"/>
          <w:kern w:val="0"/>
        </w:rPr>
        <w:t>由</w:t>
      </w:r>
      <w:r>
        <w:rPr>
          <w:rFonts w:hint="eastAsia" w:ascii="仿宋" w:hAnsi="仿宋" w:eastAsia="仿宋"/>
          <w:kern w:val="0"/>
        </w:rPr>
        <w:t>本</w:t>
      </w:r>
      <w:r>
        <w:rPr>
          <w:rFonts w:ascii="仿宋" w:hAnsi="仿宋" w:eastAsia="仿宋"/>
          <w:kern w:val="0"/>
        </w:rPr>
        <w:t>单位出资建设</w:t>
      </w:r>
      <w:r>
        <w:rPr>
          <w:rFonts w:hint="eastAsia" w:ascii="仿宋" w:hAnsi="仿宋" w:eastAsia="仿宋"/>
          <w:kern w:val="0"/>
        </w:rPr>
        <w:t>。</w:t>
      </w:r>
    </w:p>
    <w:p>
      <w:pPr>
        <w:pStyle w:val="4"/>
        <w:rPr>
          <w:rFonts w:ascii="仿宋" w:hAnsi="仿宋" w:eastAsia="仿宋"/>
        </w:rPr>
      </w:pPr>
      <w:r>
        <w:rPr>
          <w:rFonts w:hint="eastAsia" w:ascii="仿宋" w:hAnsi="仿宋" w:eastAsia="仿宋"/>
        </w:rPr>
        <w:t>居</w:t>
      </w:r>
      <w:r>
        <w:rPr>
          <w:rFonts w:ascii="仿宋" w:hAnsi="仿宋" w:eastAsia="仿宋"/>
        </w:rPr>
        <w:t>民</w:t>
      </w:r>
      <w:r>
        <w:rPr>
          <w:rFonts w:hint="eastAsia" w:ascii="仿宋" w:hAnsi="仿宋" w:eastAsia="仿宋"/>
        </w:rPr>
        <w:t>专用充电设施规划</w:t>
      </w:r>
    </w:p>
    <w:p>
      <w:pPr>
        <w:pStyle w:val="12"/>
        <w:ind w:firstLine="560"/>
        <w:rPr>
          <w:rFonts w:ascii="仿宋" w:hAnsi="仿宋" w:eastAsia="仿宋"/>
          <w:kern w:val="0"/>
        </w:rPr>
      </w:pPr>
      <w:r>
        <w:rPr>
          <w:rFonts w:hint="eastAsia" w:ascii="仿宋" w:hAnsi="仿宋" w:eastAsia="仿宋"/>
          <w:kern w:val="0"/>
        </w:rPr>
        <w:t>居</w:t>
      </w:r>
      <w:r>
        <w:rPr>
          <w:rFonts w:ascii="仿宋" w:hAnsi="仿宋" w:eastAsia="仿宋"/>
          <w:kern w:val="0"/>
        </w:rPr>
        <w:t>民</w:t>
      </w:r>
      <w:r>
        <w:rPr>
          <w:rFonts w:hint="eastAsia" w:ascii="仿宋" w:hAnsi="仿宋" w:eastAsia="仿宋"/>
          <w:kern w:val="0"/>
        </w:rPr>
        <w:t>自用充电设施指在个人自有或长期租赁（一年以上）的固定停车位建设的自用车辆充电设施，一</w:t>
      </w:r>
      <w:r>
        <w:rPr>
          <w:rFonts w:ascii="仿宋" w:hAnsi="仿宋" w:eastAsia="仿宋"/>
          <w:kern w:val="0"/>
        </w:rPr>
        <w:t>般为</w:t>
      </w:r>
      <w:r>
        <w:rPr>
          <w:rFonts w:hint="eastAsia" w:ascii="仿宋" w:hAnsi="仿宋" w:eastAsia="仿宋"/>
          <w:kern w:val="0"/>
        </w:rPr>
        <w:t>7kW慢</w:t>
      </w:r>
      <w:r>
        <w:rPr>
          <w:rFonts w:ascii="仿宋" w:hAnsi="仿宋" w:eastAsia="仿宋"/>
          <w:kern w:val="0"/>
        </w:rPr>
        <w:t>充交流桩，</w:t>
      </w:r>
      <w:r>
        <w:rPr>
          <w:rFonts w:hint="eastAsia" w:ascii="仿宋" w:hAnsi="仿宋" w:eastAsia="仿宋"/>
          <w:kern w:val="0"/>
        </w:rPr>
        <w:t>由用</w:t>
      </w:r>
      <w:r>
        <w:rPr>
          <w:rFonts w:ascii="仿宋" w:hAnsi="仿宋" w:eastAsia="仿宋"/>
          <w:kern w:val="0"/>
        </w:rPr>
        <w:t>户本人投资建设</w:t>
      </w:r>
      <w:r>
        <w:rPr>
          <w:rFonts w:hint="eastAsia" w:ascii="仿宋" w:hAnsi="仿宋" w:eastAsia="仿宋"/>
          <w:kern w:val="0"/>
        </w:rPr>
        <w:t>。</w:t>
      </w:r>
    </w:p>
    <w:p>
      <w:pPr>
        <w:pStyle w:val="12"/>
        <w:ind w:firstLine="560"/>
        <w:rPr>
          <w:rFonts w:ascii="仿宋" w:hAnsi="仿宋" w:eastAsia="仿宋"/>
          <w:kern w:val="0"/>
        </w:rPr>
      </w:pPr>
      <w:r>
        <w:rPr>
          <w:rFonts w:hint="eastAsia" w:ascii="仿宋" w:hAnsi="仿宋" w:eastAsia="仿宋"/>
          <w:kern w:val="0"/>
        </w:rPr>
        <w:t>根据</w:t>
      </w:r>
      <w:r>
        <w:rPr>
          <w:rFonts w:ascii="仿宋" w:hAnsi="仿宋" w:eastAsia="仿宋"/>
          <w:kern w:val="0"/>
        </w:rPr>
        <w:t>市政府</w:t>
      </w:r>
      <w:r>
        <w:rPr>
          <w:rFonts w:hint="eastAsia" w:ascii="仿宋" w:hAnsi="仿宋" w:eastAsia="仿宋"/>
          <w:kern w:val="0"/>
        </w:rPr>
        <w:t>2021年13号文</w:t>
      </w:r>
      <w:r>
        <w:rPr>
          <w:rFonts w:ascii="仿宋" w:hAnsi="仿宋" w:eastAsia="仿宋"/>
          <w:kern w:val="0"/>
        </w:rPr>
        <w:t>要求：</w:t>
      </w:r>
      <w:r>
        <w:rPr>
          <w:rFonts w:hint="eastAsia" w:ascii="仿宋" w:hAnsi="仿宋" w:eastAsia="仿宋"/>
          <w:kern w:val="0"/>
        </w:rPr>
        <w:t>新建住宅小区专属停车位，按100%配建比例预留电动汽车充电桩安装条件；具备充电设施配置要求的小区，根据实际需求和场地建设条件进行配置，老旧小区结合老旧小区改造进行配置。对有固定停车位的用户，优先在停车位配建充电设施；对没有固定车位的用户，可考虑在居民区配建公共充电位，建立充电车位分时共享制，为用户充电创造条件。在居民聚集、无配置条件的住宅区附近1公里区域内配置公共快充电站，以满足用户充电需求。</w:t>
      </w:r>
    </w:p>
    <w:p>
      <w:pPr>
        <w:pStyle w:val="12"/>
        <w:ind w:firstLine="560"/>
        <w:rPr>
          <w:rFonts w:ascii="仿宋" w:hAnsi="仿宋" w:eastAsia="仿宋"/>
          <w:kern w:val="0"/>
        </w:rPr>
      </w:pPr>
      <w:r>
        <w:rPr>
          <w:rFonts w:hint="eastAsia" w:ascii="仿宋" w:hAnsi="仿宋" w:eastAsia="仿宋"/>
          <w:kern w:val="0"/>
        </w:rPr>
        <w:t>综</w:t>
      </w:r>
      <w:r>
        <w:rPr>
          <w:rFonts w:ascii="仿宋" w:hAnsi="仿宋" w:eastAsia="仿宋"/>
          <w:kern w:val="0"/>
        </w:rPr>
        <w:t>合考虑</w:t>
      </w:r>
      <w:r>
        <w:rPr>
          <w:rFonts w:hint="eastAsia" w:ascii="仿宋" w:hAnsi="仿宋" w:eastAsia="仿宋"/>
          <w:kern w:val="0"/>
        </w:rPr>
        <w:t>私人</w:t>
      </w:r>
      <w:r>
        <w:rPr>
          <w:rFonts w:ascii="仿宋" w:hAnsi="仿宋" w:eastAsia="仿宋"/>
          <w:kern w:val="0"/>
        </w:rPr>
        <w:t>电动汽车保有量、充电</w:t>
      </w:r>
      <w:r>
        <w:rPr>
          <w:rFonts w:hint="eastAsia" w:ascii="仿宋" w:hAnsi="仿宋" w:eastAsia="仿宋"/>
          <w:kern w:val="0"/>
        </w:rPr>
        <w:t>桩建设</w:t>
      </w:r>
      <w:r>
        <w:rPr>
          <w:rFonts w:ascii="仿宋" w:hAnsi="仿宋" w:eastAsia="仿宋"/>
          <w:kern w:val="0"/>
        </w:rPr>
        <w:t>条</w:t>
      </w:r>
      <w:r>
        <w:rPr>
          <w:rFonts w:hint="eastAsia" w:ascii="仿宋" w:hAnsi="仿宋" w:eastAsia="仿宋"/>
          <w:kern w:val="0"/>
        </w:rPr>
        <w:t>件</w:t>
      </w:r>
      <w:r>
        <w:rPr>
          <w:rFonts w:ascii="仿宋" w:hAnsi="仿宋" w:eastAsia="仿宋"/>
          <w:kern w:val="0"/>
        </w:rPr>
        <w:t>、用户建设</w:t>
      </w:r>
      <w:r>
        <w:rPr>
          <w:rFonts w:hint="eastAsia" w:ascii="仿宋" w:hAnsi="仿宋" w:eastAsia="仿宋"/>
          <w:kern w:val="0"/>
        </w:rPr>
        <w:t>意愿等</w:t>
      </w:r>
      <w:r>
        <w:rPr>
          <w:rFonts w:ascii="仿宋" w:hAnsi="仿宋" w:eastAsia="仿宋"/>
          <w:kern w:val="0"/>
        </w:rPr>
        <w:t>多方面因素，</w:t>
      </w:r>
      <w:r>
        <w:rPr>
          <w:rFonts w:hint="eastAsia" w:ascii="仿宋" w:hAnsi="仿宋" w:eastAsia="仿宋"/>
          <w:kern w:val="0"/>
        </w:rPr>
        <w:t>预计</w:t>
      </w:r>
      <w:r>
        <w:rPr>
          <w:rFonts w:ascii="仿宋" w:hAnsi="仿宋" w:eastAsia="仿宋"/>
          <w:kern w:val="0"/>
        </w:rPr>
        <w:t>到</w:t>
      </w:r>
      <w:r>
        <w:rPr>
          <w:rFonts w:hint="eastAsia" w:ascii="仿宋" w:hAnsi="仿宋" w:eastAsia="仿宋"/>
          <w:kern w:val="0"/>
        </w:rPr>
        <w:t>2025年</w:t>
      </w:r>
      <w:r>
        <w:rPr>
          <w:rFonts w:ascii="仿宋" w:hAnsi="仿宋" w:eastAsia="仿宋"/>
          <w:kern w:val="0"/>
        </w:rPr>
        <w:t>末，居民自用</w:t>
      </w:r>
      <w:r>
        <w:rPr>
          <w:rFonts w:hint="eastAsia" w:ascii="仿宋" w:hAnsi="仿宋" w:eastAsia="仿宋"/>
          <w:kern w:val="0"/>
        </w:rPr>
        <w:t>充</w:t>
      </w:r>
      <w:r>
        <w:rPr>
          <w:rFonts w:ascii="仿宋" w:hAnsi="仿宋" w:eastAsia="仿宋"/>
          <w:kern w:val="0"/>
        </w:rPr>
        <w:t>电桩数量将达到1.87</w:t>
      </w:r>
      <w:r>
        <w:rPr>
          <w:rFonts w:hint="eastAsia" w:ascii="仿宋" w:hAnsi="仿宋" w:eastAsia="仿宋"/>
          <w:kern w:val="0"/>
        </w:rPr>
        <w:t>万</w:t>
      </w:r>
      <w:r>
        <w:rPr>
          <w:rFonts w:ascii="仿宋" w:hAnsi="仿宋" w:eastAsia="仿宋"/>
          <w:kern w:val="0"/>
        </w:rPr>
        <w:t>台。</w:t>
      </w:r>
    </w:p>
    <w:p>
      <w:pPr>
        <w:pStyle w:val="12"/>
        <w:ind w:firstLine="0" w:firstLineChars="0"/>
        <w:rPr>
          <w:rFonts w:ascii="仿宋" w:hAnsi="仿宋" w:eastAsia="仿宋"/>
          <w:kern w:val="0"/>
        </w:rPr>
        <w:sectPr>
          <w:pgSz w:w="11906" w:h="16838"/>
          <w:pgMar w:top="1440" w:right="1800" w:bottom="1440" w:left="1800" w:header="851" w:footer="992" w:gutter="0"/>
          <w:cols w:space="425" w:num="1"/>
          <w:docGrid w:type="lines" w:linePitch="312" w:charSpace="0"/>
        </w:sectPr>
      </w:pPr>
    </w:p>
    <w:p>
      <w:pPr>
        <w:pStyle w:val="2"/>
        <w:tabs>
          <w:tab w:val="clear" w:pos="3970"/>
        </w:tabs>
        <w:spacing w:line="560" w:lineRule="exact"/>
        <w:ind w:left="2410" w:hanging="2269"/>
        <w:rPr>
          <w:rFonts w:ascii="仿宋" w:hAnsi="仿宋" w:eastAsia="仿宋"/>
          <w:sz w:val="36"/>
          <w:szCs w:val="36"/>
        </w:rPr>
      </w:pPr>
      <w:bookmarkStart w:id="121" w:name="_Toc68014614"/>
      <w:bookmarkStart w:id="122" w:name="_Toc101299818"/>
      <w:r>
        <w:rPr>
          <w:rFonts w:ascii="仿宋" w:hAnsi="仿宋" w:eastAsia="仿宋"/>
          <w:sz w:val="36"/>
          <w:szCs w:val="36"/>
        </w:rPr>
        <w:t>投资及成效评估</w:t>
      </w:r>
      <w:bookmarkEnd w:id="121"/>
      <w:bookmarkEnd w:id="122"/>
    </w:p>
    <w:p>
      <w:pPr>
        <w:pStyle w:val="3"/>
        <w:spacing w:line="560" w:lineRule="exact"/>
        <w:rPr>
          <w:rFonts w:ascii="仿宋" w:hAnsi="仿宋" w:eastAsia="仿宋"/>
          <w:color w:val="auto"/>
          <w:szCs w:val="22"/>
        </w:rPr>
      </w:pPr>
      <w:bookmarkStart w:id="123" w:name="_Toc101299819"/>
      <w:r>
        <w:rPr>
          <w:rFonts w:hint="eastAsia" w:ascii="仿宋" w:hAnsi="仿宋" w:eastAsia="仿宋"/>
          <w:color w:val="auto"/>
          <w:szCs w:val="22"/>
        </w:rPr>
        <w:t>投资估算</w:t>
      </w:r>
      <w:bookmarkEnd w:id="123"/>
    </w:p>
    <w:p>
      <w:pPr>
        <w:pStyle w:val="10"/>
        <w:ind w:firstLine="560"/>
        <w:rPr>
          <w:rFonts w:ascii="仿宋" w:hAnsi="仿宋" w:eastAsia="仿宋"/>
        </w:rPr>
      </w:pPr>
      <w:r>
        <w:rPr>
          <w:rFonts w:hint="eastAsia" w:ascii="仿宋" w:hAnsi="仿宋" w:eastAsia="仿宋"/>
        </w:rPr>
        <w:t>结</w:t>
      </w:r>
      <w:r>
        <w:rPr>
          <w:rFonts w:ascii="仿宋" w:hAnsi="仿宋" w:eastAsia="仿宋"/>
        </w:rPr>
        <w:t>合</w:t>
      </w:r>
      <w:r>
        <w:rPr>
          <w:rFonts w:hint="eastAsia" w:ascii="仿宋" w:hAnsi="仿宋" w:eastAsia="仿宋"/>
        </w:rPr>
        <w:t>典型充电桩类型及造价水平，直</w:t>
      </w:r>
      <w:r>
        <w:rPr>
          <w:rFonts w:ascii="仿宋" w:hAnsi="仿宋" w:eastAsia="仿宋"/>
        </w:rPr>
        <w:t>流充电桩综合造价</w:t>
      </w:r>
      <w:r>
        <w:rPr>
          <w:rFonts w:hint="eastAsia" w:ascii="仿宋" w:hAnsi="仿宋" w:eastAsia="仿宋"/>
        </w:rPr>
        <w:t>按20万元/桩</w:t>
      </w:r>
      <w:r>
        <w:rPr>
          <w:rFonts w:ascii="仿宋" w:hAnsi="仿宋" w:eastAsia="仿宋"/>
        </w:rPr>
        <w:t>、</w:t>
      </w:r>
      <w:r>
        <w:rPr>
          <w:rFonts w:hint="eastAsia" w:ascii="仿宋" w:hAnsi="仿宋" w:eastAsia="仿宋"/>
        </w:rPr>
        <w:t>公</w:t>
      </w:r>
      <w:r>
        <w:rPr>
          <w:rFonts w:ascii="仿宋" w:hAnsi="仿宋" w:eastAsia="仿宋"/>
        </w:rPr>
        <w:t>用（</w:t>
      </w:r>
      <w:r>
        <w:rPr>
          <w:rFonts w:hint="eastAsia" w:ascii="仿宋" w:hAnsi="仿宋" w:eastAsia="仿宋"/>
        </w:rPr>
        <w:t>专</w:t>
      </w:r>
      <w:r>
        <w:rPr>
          <w:rFonts w:ascii="仿宋" w:hAnsi="仿宋" w:eastAsia="仿宋"/>
        </w:rPr>
        <w:t>用）交流充电桩按</w:t>
      </w:r>
      <w:r>
        <w:rPr>
          <w:rFonts w:hint="eastAsia" w:ascii="仿宋" w:hAnsi="仿宋" w:eastAsia="仿宋"/>
        </w:rPr>
        <w:t>0.7万元/桩，</w:t>
      </w:r>
      <w:r>
        <w:rPr>
          <w:rFonts w:ascii="仿宋" w:hAnsi="仿宋" w:eastAsia="仿宋"/>
        </w:rPr>
        <w:t>家用</w:t>
      </w:r>
      <w:r>
        <w:rPr>
          <w:rFonts w:hint="eastAsia" w:ascii="仿宋" w:hAnsi="仿宋" w:eastAsia="仿宋"/>
        </w:rPr>
        <w:t>交流充电桩按0.</w:t>
      </w:r>
      <w:r>
        <w:rPr>
          <w:rFonts w:ascii="仿宋" w:hAnsi="仿宋" w:eastAsia="仿宋"/>
        </w:rPr>
        <w:t>3</w:t>
      </w:r>
      <w:r>
        <w:rPr>
          <w:rFonts w:hint="eastAsia" w:ascii="仿宋" w:hAnsi="仿宋" w:eastAsia="仿宋"/>
        </w:rPr>
        <w:t>万元/桩计算</w:t>
      </w:r>
      <w:r>
        <w:rPr>
          <w:rFonts w:ascii="仿宋" w:hAnsi="仿宋" w:eastAsia="仿宋"/>
        </w:rPr>
        <w:t>。</w:t>
      </w:r>
      <w:r>
        <w:rPr>
          <w:rFonts w:hint="eastAsia" w:ascii="仿宋" w:hAnsi="仿宋" w:eastAsia="仿宋"/>
        </w:rPr>
        <w:t>结合岳</w:t>
      </w:r>
      <w:r>
        <w:rPr>
          <w:rFonts w:ascii="仿宋" w:hAnsi="仿宋" w:eastAsia="仿宋"/>
        </w:rPr>
        <w:t>阳</w:t>
      </w:r>
      <w:r>
        <w:rPr>
          <w:rFonts w:hint="eastAsia" w:ascii="仿宋" w:hAnsi="仿宋" w:eastAsia="仿宋"/>
        </w:rPr>
        <w:t>市充电基础设施规划规模，估算2022年-2025年岳</w:t>
      </w:r>
      <w:r>
        <w:rPr>
          <w:rFonts w:ascii="仿宋" w:hAnsi="仿宋" w:eastAsia="仿宋"/>
        </w:rPr>
        <w:t>阳</w:t>
      </w:r>
      <w:r>
        <w:rPr>
          <w:rFonts w:hint="eastAsia" w:ascii="仿宋" w:hAnsi="仿宋" w:eastAsia="仿宋"/>
        </w:rPr>
        <w:t>市电动汽车充电基础设施建设投资共计约</w:t>
      </w:r>
      <w:r>
        <w:rPr>
          <w:rFonts w:ascii="仿宋" w:hAnsi="仿宋" w:eastAsia="仿宋"/>
        </w:rPr>
        <w:t>13.15</w:t>
      </w:r>
      <w:r>
        <w:rPr>
          <w:rFonts w:hint="eastAsia" w:ascii="仿宋" w:hAnsi="仿宋" w:eastAsia="仿宋"/>
        </w:rPr>
        <w:t>亿元。其中</w:t>
      </w:r>
      <w:r>
        <w:rPr>
          <w:rFonts w:ascii="仿宋" w:hAnsi="仿宋" w:eastAsia="仿宋"/>
        </w:rPr>
        <w:t>，公用充电桩投资</w:t>
      </w:r>
      <w:r>
        <w:rPr>
          <w:rFonts w:hint="eastAsia" w:ascii="仿宋" w:hAnsi="仿宋" w:eastAsia="仿宋"/>
        </w:rPr>
        <w:t>9.35亿</w:t>
      </w:r>
      <w:r>
        <w:rPr>
          <w:rFonts w:ascii="仿宋" w:hAnsi="仿宋" w:eastAsia="仿宋"/>
        </w:rPr>
        <w:t>元，由社会资本投资；专用充电桩投资</w:t>
      </w:r>
      <w:r>
        <w:rPr>
          <w:rFonts w:hint="eastAsia" w:ascii="仿宋" w:hAnsi="仿宋" w:eastAsia="仿宋"/>
        </w:rPr>
        <w:t>3.21亿</w:t>
      </w:r>
      <w:r>
        <w:rPr>
          <w:rFonts w:ascii="仿宋" w:hAnsi="仿宋" w:eastAsia="仿宋"/>
        </w:rPr>
        <w:t>元，由专用充电桩所属</w:t>
      </w:r>
      <w:r>
        <w:rPr>
          <w:rFonts w:hint="eastAsia" w:ascii="仿宋" w:hAnsi="仿宋" w:eastAsia="仿宋"/>
        </w:rPr>
        <w:t>企业投资</w:t>
      </w:r>
      <w:r>
        <w:rPr>
          <w:rFonts w:ascii="仿宋" w:hAnsi="仿宋" w:eastAsia="仿宋"/>
        </w:rPr>
        <w:t>；</w:t>
      </w:r>
      <w:r>
        <w:rPr>
          <w:rFonts w:hint="eastAsia" w:ascii="仿宋" w:hAnsi="仿宋" w:eastAsia="仿宋"/>
        </w:rPr>
        <w:t>单位</w:t>
      </w:r>
      <w:r>
        <w:rPr>
          <w:rFonts w:ascii="仿宋" w:hAnsi="仿宋" w:eastAsia="仿宋"/>
        </w:rPr>
        <w:t>专用充电桩投资</w:t>
      </w:r>
      <w:r>
        <w:rPr>
          <w:rFonts w:hint="eastAsia" w:ascii="仿宋" w:hAnsi="仿宋" w:eastAsia="仿宋"/>
        </w:rPr>
        <w:t>0.15亿</w:t>
      </w:r>
      <w:r>
        <w:rPr>
          <w:rFonts w:ascii="仿宋" w:hAnsi="仿宋" w:eastAsia="仿宋"/>
        </w:rPr>
        <w:t>元，由各单位</w:t>
      </w:r>
      <w:r>
        <w:rPr>
          <w:rFonts w:hint="eastAsia" w:ascii="仿宋" w:hAnsi="仿宋" w:eastAsia="仿宋"/>
        </w:rPr>
        <w:t>投资</w:t>
      </w:r>
      <w:r>
        <w:rPr>
          <w:rFonts w:ascii="仿宋" w:hAnsi="仿宋" w:eastAsia="仿宋"/>
        </w:rPr>
        <w:t>；居民专用充电</w:t>
      </w:r>
      <w:r>
        <w:rPr>
          <w:rFonts w:hint="eastAsia" w:ascii="仿宋" w:hAnsi="仿宋" w:eastAsia="仿宋"/>
        </w:rPr>
        <w:t>桩</w:t>
      </w:r>
      <w:r>
        <w:rPr>
          <w:rFonts w:ascii="仿宋" w:hAnsi="仿宋" w:eastAsia="仿宋"/>
        </w:rPr>
        <w:t>投资</w:t>
      </w:r>
      <w:r>
        <w:rPr>
          <w:rFonts w:hint="eastAsia" w:ascii="仿宋" w:hAnsi="仿宋" w:eastAsia="仿宋"/>
        </w:rPr>
        <w:t>0.45亿</w:t>
      </w:r>
      <w:r>
        <w:rPr>
          <w:rFonts w:ascii="仿宋" w:hAnsi="仿宋" w:eastAsia="仿宋"/>
        </w:rPr>
        <w:t>元，</w:t>
      </w:r>
      <w:r>
        <w:rPr>
          <w:rFonts w:hint="eastAsia" w:ascii="仿宋" w:hAnsi="仿宋" w:eastAsia="仿宋"/>
        </w:rPr>
        <w:t>由</w:t>
      </w:r>
      <w:r>
        <w:rPr>
          <w:rFonts w:ascii="仿宋" w:hAnsi="仿宋" w:eastAsia="仿宋"/>
        </w:rPr>
        <w:t>居民个人投资。</w:t>
      </w:r>
    </w:p>
    <w:p>
      <w:pPr>
        <w:pStyle w:val="10"/>
        <w:ind w:firstLine="560"/>
        <w:rPr>
          <w:rFonts w:ascii="仿宋" w:hAnsi="仿宋" w:eastAsia="仿宋"/>
        </w:rPr>
      </w:pPr>
    </w:p>
    <w:p>
      <w:pPr>
        <w:pStyle w:val="3"/>
        <w:spacing w:line="560" w:lineRule="exact"/>
        <w:rPr>
          <w:rFonts w:ascii="仿宋" w:hAnsi="仿宋" w:eastAsia="仿宋"/>
          <w:color w:val="auto"/>
          <w:szCs w:val="22"/>
        </w:rPr>
      </w:pPr>
      <w:bookmarkStart w:id="124" w:name="_Toc101299820"/>
      <w:r>
        <w:rPr>
          <w:rFonts w:hint="eastAsia" w:ascii="仿宋" w:hAnsi="仿宋" w:eastAsia="仿宋"/>
          <w:color w:val="auto"/>
          <w:szCs w:val="22"/>
        </w:rPr>
        <w:t>规划成效</w:t>
      </w:r>
      <w:bookmarkEnd w:id="124"/>
    </w:p>
    <w:p>
      <w:pPr>
        <w:pStyle w:val="10"/>
        <w:ind w:firstLine="560"/>
        <w:rPr>
          <w:rFonts w:ascii="仿宋" w:hAnsi="仿宋" w:eastAsia="仿宋"/>
        </w:rPr>
      </w:pPr>
      <w:r>
        <w:rPr>
          <w:rFonts w:hint="eastAsia" w:ascii="仿宋" w:hAnsi="仿宋" w:eastAsia="仿宋"/>
        </w:rPr>
        <w:t>本次</w:t>
      </w:r>
      <w:r>
        <w:rPr>
          <w:rFonts w:ascii="仿宋" w:hAnsi="仿宋" w:eastAsia="仿宋"/>
        </w:rPr>
        <w:t>规划实施后，岳阳市车桩比由2021年的3.53:1下降至2025年的2.02：1；城区的服务半径由2020年的1.53千米下降至0.3千米，乡镇覆盖率由2020年的3.3%提升至100%。</w:t>
      </w:r>
    </w:p>
    <w:p>
      <w:pPr>
        <w:pStyle w:val="8"/>
        <w:spacing w:after="0" w:afterLines="0" w:line="240" w:lineRule="auto"/>
        <w:rPr>
          <w:rFonts w:ascii="仿宋" w:hAnsi="仿宋" w:eastAsia="仿宋"/>
          <w:b w:val="0"/>
        </w:rPr>
      </w:pPr>
    </w:p>
    <w:p>
      <w:pPr>
        <w:pStyle w:val="3"/>
        <w:spacing w:line="560" w:lineRule="exact"/>
        <w:rPr>
          <w:rFonts w:ascii="仿宋" w:hAnsi="仿宋" w:eastAsia="仿宋"/>
          <w:color w:val="auto"/>
          <w:szCs w:val="22"/>
        </w:rPr>
      </w:pPr>
      <w:bookmarkStart w:id="125" w:name="_Toc101299821"/>
      <w:r>
        <w:rPr>
          <w:rFonts w:hint="eastAsia" w:ascii="仿宋" w:hAnsi="仿宋" w:eastAsia="仿宋"/>
          <w:color w:val="auto"/>
          <w:szCs w:val="22"/>
        </w:rPr>
        <w:t>效益</w:t>
      </w:r>
      <w:r>
        <w:rPr>
          <w:rFonts w:ascii="仿宋" w:hAnsi="仿宋" w:eastAsia="仿宋"/>
          <w:color w:val="auto"/>
          <w:szCs w:val="22"/>
        </w:rPr>
        <w:t>分析</w:t>
      </w:r>
      <w:bookmarkEnd w:id="125"/>
    </w:p>
    <w:p>
      <w:pPr>
        <w:spacing w:line="360" w:lineRule="auto"/>
        <w:ind w:firstLine="560" w:firstLineChars="200"/>
        <w:rPr>
          <w:rFonts w:ascii="仿宋" w:hAnsi="仿宋" w:eastAsia="仿宋"/>
          <w:kern w:val="0"/>
          <w:sz w:val="28"/>
          <w:szCs w:val="24"/>
        </w:rPr>
      </w:pPr>
      <w:r>
        <w:rPr>
          <w:rFonts w:hint="eastAsia" w:ascii="仿宋" w:hAnsi="仿宋" w:eastAsia="仿宋"/>
          <w:kern w:val="0"/>
          <w:sz w:val="28"/>
          <w:szCs w:val="24"/>
        </w:rPr>
        <w:t>1、</w:t>
      </w:r>
      <w:r>
        <w:rPr>
          <w:rFonts w:ascii="仿宋" w:hAnsi="仿宋" w:eastAsia="仿宋"/>
          <w:kern w:val="0"/>
          <w:sz w:val="28"/>
          <w:szCs w:val="24"/>
        </w:rPr>
        <w:t>行业效益</w:t>
      </w:r>
    </w:p>
    <w:p>
      <w:pPr>
        <w:spacing w:line="360" w:lineRule="auto"/>
        <w:ind w:firstLine="560" w:firstLineChars="200"/>
        <w:rPr>
          <w:rFonts w:ascii="仿宋" w:hAnsi="仿宋" w:eastAsia="仿宋"/>
          <w:kern w:val="0"/>
          <w:sz w:val="28"/>
          <w:szCs w:val="24"/>
        </w:rPr>
      </w:pPr>
      <w:r>
        <w:rPr>
          <w:rFonts w:ascii="仿宋" w:hAnsi="仿宋" w:eastAsia="仿宋"/>
          <w:kern w:val="0"/>
          <w:sz w:val="28"/>
          <w:szCs w:val="24"/>
        </w:rPr>
        <w:t>有效缓解电动汽车的找桩难、充电难问题，避免公共充电设施的无序竞争，实现社会资源的有效配置；提升重点地区公共充电服务能力，增强社会对使用电动汽车的信心和意愿；补强公共充电网络覆盖范围，增强公共充电设施的普惠服务基础能力，推动电动汽车向乡村地区</w:t>
      </w:r>
      <w:r>
        <w:rPr>
          <w:rFonts w:hint="eastAsia" w:ascii="仿宋" w:hAnsi="仿宋" w:eastAsia="仿宋"/>
          <w:kern w:val="0"/>
          <w:sz w:val="28"/>
          <w:szCs w:val="24"/>
        </w:rPr>
        <w:t>延伸</w:t>
      </w:r>
      <w:r>
        <w:rPr>
          <w:rFonts w:ascii="仿宋" w:hAnsi="仿宋" w:eastAsia="仿宋"/>
          <w:kern w:val="0"/>
          <w:sz w:val="28"/>
          <w:szCs w:val="24"/>
        </w:rPr>
        <w:t>发展。</w:t>
      </w:r>
    </w:p>
    <w:p>
      <w:pPr>
        <w:pStyle w:val="54"/>
        <w:snapToGrid w:val="0"/>
        <w:spacing w:line="600" w:lineRule="exact"/>
        <w:ind w:firstLine="560" w:firstLineChars="200"/>
        <w:rPr>
          <w:rFonts w:ascii="仿宋" w:hAnsi="仿宋" w:eastAsia="仿宋"/>
          <w:sz w:val="28"/>
          <w:szCs w:val="24"/>
        </w:rPr>
      </w:pPr>
      <w:r>
        <w:rPr>
          <w:rFonts w:ascii="仿宋" w:hAnsi="仿宋" w:eastAsia="仿宋"/>
          <w:sz w:val="28"/>
          <w:szCs w:val="24"/>
        </w:rPr>
        <w:t>2</w:t>
      </w:r>
      <w:r>
        <w:rPr>
          <w:rFonts w:hint="eastAsia" w:ascii="仿宋" w:hAnsi="仿宋" w:eastAsia="仿宋"/>
          <w:sz w:val="28"/>
          <w:szCs w:val="24"/>
        </w:rPr>
        <w:t>、社会效益</w:t>
      </w:r>
    </w:p>
    <w:p>
      <w:pPr>
        <w:pStyle w:val="54"/>
        <w:snapToGrid w:val="0"/>
        <w:spacing w:line="600" w:lineRule="exact"/>
        <w:ind w:firstLine="560" w:firstLineChars="200"/>
        <w:rPr>
          <w:rFonts w:ascii="仿宋" w:hAnsi="仿宋" w:eastAsia="仿宋"/>
          <w:snapToGrid w:val="0"/>
          <w:sz w:val="28"/>
          <w:szCs w:val="28"/>
        </w:rPr>
      </w:pPr>
      <w:r>
        <w:rPr>
          <w:rFonts w:hint="eastAsia" w:ascii="仿宋" w:hAnsi="仿宋" w:eastAsia="仿宋"/>
          <w:snapToGrid w:val="0"/>
          <w:sz w:val="28"/>
          <w:szCs w:val="28"/>
        </w:rPr>
        <w:t>据</w:t>
      </w:r>
      <w:r>
        <w:rPr>
          <w:rFonts w:ascii="仿宋" w:hAnsi="仿宋" w:eastAsia="仿宋"/>
          <w:snapToGrid w:val="0"/>
          <w:sz w:val="28"/>
          <w:szCs w:val="28"/>
        </w:rPr>
        <w:t>国家发改委</w:t>
      </w:r>
      <w:r>
        <w:rPr>
          <w:rFonts w:hint="eastAsia" w:ascii="仿宋" w:hAnsi="仿宋" w:eastAsia="仿宋"/>
          <w:snapToGrid w:val="0"/>
          <w:sz w:val="28"/>
          <w:szCs w:val="28"/>
        </w:rPr>
        <w:t>、</w:t>
      </w:r>
      <w:r>
        <w:rPr>
          <w:rFonts w:ascii="仿宋" w:hAnsi="仿宋" w:eastAsia="仿宋"/>
          <w:snapToGrid w:val="0"/>
          <w:sz w:val="28"/>
          <w:szCs w:val="28"/>
        </w:rPr>
        <w:t>商务部等部门联合发</w:t>
      </w:r>
      <w:r>
        <w:rPr>
          <w:rFonts w:hint="eastAsia" w:ascii="仿宋" w:hAnsi="仿宋" w:eastAsia="仿宋"/>
          <w:snapToGrid w:val="0"/>
          <w:sz w:val="28"/>
          <w:szCs w:val="28"/>
        </w:rPr>
        <w:t>布</w:t>
      </w:r>
      <w:r>
        <w:rPr>
          <w:rFonts w:ascii="仿宋" w:hAnsi="仿宋" w:eastAsia="仿宋"/>
          <w:snapToGrid w:val="0"/>
          <w:sz w:val="28"/>
          <w:szCs w:val="28"/>
        </w:rPr>
        <w:t>的数据显示，每</w:t>
      </w:r>
      <w:r>
        <w:rPr>
          <w:rFonts w:hint="eastAsia" w:ascii="仿宋" w:hAnsi="仿宋" w:eastAsia="仿宋"/>
          <w:snapToGrid w:val="0"/>
          <w:sz w:val="28"/>
          <w:szCs w:val="28"/>
        </w:rPr>
        <w:t>辆</w:t>
      </w:r>
      <w:r>
        <w:rPr>
          <w:rFonts w:ascii="仿宋" w:hAnsi="仿宋" w:eastAsia="仿宋"/>
          <w:snapToGrid w:val="0"/>
          <w:sz w:val="28"/>
          <w:szCs w:val="28"/>
        </w:rPr>
        <w:t>新能源车</w:t>
      </w:r>
      <w:r>
        <w:rPr>
          <w:rFonts w:hint="eastAsia" w:ascii="仿宋" w:hAnsi="仿宋" w:eastAsia="仿宋"/>
          <w:snapToGrid w:val="0"/>
          <w:sz w:val="28"/>
          <w:szCs w:val="28"/>
        </w:rPr>
        <w:t>年</w:t>
      </w:r>
      <w:r>
        <w:rPr>
          <w:rFonts w:ascii="仿宋" w:hAnsi="仿宋" w:eastAsia="仿宋"/>
          <w:snapToGrid w:val="0"/>
          <w:sz w:val="28"/>
          <w:szCs w:val="28"/>
        </w:rPr>
        <w:t>均减少碳排放</w:t>
      </w:r>
      <w:r>
        <w:rPr>
          <w:rFonts w:hint="eastAsia" w:ascii="仿宋" w:hAnsi="仿宋" w:eastAsia="仿宋"/>
          <w:snapToGrid w:val="0"/>
          <w:sz w:val="28"/>
          <w:szCs w:val="28"/>
        </w:rPr>
        <w:t>1.91吨</w:t>
      </w:r>
      <w:r>
        <w:rPr>
          <w:rFonts w:ascii="仿宋" w:hAnsi="仿宋" w:eastAsia="仿宋"/>
          <w:snapToGrid w:val="0"/>
          <w:sz w:val="28"/>
          <w:szCs w:val="28"/>
        </w:rPr>
        <w:t>左右。</w:t>
      </w:r>
      <w:r>
        <w:rPr>
          <w:rFonts w:hint="eastAsia" w:ascii="仿宋" w:hAnsi="仿宋" w:eastAsia="仿宋"/>
          <w:snapToGrid w:val="0"/>
          <w:sz w:val="28"/>
          <w:szCs w:val="28"/>
        </w:rPr>
        <w:t>至2025年</w:t>
      </w:r>
      <w:r>
        <w:rPr>
          <w:rFonts w:ascii="仿宋" w:hAnsi="仿宋" w:eastAsia="仿宋"/>
          <w:snapToGrid w:val="0"/>
          <w:sz w:val="28"/>
          <w:szCs w:val="28"/>
        </w:rPr>
        <w:t>，</w:t>
      </w:r>
      <w:r>
        <w:rPr>
          <w:rFonts w:hint="eastAsia" w:ascii="仿宋" w:hAnsi="仿宋" w:eastAsia="仿宋"/>
          <w:snapToGrid w:val="0"/>
          <w:sz w:val="28"/>
          <w:szCs w:val="28"/>
        </w:rPr>
        <w:t>岳</w:t>
      </w:r>
      <w:r>
        <w:rPr>
          <w:rFonts w:ascii="仿宋" w:hAnsi="仿宋" w:eastAsia="仿宋"/>
          <w:snapToGrid w:val="0"/>
          <w:sz w:val="28"/>
          <w:szCs w:val="28"/>
        </w:rPr>
        <w:t>阳</w:t>
      </w:r>
      <w:r>
        <w:rPr>
          <w:rFonts w:hint="eastAsia" w:ascii="仿宋" w:hAnsi="仿宋" w:eastAsia="仿宋"/>
          <w:snapToGrid w:val="0"/>
          <w:sz w:val="28"/>
          <w:szCs w:val="28"/>
        </w:rPr>
        <w:t>市电</w:t>
      </w:r>
      <w:r>
        <w:rPr>
          <w:rFonts w:ascii="仿宋" w:hAnsi="仿宋" w:eastAsia="仿宋"/>
          <w:snapToGrid w:val="0"/>
          <w:sz w:val="28"/>
          <w:szCs w:val="28"/>
        </w:rPr>
        <w:t>动汽车保有量预计将达到</w:t>
      </w:r>
      <w:r>
        <w:rPr>
          <w:rFonts w:hint="eastAsia" w:ascii="仿宋" w:hAnsi="仿宋" w:eastAsia="仿宋"/>
          <w:snapToGrid w:val="0"/>
          <w:sz w:val="28"/>
          <w:szCs w:val="28"/>
        </w:rPr>
        <w:t>5.69万辆</w:t>
      </w:r>
      <w:r>
        <w:rPr>
          <w:rFonts w:ascii="仿宋" w:hAnsi="仿宋" w:eastAsia="仿宋"/>
          <w:snapToGrid w:val="0"/>
          <w:sz w:val="28"/>
          <w:szCs w:val="28"/>
        </w:rPr>
        <w:t>，年</w:t>
      </w:r>
      <w:r>
        <w:rPr>
          <w:rFonts w:hint="eastAsia" w:ascii="仿宋" w:hAnsi="仿宋" w:eastAsia="仿宋"/>
          <w:snapToGrid w:val="0"/>
          <w:sz w:val="28"/>
          <w:szCs w:val="28"/>
        </w:rPr>
        <w:t>减少</w:t>
      </w:r>
      <w:r>
        <w:rPr>
          <w:rFonts w:ascii="仿宋" w:hAnsi="仿宋" w:eastAsia="仿宋"/>
          <w:snapToGrid w:val="0"/>
          <w:sz w:val="28"/>
          <w:szCs w:val="28"/>
        </w:rPr>
        <w:t>碳排放约</w:t>
      </w:r>
      <w:r>
        <w:rPr>
          <w:rFonts w:hint="eastAsia" w:ascii="仿宋" w:hAnsi="仿宋" w:eastAsia="仿宋"/>
          <w:snapToGrid w:val="0"/>
          <w:sz w:val="28"/>
          <w:szCs w:val="28"/>
        </w:rPr>
        <w:t>10.86万</w:t>
      </w:r>
      <w:r>
        <w:rPr>
          <w:rFonts w:ascii="仿宋" w:hAnsi="仿宋" w:eastAsia="仿宋"/>
          <w:snapToGrid w:val="0"/>
          <w:sz w:val="28"/>
          <w:szCs w:val="28"/>
        </w:rPr>
        <w:t>吨</w:t>
      </w:r>
      <w:r>
        <w:rPr>
          <w:rFonts w:hint="eastAsia" w:ascii="仿宋" w:hAnsi="仿宋" w:eastAsia="仿宋"/>
          <w:snapToGrid w:val="0"/>
          <w:sz w:val="28"/>
          <w:szCs w:val="28"/>
        </w:rPr>
        <w:t>，</w:t>
      </w:r>
      <w:r>
        <w:rPr>
          <w:rFonts w:ascii="仿宋" w:hAnsi="仿宋" w:eastAsia="仿宋"/>
          <w:snapToGrid w:val="0"/>
          <w:sz w:val="28"/>
          <w:szCs w:val="28"/>
        </w:rPr>
        <w:t>节能效益</w:t>
      </w:r>
      <w:r>
        <w:rPr>
          <w:rFonts w:hint="eastAsia" w:ascii="仿宋" w:hAnsi="仿宋" w:eastAsia="仿宋"/>
          <w:snapToGrid w:val="0"/>
          <w:sz w:val="28"/>
          <w:szCs w:val="28"/>
        </w:rPr>
        <w:t>显著。</w:t>
      </w:r>
      <w:r>
        <w:rPr>
          <w:rFonts w:ascii="仿宋" w:hAnsi="仿宋" w:eastAsia="仿宋"/>
          <w:snapToGrid w:val="0"/>
          <w:sz w:val="28"/>
          <w:szCs w:val="28"/>
        </w:rPr>
        <w:t>同时对于提高</w:t>
      </w:r>
      <w:r>
        <w:rPr>
          <w:rFonts w:hint="eastAsia" w:ascii="仿宋" w:hAnsi="仿宋" w:eastAsia="仿宋"/>
          <w:snapToGrid w:val="0"/>
          <w:sz w:val="28"/>
          <w:szCs w:val="28"/>
        </w:rPr>
        <w:t>城</w:t>
      </w:r>
      <w:r>
        <w:rPr>
          <w:rFonts w:ascii="仿宋" w:hAnsi="仿宋" w:eastAsia="仿宋"/>
          <w:snapToGrid w:val="0"/>
          <w:sz w:val="28"/>
          <w:szCs w:val="28"/>
        </w:rPr>
        <w:t>市大气优良指数作用明显，有利于改善城市人居环境。</w:t>
      </w:r>
    </w:p>
    <w:p>
      <w:pPr>
        <w:spacing w:line="360" w:lineRule="auto"/>
        <w:ind w:firstLine="560" w:firstLineChars="200"/>
        <w:rPr>
          <w:rFonts w:ascii="仿宋" w:hAnsi="仿宋" w:eastAsia="仿宋"/>
          <w:kern w:val="0"/>
          <w:sz w:val="28"/>
          <w:szCs w:val="24"/>
        </w:rPr>
      </w:pPr>
    </w:p>
    <w:p>
      <w:pPr>
        <w:pStyle w:val="2"/>
        <w:rPr>
          <w:rFonts w:ascii="仿宋" w:hAnsi="仿宋" w:eastAsia="仿宋"/>
          <w:sz w:val="36"/>
          <w:szCs w:val="36"/>
        </w:rPr>
        <w:sectPr>
          <w:pgSz w:w="11906" w:h="16838"/>
          <w:pgMar w:top="1440" w:right="1800" w:bottom="1440" w:left="1800" w:header="851" w:footer="992" w:gutter="0"/>
          <w:cols w:space="425" w:num="1"/>
          <w:docGrid w:type="lines" w:linePitch="312" w:charSpace="0"/>
        </w:sectPr>
      </w:pPr>
    </w:p>
    <w:p>
      <w:pPr>
        <w:pStyle w:val="2"/>
        <w:tabs>
          <w:tab w:val="clear" w:pos="3970"/>
        </w:tabs>
        <w:spacing w:line="560" w:lineRule="exact"/>
        <w:ind w:left="2127" w:hanging="2127"/>
        <w:rPr>
          <w:rFonts w:ascii="仿宋" w:hAnsi="仿宋" w:eastAsia="仿宋"/>
          <w:sz w:val="36"/>
          <w:szCs w:val="36"/>
        </w:rPr>
      </w:pPr>
      <w:bookmarkStart w:id="126" w:name="_Toc101299822"/>
      <w:r>
        <w:rPr>
          <w:rFonts w:ascii="仿宋" w:hAnsi="仿宋" w:eastAsia="仿宋"/>
          <w:sz w:val="36"/>
          <w:szCs w:val="36"/>
        </w:rPr>
        <w:t>结论和建议</w:t>
      </w:r>
      <w:bookmarkEnd w:id="126"/>
    </w:p>
    <w:p>
      <w:pPr>
        <w:pStyle w:val="3"/>
        <w:spacing w:line="560" w:lineRule="exact"/>
        <w:rPr>
          <w:rFonts w:ascii="仿宋" w:hAnsi="仿宋" w:eastAsia="仿宋"/>
          <w:color w:val="auto"/>
          <w:szCs w:val="22"/>
        </w:rPr>
      </w:pPr>
      <w:r>
        <w:rPr>
          <w:rFonts w:ascii="仿宋" w:hAnsi="仿宋" w:eastAsia="仿宋"/>
          <w:color w:val="auto"/>
          <w:szCs w:val="22"/>
        </w:rPr>
        <w:t xml:space="preserve"> </w:t>
      </w:r>
      <w:bookmarkStart w:id="127" w:name="_Toc101299823"/>
      <w:r>
        <w:rPr>
          <w:rFonts w:ascii="仿宋" w:hAnsi="仿宋" w:eastAsia="仿宋"/>
          <w:color w:val="auto"/>
          <w:szCs w:val="22"/>
        </w:rPr>
        <w:t>结论</w:t>
      </w:r>
      <w:bookmarkEnd w:id="127"/>
    </w:p>
    <w:p>
      <w:pPr>
        <w:spacing w:line="360" w:lineRule="auto"/>
        <w:ind w:firstLine="560" w:firstLineChars="200"/>
        <w:rPr>
          <w:rFonts w:ascii="仿宋" w:hAnsi="仿宋" w:eastAsia="仿宋"/>
          <w:kern w:val="0"/>
          <w:sz w:val="28"/>
          <w:szCs w:val="24"/>
        </w:rPr>
      </w:pPr>
      <w:r>
        <w:rPr>
          <w:rFonts w:hint="eastAsia" w:ascii="仿宋" w:hAnsi="仿宋" w:eastAsia="仿宋"/>
          <w:kern w:val="0"/>
          <w:sz w:val="28"/>
          <w:szCs w:val="24"/>
        </w:rPr>
        <w:t>一是充电设施现状指标较低。目前，岳阳市共有充电点119处，充电桩1416个，其中社会</w:t>
      </w:r>
      <w:r>
        <w:rPr>
          <w:rFonts w:ascii="仿宋" w:hAnsi="仿宋" w:eastAsia="仿宋"/>
          <w:kern w:val="0"/>
          <w:sz w:val="28"/>
          <w:szCs w:val="24"/>
        </w:rPr>
        <w:t>公用充电桩</w:t>
      </w:r>
      <w:r>
        <w:rPr>
          <w:rFonts w:hint="eastAsia" w:ascii="仿宋" w:hAnsi="仿宋" w:eastAsia="仿宋"/>
          <w:kern w:val="0"/>
          <w:sz w:val="28"/>
          <w:szCs w:val="24"/>
        </w:rPr>
        <w:t>652个，公</w:t>
      </w:r>
      <w:r>
        <w:rPr>
          <w:rFonts w:ascii="仿宋" w:hAnsi="仿宋" w:eastAsia="仿宋"/>
          <w:kern w:val="0"/>
          <w:sz w:val="28"/>
          <w:szCs w:val="24"/>
        </w:rPr>
        <w:t>交、客运充电桩764</w:t>
      </w:r>
      <w:r>
        <w:rPr>
          <w:rFonts w:hint="eastAsia" w:ascii="仿宋" w:hAnsi="仿宋" w:eastAsia="仿宋"/>
          <w:kern w:val="0"/>
          <w:sz w:val="28"/>
          <w:szCs w:val="24"/>
        </w:rPr>
        <w:t>个。全市的指标情况如下：车桩比3.53:1，城区的服务半径1.3千米，乡镇的覆盖率3.3%。</w:t>
      </w:r>
    </w:p>
    <w:p>
      <w:pPr>
        <w:spacing w:line="360" w:lineRule="auto"/>
        <w:ind w:firstLine="560" w:firstLineChars="200"/>
        <w:rPr>
          <w:rFonts w:ascii="仿宋" w:hAnsi="仿宋" w:eastAsia="仿宋"/>
          <w:kern w:val="0"/>
          <w:sz w:val="28"/>
          <w:szCs w:val="24"/>
        </w:rPr>
      </w:pPr>
      <w:r>
        <w:rPr>
          <w:rFonts w:hint="eastAsia" w:ascii="仿宋" w:hAnsi="仿宋" w:eastAsia="仿宋"/>
          <w:kern w:val="0"/>
          <w:sz w:val="28"/>
          <w:szCs w:val="24"/>
        </w:rPr>
        <w:t>二是充电设施规模需求旺盛。十四五期间，岳阳市预计新增电动汽车4.28万辆，至2025年达到5.</w:t>
      </w:r>
      <w:r>
        <w:rPr>
          <w:rFonts w:ascii="仿宋" w:hAnsi="仿宋" w:eastAsia="仿宋"/>
          <w:kern w:val="0"/>
          <w:sz w:val="28"/>
          <w:szCs w:val="24"/>
        </w:rPr>
        <w:t>69</w:t>
      </w:r>
      <w:r>
        <w:rPr>
          <w:rFonts w:hint="eastAsia" w:ascii="仿宋" w:hAnsi="仿宋" w:eastAsia="仿宋"/>
          <w:kern w:val="0"/>
          <w:sz w:val="28"/>
          <w:szCs w:val="24"/>
        </w:rPr>
        <w:t>万辆，基于车桩比预测了高、中、低三个方案，推荐采用中方案，至2025年需要充电桩</w:t>
      </w:r>
      <w:r>
        <w:rPr>
          <w:rFonts w:ascii="仿宋" w:hAnsi="仿宋" w:eastAsia="仿宋"/>
          <w:kern w:val="0"/>
          <w:sz w:val="28"/>
          <w:szCs w:val="24"/>
        </w:rPr>
        <w:t>2.8</w:t>
      </w:r>
      <w:r>
        <w:rPr>
          <w:rFonts w:hint="eastAsia" w:ascii="仿宋" w:hAnsi="仿宋" w:eastAsia="仿宋"/>
          <w:kern w:val="0"/>
          <w:sz w:val="28"/>
          <w:szCs w:val="24"/>
        </w:rPr>
        <w:t>万个，其中公用桩</w:t>
      </w:r>
      <w:r>
        <w:rPr>
          <w:rFonts w:ascii="仿宋" w:hAnsi="仿宋" w:eastAsia="仿宋"/>
          <w:kern w:val="0"/>
          <w:sz w:val="28"/>
          <w:szCs w:val="24"/>
        </w:rPr>
        <w:t>5100</w:t>
      </w:r>
      <w:r>
        <w:rPr>
          <w:rFonts w:hint="eastAsia" w:ascii="仿宋" w:hAnsi="仿宋" w:eastAsia="仿宋"/>
          <w:kern w:val="0"/>
          <w:sz w:val="28"/>
          <w:szCs w:val="24"/>
        </w:rPr>
        <w:t>个。</w:t>
      </w:r>
    </w:p>
    <w:p>
      <w:pPr>
        <w:spacing w:line="360" w:lineRule="auto"/>
        <w:ind w:firstLine="560" w:firstLineChars="200"/>
        <w:rPr>
          <w:rFonts w:ascii="仿宋" w:hAnsi="仿宋" w:eastAsia="仿宋"/>
          <w:kern w:val="0"/>
          <w:sz w:val="28"/>
          <w:szCs w:val="24"/>
        </w:rPr>
      </w:pPr>
      <w:r>
        <w:rPr>
          <w:rFonts w:hint="eastAsia" w:ascii="仿宋" w:hAnsi="仿宋" w:eastAsia="仿宋"/>
          <w:kern w:val="0"/>
          <w:sz w:val="28"/>
          <w:szCs w:val="24"/>
        </w:rPr>
        <w:t>三是充电设施规划成效显著。“十四五”末，岳阳市公共充电桩将达到</w:t>
      </w:r>
      <w:r>
        <w:rPr>
          <w:rFonts w:ascii="仿宋" w:hAnsi="仿宋" w:eastAsia="仿宋"/>
          <w:kern w:val="0"/>
          <w:sz w:val="28"/>
          <w:szCs w:val="24"/>
        </w:rPr>
        <w:t>5100</w:t>
      </w:r>
      <w:r>
        <w:rPr>
          <w:rFonts w:hint="eastAsia" w:ascii="仿宋" w:hAnsi="仿宋" w:eastAsia="仿宋"/>
          <w:kern w:val="0"/>
          <w:sz w:val="28"/>
          <w:szCs w:val="24"/>
        </w:rPr>
        <w:t>个，充电桩总数将达到2</w:t>
      </w:r>
      <w:r>
        <w:rPr>
          <w:rFonts w:ascii="仿宋" w:hAnsi="仿宋" w:eastAsia="仿宋"/>
          <w:kern w:val="0"/>
          <w:sz w:val="28"/>
          <w:szCs w:val="24"/>
        </w:rPr>
        <w:t>8</w:t>
      </w:r>
      <w:r>
        <w:rPr>
          <w:rFonts w:hint="eastAsia" w:ascii="仿宋" w:hAnsi="仿宋" w:eastAsia="仿宋"/>
          <w:kern w:val="0"/>
          <w:sz w:val="28"/>
          <w:szCs w:val="24"/>
        </w:rPr>
        <w:t>100个，投资</w:t>
      </w:r>
      <w:r>
        <w:rPr>
          <w:rFonts w:ascii="仿宋" w:hAnsi="仿宋" w:eastAsia="仿宋"/>
          <w:kern w:val="0"/>
          <w:sz w:val="28"/>
          <w:szCs w:val="24"/>
        </w:rPr>
        <w:t>12.3</w:t>
      </w:r>
      <w:r>
        <w:rPr>
          <w:rFonts w:hint="eastAsia" w:ascii="仿宋" w:hAnsi="仿宋" w:eastAsia="仿宋"/>
          <w:kern w:val="0"/>
          <w:sz w:val="28"/>
          <w:szCs w:val="24"/>
        </w:rPr>
        <w:t>亿元，其主要成效如下：车桩比由2021年的3.53:1下降至2025年的</w:t>
      </w:r>
      <w:r>
        <w:rPr>
          <w:rFonts w:ascii="仿宋" w:hAnsi="仿宋" w:eastAsia="仿宋"/>
          <w:kern w:val="0"/>
          <w:sz w:val="28"/>
          <w:szCs w:val="24"/>
        </w:rPr>
        <w:t>2.02</w:t>
      </w:r>
      <w:r>
        <w:rPr>
          <w:rFonts w:hint="eastAsia" w:ascii="仿宋" w:hAnsi="仿宋" w:eastAsia="仿宋"/>
          <w:kern w:val="0"/>
          <w:sz w:val="28"/>
          <w:szCs w:val="24"/>
        </w:rPr>
        <w:t>：1；城区的服务半径由2020年的1.</w:t>
      </w:r>
      <w:r>
        <w:rPr>
          <w:rFonts w:ascii="仿宋" w:hAnsi="仿宋" w:eastAsia="仿宋"/>
          <w:kern w:val="0"/>
          <w:sz w:val="28"/>
          <w:szCs w:val="24"/>
        </w:rPr>
        <w:t>5</w:t>
      </w:r>
      <w:r>
        <w:rPr>
          <w:rFonts w:hint="eastAsia" w:ascii="仿宋" w:hAnsi="仿宋" w:eastAsia="仿宋"/>
          <w:kern w:val="0"/>
          <w:sz w:val="28"/>
          <w:szCs w:val="24"/>
        </w:rPr>
        <w:t>3千米下降至0.3千米，乡镇覆盖率由2020年的3.3%提升至100%</w:t>
      </w:r>
      <w:r>
        <w:rPr>
          <w:rFonts w:ascii="仿宋" w:hAnsi="仿宋" w:eastAsia="仿宋"/>
          <w:kern w:val="0"/>
          <w:sz w:val="28"/>
          <w:szCs w:val="24"/>
        </w:rPr>
        <w:t>。</w:t>
      </w:r>
    </w:p>
    <w:p>
      <w:pPr>
        <w:rPr>
          <w:rFonts w:ascii="仿宋" w:hAnsi="仿宋" w:eastAsia="仿宋"/>
        </w:rPr>
      </w:pPr>
    </w:p>
    <w:p>
      <w:pPr>
        <w:pStyle w:val="3"/>
        <w:spacing w:line="560" w:lineRule="exact"/>
        <w:rPr>
          <w:rFonts w:ascii="仿宋" w:hAnsi="仿宋" w:eastAsia="仿宋"/>
          <w:color w:val="auto"/>
          <w:szCs w:val="22"/>
        </w:rPr>
      </w:pPr>
      <w:r>
        <w:rPr>
          <w:rFonts w:ascii="仿宋" w:hAnsi="仿宋" w:eastAsia="仿宋"/>
          <w:color w:val="auto"/>
          <w:szCs w:val="22"/>
        </w:rPr>
        <w:t xml:space="preserve"> </w:t>
      </w:r>
      <w:bookmarkStart w:id="128" w:name="_Toc101299824"/>
      <w:r>
        <w:rPr>
          <w:rFonts w:ascii="仿宋" w:hAnsi="仿宋" w:eastAsia="仿宋"/>
          <w:color w:val="auto"/>
          <w:szCs w:val="22"/>
        </w:rPr>
        <w:t>建议</w:t>
      </w:r>
      <w:bookmarkEnd w:id="128"/>
    </w:p>
    <w:p>
      <w:pPr>
        <w:pStyle w:val="4"/>
        <w:spacing w:before="0" w:after="0" w:line="560" w:lineRule="exact"/>
        <w:rPr>
          <w:rFonts w:ascii="仿宋" w:hAnsi="仿宋" w:eastAsia="仿宋"/>
          <w:szCs w:val="22"/>
        </w:rPr>
      </w:pPr>
      <w:r>
        <w:rPr>
          <w:rFonts w:ascii="仿宋" w:hAnsi="仿宋" w:eastAsia="仿宋"/>
          <w:szCs w:val="22"/>
        </w:rPr>
        <w:t>保障措施</w:t>
      </w:r>
    </w:p>
    <w:p>
      <w:pPr>
        <w:pStyle w:val="10"/>
        <w:numPr>
          <w:ilvl w:val="0"/>
          <w:numId w:val="4"/>
        </w:numPr>
        <w:ind w:firstLine="567" w:firstLineChars="0"/>
        <w:rPr>
          <w:rFonts w:ascii="仿宋" w:hAnsi="仿宋" w:eastAsia="仿宋"/>
          <w:kern w:val="2"/>
          <w:szCs w:val="20"/>
        </w:rPr>
      </w:pPr>
      <w:r>
        <w:rPr>
          <w:rFonts w:hint="eastAsia" w:ascii="仿宋" w:hAnsi="仿宋" w:eastAsia="仿宋"/>
          <w:kern w:val="2"/>
          <w:szCs w:val="20"/>
        </w:rPr>
        <w:t>加强规划引领。市城区按照《岳阳市城区电动汽车充电基础设施发展规划（2018—2035）》要求，由市级统一组织实施；其他县市区电动汽车充电基础设施建设规划由各县市区自行编制，明确建设目标和时序，统筹推进充电设施建设。</w:t>
      </w:r>
    </w:p>
    <w:p>
      <w:pPr>
        <w:pStyle w:val="10"/>
        <w:numPr>
          <w:ilvl w:val="0"/>
          <w:numId w:val="4"/>
        </w:numPr>
        <w:ind w:firstLine="567" w:firstLineChars="0"/>
        <w:rPr>
          <w:rFonts w:ascii="仿宋" w:hAnsi="仿宋" w:eastAsia="仿宋"/>
          <w:kern w:val="2"/>
          <w:szCs w:val="20"/>
        </w:rPr>
      </w:pPr>
      <w:r>
        <w:rPr>
          <w:rFonts w:hint="eastAsia" w:ascii="仿宋" w:hAnsi="仿宋" w:eastAsia="仿宋"/>
          <w:kern w:val="2"/>
          <w:szCs w:val="20"/>
        </w:rPr>
        <w:t>加大政策支持。财政支持。支持符合条件的充电设施建设项目纳入地方政府专项债券发行范围。积极争取中央、省充电设施奖补资金。各县市区政府（管委会）可通过资金补助配套、优先划拨建设场所等方式，重点用于支持充换电设施建设运营。金融支持。鼓励引导银行等金融机构加大充电设施建设信贷投入。建立多渠道投融资体系，吸引社会资本参与充电设施建设运营。规划用地。各县市区要将充电设施建设内容纳入国土空间规划。按照节约集约原则，将充电基础设施用地纳入公用设施用地范围，按照加油加气站用地供应模式，优先供应土地。用电价格。对向电网企业直接报装接电的经营性集中式充电设施用电，单独装表计量，执行大工业用电价格，2025年前暂免收基本电费。其他充电设施按其所在场所执行分类目录电价，具备条件的，鼓励执行大工业电价。</w:t>
      </w:r>
    </w:p>
    <w:p>
      <w:pPr>
        <w:pStyle w:val="10"/>
        <w:numPr>
          <w:ilvl w:val="0"/>
          <w:numId w:val="4"/>
        </w:numPr>
        <w:ind w:firstLine="709" w:firstLineChars="0"/>
        <w:rPr>
          <w:rFonts w:ascii="仿宋" w:hAnsi="仿宋" w:eastAsia="仿宋"/>
          <w:kern w:val="2"/>
          <w:szCs w:val="20"/>
        </w:rPr>
      </w:pPr>
      <w:r>
        <w:rPr>
          <w:rFonts w:hint="eastAsia" w:ascii="仿宋" w:hAnsi="仿宋" w:eastAsia="仿宋"/>
          <w:kern w:val="2"/>
          <w:szCs w:val="20"/>
        </w:rPr>
        <w:t>简化建设审批手续。各居住区、单位停车场（位）和个人停车库（位）安装充电设施的，无需办理建设用地规划许可、建设工程规划许可和施工许可手续,应办理用电安全相关手续。公共停车场同步建设充电设施，无需单独办理建设工程规划许可和施工许可手续,应办理用电安全相关手续。新建单独占地的集中式充电站，符合国土空间规划的，应予办理建设用地规划许可、建设工程规划许可和施工许可手续。电网企业要做好相关电力设施改造和建设工作，负责从产权分界点至公共电网的配套电网工程建设和运行维护，不收取接网费用。电力接入有关要求，按省“简化获得电力”专项行动政策规定执行。</w:t>
      </w:r>
    </w:p>
    <w:p>
      <w:pPr>
        <w:pStyle w:val="10"/>
        <w:numPr>
          <w:ilvl w:val="0"/>
          <w:numId w:val="4"/>
        </w:numPr>
        <w:ind w:firstLine="560" w:firstLineChars="0"/>
        <w:rPr>
          <w:rFonts w:ascii="仿宋" w:hAnsi="仿宋" w:eastAsia="仿宋"/>
        </w:rPr>
      </w:pPr>
      <w:r>
        <w:rPr>
          <w:rFonts w:hint="eastAsia" w:ascii="仿宋" w:hAnsi="仿宋" w:eastAsia="仿宋"/>
          <w:kern w:val="2"/>
          <w:szCs w:val="20"/>
        </w:rPr>
        <w:t>落实安全责任。各县市区政府（管委会），市直及中央、省属驻岳部门单位要落实属地和行业安全监管职责，充电设施产权（运营）单位要履行安全管理主体责任。属于经营性充电设施的，要强化运营服务安全管理，建立安全生产责任体系，实施风险分级管控与隐患排查治理，预防和减少生产安全事故。属于非经营性充电设施的，业主要切实履行安全管理主体责任，同时可通过购买商业保险规避风险。</w:t>
      </w:r>
    </w:p>
    <w:p>
      <w:pPr>
        <w:pStyle w:val="4"/>
        <w:spacing w:before="0" w:after="0" w:line="560" w:lineRule="exact"/>
        <w:rPr>
          <w:rFonts w:ascii="仿宋" w:hAnsi="仿宋" w:eastAsia="仿宋"/>
          <w:szCs w:val="22"/>
        </w:rPr>
      </w:pPr>
      <w:r>
        <w:rPr>
          <w:rFonts w:ascii="仿宋" w:hAnsi="仿宋" w:eastAsia="仿宋"/>
          <w:szCs w:val="22"/>
        </w:rPr>
        <w:t>组织实施</w:t>
      </w:r>
    </w:p>
    <w:p>
      <w:pPr>
        <w:pStyle w:val="10"/>
        <w:numPr>
          <w:ilvl w:val="0"/>
          <w:numId w:val="5"/>
        </w:numPr>
        <w:ind w:firstLine="567" w:firstLineChars="0"/>
        <w:rPr>
          <w:rFonts w:ascii="仿宋" w:hAnsi="仿宋" w:eastAsia="仿宋"/>
          <w:bCs/>
        </w:rPr>
      </w:pPr>
      <w:r>
        <w:rPr>
          <w:rFonts w:hint="eastAsia" w:ascii="仿宋" w:hAnsi="仿宋" w:eastAsia="仿宋"/>
          <w:bCs/>
        </w:rPr>
        <w:t>加强组织领导。市发改委牵头成立工作专班，负责充电设施规划建设、行业管理和综合协调。市直各有关部门单位要将充电设施建设列为日常重点工作，相互协调配合，形成主要负责人亲自抓、分管负责人重点抓、明确专门单位具体抓的工作机制，按期完成目标任务。各县市区政府（管委会）要认真履行属地管理职责，切实承担起统筹推进充电基础设施发展的主体责任。</w:t>
      </w:r>
    </w:p>
    <w:p>
      <w:pPr>
        <w:pStyle w:val="10"/>
        <w:numPr>
          <w:ilvl w:val="0"/>
          <w:numId w:val="5"/>
        </w:numPr>
        <w:ind w:firstLine="567" w:firstLineChars="0"/>
        <w:rPr>
          <w:rFonts w:ascii="仿宋" w:hAnsi="仿宋" w:eastAsia="仿宋"/>
          <w:bCs/>
        </w:rPr>
      </w:pPr>
      <w:r>
        <w:rPr>
          <w:rFonts w:hint="eastAsia" w:ascii="仿宋" w:hAnsi="仿宋" w:eastAsia="仿宋"/>
          <w:bCs/>
        </w:rPr>
        <w:t>明确任务分工。发改部门负责牵头统筹充电设施行业发展规划、建设验收和运营监管，制订充电基础设施分类目录电价和峰谷分时电价政策，并确定充电服务费收取标准。工信部门负责组织制订新能源汽车产业发展的政策措施，引导推进新能源汽车与充电设施协调发展；负责研究制订电动汽车充电设施奖补实施办法并组织实施。财政部门负责落实电动汽车充电设施财政奖补资金，对奖补资金的使用进行监管。科技部门负责组织推动充电设施的技术创新。资规部门负责充电设施项目用地保障，制定充电设施选址技术导则。住建部门负责充电设施工程设计、施工、验收的监督管理，将充电设施配建比例纳入建筑工程审批验收范围，并指导协调住宅小区充电设施建设。气象部门负责充电基础设施工程雷电防护装置验收。应急部门负责充电设施安全生产综合监管工作。市场监管部门局负责充电设施计量、质量监督（生产销售环节）、服务收费的监管检查。公安部门和城管部门负责加强配建充电设施公共停车位管理，同时城管部门还负责指导协调环卫车辆充电设施建设。交通部门负责指导协调公交车、出租车、营运车辆等的行业管理单位充电设施建设,指导协调高速公路和国省道沿线、公共交通停保场、交通枢纽等领域的充换电基础设施建设。文化旅游部门负责指导协调旅游景区充电设施建设。农业农村部门负责指导协调农村地区充电设施建设。国资部门负责指导协调国有企业充电设施建设。机关事务管理部门负责指导协调党政机关及其他公共机构办公场所内充电设施建设工作。电网企业负责做好充电设施接电保障服务工作。</w:t>
      </w:r>
    </w:p>
    <w:p>
      <w:pPr>
        <w:pStyle w:val="10"/>
        <w:numPr>
          <w:ilvl w:val="0"/>
          <w:numId w:val="5"/>
        </w:numPr>
        <w:ind w:firstLine="709" w:firstLineChars="0"/>
        <w:rPr>
          <w:rFonts w:ascii="仿宋" w:hAnsi="仿宋" w:eastAsia="仿宋"/>
        </w:rPr>
      </w:pPr>
      <w:r>
        <w:rPr>
          <w:rFonts w:hint="eastAsia" w:ascii="仿宋" w:hAnsi="仿宋" w:eastAsia="仿宋"/>
          <w:bCs/>
        </w:rPr>
        <w:t>加大示范推广力度。各级各相关部门要结合新能源汽车推广应用需要，针对充电基础设施发展的重点和难点，加强与城乡建设规划和电网规划的统筹协调，积极开展充电基础设施建设与运营模式试点示范。加强对充电基础设施发展政策、规划布局和专业常识的宣传，吸引更多社会资本参与充电基础设施建设营运。同时要通过多种形式加强对充电设施发展政策、规划布局、建设动态和典型经验的宣传，为充电基础设施行业健康发展创造良好的的舆论环境。</w:t>
      </w:r>
    </w:p>
    <w:p>
      <w:pPr>
        <w:spacing w:line="560" w:lineRule="exact"/>
        <w:rPr>
          <w:rFonts w:ascii="仿宋" w:hAnsi="仿宋" w:eastAsia="仿宋"/>
          <w:b/>
          <w:bCs/>
          <w:sz w:val="44"/>
          <w:szCs w:val="44"/>
        </w:rPr>
      </w:pPr>
    </w:p>
    <w:sectPr>
      <w:footerReference r:id="rId12" w:type="default"/>
      <w:pgSz w:w="11906" w:h="16838"/>
      <w:pgMar w:top="1440" w:right="1800" w:bottom="1440" w:left="1800" w:header="454"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1"/>
        <w:left w:val="none" w:color="auto" w:sz="0" w:space="4"/>
        <w:bottom w:val="none" w:color="auto" w:sz="0" w:space="1"/>
        <w:right w:val="none" w:color="auto" w:sz="0" w:space="4"/>
      </w:pBd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sz w:val="21"/>
        <w:szCs w:val="21"/>
      </w:rPr>
    </w:pPr>
    <w:r>
      <w:rPr>
        <w:sz w:val="21"/>
      </w:rPr>
      <mc:AlternateContent>
        <mc:Choice Requires="wps">
          <w:drawing>
            <wp:anchor distT="0" distB="0" distL="114935" distR="114935"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pStyle w:val="17"/>
                      <w:jc w:val="cente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jc w:val="cente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40</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7"/>
                      <w:jc w:val="cente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40</w:t>
                    </w:r>
                    <w:r>
                      <w:rPr>
                        <w:rFonts w:hint="eastAsia"/>
                        <w:sz w:val="21"/>
                        <w:szCs w:val="21"/>
                      </w:rPr>
                      <w:fldChar w:fldCharType="end"/>
                    </w:r>
                  </w:p>
                </w:txbxContent>
              </v:textbox>
            </v:shape>
          </w:pict>
        </mc:Fallback>
      </mc:AlternateConten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岳阳市“十四五”充电基础设施建设发展规划</w:t>
    </w:r>
  </w:p>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《岳阳市“十四五”充电基础设施建设发展规划》</w:t>
    </w:r>
  </w:p>
  <w:p>
    <w:pPr>
      <w:pStyle w:val="18"/>
      <w:tabs>
        <w:tab w:val="left" w:pos="4200"/>
        <w:tab w:val="left" w:pos="4620"/>
        <w:tab w:val="left" w:pos="5040"/>
        <w:tab w:val="clear" w:pos="8306"/>
      </w:tabs>
      <w:jc w:val="left"/>
    </w:pP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《岳阳市“十四五”充电基础设施建设发展规划》</w:t>
    </w:r>
  </w:p>
  <w:p>
    <w:r>
      <w:tab/>
    </w:r>
    <w:r>
      <w:tab/>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《岳阳市“十四五”充电基础设施建设发展规划说明书》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FF037"/>
    <w:multiLevelType w:val="singleLevel"/>
    <w:tmpl w:val="D9CFF037"/>
    <w:lvl w:ilvl="0" w:tentative="0">
      <w:start w:val="1"/>
      <w:numFmt w:val="chineseCounting"/>
      <w:suff w:val="nothing"/>
      <w:lvlText w:val="（%1）"/>
      <w:lvlJc w:val="left"/>
      <w:rPr>
        <w:rFonts w:hint="eastAsia"/>
      </w:rPr>
    </w:lvl>
  </w:abstractNum>
  <w:abstractNum w:abstractNumId="1">
    <w:nsid w:val="F2D190F4"/>
    <w:multiLevelType w:val="singleLevel"/>
    <w:tmpl w:val="F2D190F4"/>
    <w:lvl w:ilvl="0" w:tentative="0">
      <w:start w:val="1"/>
      <w:numFmt w:val="chineseCounting"/>
      <w:suff w:val="nothing"/>
      <w:lvlText w:val="（%1）"/>
      <w:lvlJc w:val="left"/>
      <w:rPr>
        <w:rFonts w:hint="eastAsia"/>
      </w:rPr>
    </w:lvl>
  </w:abstractNum>
  <w:abstractNum w:abstractNumId="2">
    <w:nsid w:val="00000010"/>
    <w:multiLevelType w:val="multilevel"/>
    <w:tmpl w:val="00000010"/>
    <w:lvl w:ilvl="0" w:tentative="0">
      <w:start w:val="1"/>
      <w:numFmt w:val="chineseCountingThousand"/>
      <w:lvlText w:val="第%1条"/>
      <w:lvlJc w:val="left"/>
      <w:pPr>
        <w:tabs>
          <w:tab w:val="left" w:pos="2448"/>
        </w:tabs>
        <w:ind w:left="2448" w:hanging="1455"/>
      </w:pPr>
      <w:rPr>
        <w:rFonts w:hint="default"/>
        <w:b/>
        <w:color w:val="auto"/>
      </w:rPr>
    </w:lvl>
    <w:lvl w:ilvl="1" w:tentative="0">
      <w:start w:val="1"/>
      <w:numFmt w:val="decimal"/>
      <w:lvlText w:val="%2、"/>
      <w:lvlJc w:val="left"/>
      <w:pPr>
        <w:tabs>
          <w:tab w:val="left" w:pos="909"/>
        </w:tabs>
        <w:ind w:left="909" w:hanging="341"/>
      </w:pPr>
      <w:rPr>
        <w:rFonts w:hint="eastAsia"/>
        <w:b/>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2"/>
    <w:multiLevelType w:val="multilevel"/>
    <w:tmpl w:val="00000012"/>
    <w:lvl w:ilvl="0" w:tentative="0">
      <w:start w:val="1"/>
      <w:numFmt w:val="decimal"/>
      <w:pStyle w:val="2"/>
      <w:lvlText w:val="%1"/>
      <w:lvlJc w:val="left"/>
      <w:pPr>
        <w:tabs>
          <w:tab w:val="left" w:pos="3970"/>
        </w:tabs>
        <w:ind w:left="3970" w:hanging="425"/>
      </w:pPr>
      <w:rPr>
        <w:rFonts w:hint="eastAsia"/>
      </w:rPr>
    </w:lvl>
    <w:lvl w:ilvl="1" w:tentative="0">
      <w:start w:val="1"/>
      <w:numFmt w:val="decimal"/>
      <w:pStyle w:val="3"/>
      <w:lvlText w:val="%1.%2"/>
      <w:lvlJc w:val="left"/>
      <w:pPr>
        <w:tabs>
          <w:tab w:val="left" w:pos="567"/>
        </w:tabs>
        <w:ind w:left="567" w:hanging="567"/>
      </w:pPr>
      <w:rPr>
        <w:rFonts w:hint="default" w:ascii="Times New Roman" w:hAnsi="Times New Roman" w:eastAsia="宋体"/>
        <w:lang w:val="en-US"/>
      </w:rPr>
    </w:lvl>
    <w:lvl w:ilvl="2" w:tentative="0">
      <w:start w:val="1"/>
      <w:numFmt w:val="decimal"/>
      <w:pStyle w:val="4"/>
      <w:suff w:val="space"/>
      <w:lvlText w:val="%1.%2.%3"/>
      <w:lvlJc w:val="left"/>
      <w:pPr>
        <w:ind w:left="766" w:hanging="624"/>
      </w:pPr>
      <w:rPr>
        <w:rFonts w:hint="eastAsia"/>
        <w:lang w:val="en-US"/>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4">
    <w:nsid w:val="23B62FB3"/>
    <w:multiLevelType w:val="multilevel"/>
    <w:tmpl w:val="23B62FB3"/>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20B"/>
    <w:rsid w:val="000012C6"/>
    <w:rsid w:val="0000388D"/>
    <w:rsid w:val="000059F2"/>
    <w:rsid w:val="000117C2"/>
    <w:rsid w:val="00026AD3"/>
    <w:rsid w:val="00031A9D"/>
    <w:rsid w:val="00031F18"/>
    <w:rsid w:val="00034C13"/>
    <w:rsid w:val="00035720"/>
    <w:rsid w:val="00042B9C"/>
    <w:rsid w:val="000436AC"/>
    <w:rsid w:val="00043F31"/>
    <w:rsid w:val="000524C3"/>
    <w:rsid w:val="00052D2F"/>
    <w:rsid w:val="00054FC4"/>
    <w:rsid w:val="00064B51"/>
    <w:rsid w:val="00065ECB"/>
    <w:rsid w:val="0007149B"/>
    <w:rsid w:val="00080175"/>
    <w:rsid w:val="00082272"/>
    <w:rsid w:val="00090A0D"/>
    <w:rsid w:val="00092F2E"/>
    <w:rsid w:val="000978BE"/>
    <w:rsid w:val="000A1EE0"/>
    <w:rsid w:val="000A2A26"/>
    <w:rsid w:val="000A3AA2"/>
    <w:rsid w:val="000A3DAB"/>
    <w:rsid w:val="000A420B"/>
    <w:rsid w:val="000B1D8A"/>
    <w:rsid w:val="000B33E1"/>
    <w:rsid w:val="000B3FBF"/>
    <w:rsid w:val="000B4B9E"/>
    <w:rsid w:val="000B50EB"/>
    <w:rsid w:val="000B5E46"/>
    <w:rsid w:val="000B7385"/>
    <w:rsid w:val="000C26C2"/>
    <w:rsid w:val="000C3D66"/>
    <w:rsid w:val="000C45C4"/>
    <w:rsid w:val="000D2053"/>
    <w:rsid w:val="000D46AD"/>
    <w:rsid w:val="000D4A6D"/>
    <w:rsid w:val="000D56C2"/>
    <w:rsid w:val="000D5879"/>
    <w:rsid w:val="000D6A8C"/>
    <w:rsid w:val="000E02AD"/>
    <w:rsid w:val="000E2465"/>
    <w:rsid w:val="000E542F"/>
    <w:rsid w:val="000F4DF5"/>
    <w:rsid w:val="000F5DF9"/>
    <w:rsid w:val="000F7334"/>
    <w:rsid w:val="00105A20"/>
    <w:rsid w:val="001069FF"/>
    <w:rsid w:val="001213C8"/>
    <w:rsid w:val="00124008"/>
    <w:rsid w:val="00124295"/>
    <w:rsid w:val="001279C3"/>
    <w:rsid w:val="00130759"/>
    <w:rsid w:val="001327C9"/>
    <w:rsid w:val="00132D4E"/>
    <w:rsid w:val="00146306"/>
    <w:rsid w:val="00147147"/>
    <w:rsid w:val="001477D7"/>
    <w:rsid w:val="00152B7E"/>
    <w:rsid w:val="00171388"/>
    <w:rsid w:val="00172DEC"/>
    <w:rsid w:val="001748E5"/>
    <w:rsid w:val="0017741B"/>
    <w:rsid w:val="00180569"/>
    <w:rsid w:val="00181661"/>
    <w:rsid w:val="0018331A"/>
    <w:rsid w:val="00183C37"/>
    <w:rsid w:val="001862E5"/>
    <w:rsid w:val="001873F6"/>
    <w:rsid w:val="0019025D"/>
    <w:rsid w:val="001902E4"/>
    <w:rsid w:val="00191EFC"/>
    <w:rsid w:val="00192A79"/>
    <w:rsid w:val="00197B3C"/>
    <w:rsid w:val="00197D21"/>
    <w:rsid w:val="001A1A86"/>
    <w:rsid w:val="001B1159"/>
    <w:rsid w:val="001B4A7E"/>
    <w:rsid w:val="001B7EDF"/>
    <w:rsid w:val="001C7BA1"/>
    <w:rsid w:val="001D24F4"/>
    <w:rsid w:val="001D308D"/>
    <w:rsid w:val="001D51FC"/>
    <w:rsid w:val="001D57C0"/>
    <w:rsid w:val="001E1185"/>
    <w:rsid w:val="001F0EC1"/>
    <w:rsid w:val="001F0FE6"/>
    <w:rsid w:val="001F3125"/>
    <w:rsid w:val="001F6131"/>
    <w:rsid w:val="001F7B2C"/>
    <w:rsid w:val="001F7B81"/>
    <w:rsid w:val="0020035F"/>
    <w:rsid w:val="0020048E"/>
    <w:rsid w:val="00201299"/>
    <w:rsid w:val="002040E7"/>
    <w:rsid w:val="00205F28"/>
    <w:rsid w:val="002147AA"/>
    <w:rsid w:val="00215F29"/>
    <w:rsid w:val="0021626C"/>
    <w:rsid w:val="00217A44"/>
    <w:rsid w:val="00221AC4"/>
    <w:rsid w:val="00226129"/>
    <w:rsid w:val="00226B34"/>
    <w:rsid w:val="00227B20"/>
    <w:rsid w:val="00227B33"/>
    <w:rsid w:val="002356B4"/>
    <w:rsid w:val="002360EB"/>
    <w:rsid w:val="00240115"/>
    <w:rsid w:val="00243E13"/>
    <w:rsid w:val="002502B3"/>
    <w:rsid w:val="00257608"/>
    <w:rsid w:val="002612EA"/>
    <w:rsid w:val="002617B8"/>
    <w:rsid w:val="00262BF3"/>
    <w:rsid w:val="00263432"/>
    <w:rsid w:val="002653E4"/>
    <w:rsid w:val="00267B42"/>
    <w:rsid w:val="0027047C"/>
    <w:rsid w:val="00274285"/>
    <w:rsid w:val="00287417"/>
    <w:rsid w:val="002912C9"/>
    <w:rsid w:val="00291F85"/>
    <w:rsid w:val="002936EA"/>
    <w:rsid w:val="00295512"/>
    <w:rsid w:val="00296069"/>
    <w:rsid w:val="00297023"/>
    <w:rsid w:val="002A06F8"/>
    <w:rsid w:val="002A0C36"/>
    <w:rsid w:val="002B1F69"/>
    <w:rsid w:val="002B574C"/>
    <w:rsid w:val="002B5AB0"/>
    <w:rsid w:val="002C0B09"/>
    <w:rsid w:val="002C1CF9"/>
    <w:rsid w:val="002C2BA5"/>
    <w:rsid w:val="002D066A"/>
    <w:rsid w:val="002D18AA"/>
    <w:rsid w:val="002D3E4A"/>
    <w:rsid w:val="002D41BD"/>
    <w:rsid w:val="002D51E4"/>
    <w:rsid w:val="002D681B"/>
    <w:rsid w:val="002D6E7D"/>
    <w:rsid w:val="002E2D26"/>
    <w:rsid w:val="002E5066"/>
    <w:rsid w:val="002F464A"/>
    <w:rsid w:val="002F54A2"/>
    <w:rsid w:val="00310F08"/>
    <w:rsid w:val="00311C02"/>
    <w:rsid w:val="00312D7D"/>
    <w:rsid w:val="00315361"/>
    <w:rsid w:val="00321B51"/>
    <w:rsid w:val="00322483"/>
    <w:rsid w:val="0032582F"/>
    <w:rsid w:val="00326B47"/>
    <w:rsid w:val="0033588E"/>
    <w:rsid w:val="003376D7"/>
    <w:rsid w:val="00337B10"/>
    <w:rsid w:val="003439DA"/>
    <w:rsid w:val="00346CAC"/>
    <w:rsid w:val="003502B2"/>
    <w:rsid w:val="003523C3"/>
    <w:rsid w:val="003532BA"/>
    <w:rsid w:val="00355B1D"/>
    <w:rsid w:val="003571FC"/>
    <w:rsid w:val="00364660"/>
    <w:rsid w:val="00373D46"/>
    <w:rsid w:val="003746D8"/>
    <w:rsid w:val="003766BC"/>
    <w:rsid w:val="00377C15"/>
    <w:rsid w:val="003824D2"/>
    <w:rsid w:val="00384B0D"/>
    <w:rsid w:val="0039352E"/>
    <w:rsid w:val="00393719"/>
    <w:rsid w:val="00395235"/>
    <w:rsid w:val="003A01C6"/>
    <w:rsid w:val="003A09A0"/>
    <w:rsid w:val="003A2BAF"/>
    <w:rsid w:val="003A709F"/>
    <w:rsid w:val="003B07BC"/>
    <w:rsid w:val="003B29C3"/>
    <w:rsid w:val="003C2719"/>
    <w:rsid w:val="003C3EA2"/>
    <w:rsid w:val="003C401A"/>
    <w:rsid w:val="003C6F85"/>
    <w:rsid w:val="003D3D01"/>
    <w:rsid w:val="003D4B22"/>
    <w:rsid w:val="003D50AF"/>
    <w:rsid w:val="003D6C25"/>
    <w:rsid w:val="003D7713"/>
    <w:rsid w:val="003E3010"/>
    <w:rsid w:val="003E32EB"/>
    <w:rsid w:val="003E35ED"/>
    <w:rsid w:val="003E43C6"/>
    <w:rsid w:val="003E7429"/>
    <w:rsid w:val="003F1883"/>
    <w:rsid w:val="003F26C5"/>
    <w:rsid w:val="003F70DF"/>
    <w:rsid w:val="004032E3"/>
    <w:rsid w:val="004064AE"/>
    <w:rsid w:val="00410AC6"/>
    <w:rsid w:val="0041184E"/>
    <w:rsid w:val="004119EA"/>
    <w:rsid w:val="00412877"/>
    <w:rsid w:val="00414070"/>
    <w:rsid w:val="00416EAF"/>
    <w:rsid w:val="0042128D"/>
    <w:rsid w:val="004218F3"/>
    <w:rsid w:val="004311E7"/>
    <w:rsid w:val="004323DE"/>
    <w:rsid w:val="00432CBF"/>
    <w:rsid w:val="004341CD"/>
    <w:rsid w:val="00437533"/>
    <w:rsid w:val="00446A07"/>
    <w:rsid w:val="0045165D"/>
    <w:rsid w:val="00451FC6"/>
    <w:rsid w:val="00453A56"/>
    <w:rsid w:val="00453BD4"/>
    <w:rsid w:val="00454A0A"/>
    <w:rsid w:val="00456EDD"/>
    <w:rsid w:val="00463E05"/>
    <w:rsid w:val="00466C4F"/>
    <w:rsid w:val="00467DB0"/>
    <w:rsid w:val="00471B94"/>
    <w:rsid w:val="00472D30"/>
    <w:rsid w:val="00473145"/>
    <w:rsid w:val="00473B40"/>
    <w:rsid w:val="00475B44"/>
    <w:rsid w:val="00492AC6"/>
    <w:rsid w:val="004969DE"/>
    <w:rsid w:val="0049779E"/>
    <w:rsid w:val="00497CDB"/>
    <w:rsid w:val="004A0020"/>
    <w:rsid w:val="004A0B32"/>
    <w:rsid w:val="004A168A"/>
    <w:rsid w:val="004A55D4"/>
    <w:rsid w:val="004A55D9"/>
    <w:rsid w:val="004A7A56"/>
    <w:rsid w:val="004B0969"/>
    <w:rsid w:val="004B269E"/>
    <w:rsid w:val="004B5781"/>
    <w:rsid w:val="004C13B8"/>
    <w:rsid w:val="004D0756"/>
    <w:rsid w:val="004D0D5D"/>
    <w:rsid w:val="004D41D8"/>
    <w:rsid w:val="004D568A"/>
    <w:rsid w:val="004D681C"/>
    <w:rsid w:val="004E3EA8"/>
    <w:rsid w:val="004E63B7"/>
    <w:rsid w:val="004F406F"/>
    <w:rsid w:val="00504959"/>
    <w:rsid w:val="00506548"/>
    <w:rsid w:val="00506CCD"/>
    <w:rsid w:val="005111DA"/>
    <w:rsid w:val="00511393"/>
    <w:rsid w:val="00512EFF"/>
    <w:rsid w:val="00520229"/>
    <w:rsid w:val="00526FF0"/>
    <w:rsid w:val="005270BE"/>
    <w:rsid w:val="0053034D"/>
    <w:rsid w:val="00534EE0"/>
    <w:rsid w:val="00540683"/>
    <w:rsid w:val="00544F5F"/>
    <w:rsid w:val="00545CE1"/>
    <w:rsid w:val="00550129"/>
    <w:rsid w:val="00552F19"/>
    <w:rsid w:val="00555A09"/>
    <w:rsid w:val="00557F88"/>
    <w:rsid w:val="005617DE"/>
    <w:rsid w:val="005666CD"/>
    <w:rsid w:val="00570008"/>
    <w:rsid w:val="00572929"/>
    <w:rsid w:val="005743A4"/>
    <w:rsid w:val="00575F18"/>
    <w:rsid w:val="0057628B"/>
    <w:rsid w:val="005819D0"/>
    <w:rsid w:val="005841F4"/>
    <w:rsid w:val="0058557C"/>
    <w:rsid w:val="00586BD3"/>
    <w:rsid w:val="005873DF"/>
    <w:rsid w:val="005914EC"/>
    <w:rsid w:val="00592E34"/>
    <w:rsid w:val="00597110"/>
    <w:rsid w:val="005A331C"/>
    <w:rsid w:val="005A3E85"/>
    <w:rsid w:val="005A3EDD"/>
    <w:rsid w:val="005A5131"/>
    <w:rsid w:val="005A62BD"/>
    <w:rsid w:val="005B1F49"/>
    <w:rsid w:val="005B2492"/>
    <w:rsid w:val="005B37D6"/>
    <w:rsid w:val="005B59AF"/>
    <w:rsid w:val="005B6E68"/>
    <w:rsid w:val="005C155A"/>
    <w:rsid w:val="005C18F6"/>
    <w:rsid w:val="005C59D4"/>
    <w:rsid w:val="005D00E5"/>
    <w:rsid w:val="005D1F6D"/>
    <w:rsid w:val="005D4FC7"/>
    <w:rsid w:val="005D54E1"/>
    <w:rsid w:val="005E1D14"/>
    <w:rsid w:val="005F12BB"/>
    <w:rsid w:val="005F4121"/>
    <w:rsid w:val="005F4B2C"/>
    <w:rsid w:val="0060473C"/>
    <w:rsid w:val="0060566A"/>
    <w:rsid w:val="00606961"/>
    <w:rsid w:val="0061074E"/>
    <w:rsid w:val="0061096B"/>
    <w:rsid w:val="00610A78"/>
    <w:rsid w:val="00610C5B"/>
    <w:rsid w:val="0061269B"/>
    <w:rsid w:val="00614571"/>
    <w:rsid w:val="00616861"/>
    <w:rsid w:val="006241EE"/>
    <w:rsid w:val="006274CA"/>
    <w:rsid w:val="00630220"/>
    <w:rsid w:val="00633942"/>
    <w:rsid w:val="00636EA3"/>
    <w:rsid w:val="00652FFB"/>
    <w:rsid w:val="006536D9"/>
    <w:rsid w:val="00654124"/>
    <w:rsid w:val="0065760E"/>
    <w:rsid w:val="00660156"/>
    <w:rsid w:val="006617BF"/>
    <w:rsid w:val="00666867"/>
    <w:rsid w:val="00672EC2"/>
    <w:rsid w:val="0067604E"/>
    <w:rsid w:val="00677189"/>
    <w:rsid w:val="00683654"/>
    <w:rsid w:val="006855F2"/>
    <w:rsid w:val="0068676A"/>
    <w:rsid w:val="00692DCD"/>
    <w:rsid w:val="00696113"/>
    <w:rsid w:val="00696A98"/>
    <w:rsid w:val="00697093"/>
    <w:rsid w:val="006A5512"/>
    <w:rsid w:val="006A6244"/>
    <w:rsid w:val="006B0946"/>
    <w:rsid w:val="006B09F6"/>
    <w:rsid w:val="006B25F6"/>
    <w:rsid w:val="006B3484"/>
    <w:rsid w:val="006B6C3D"/>
    <w:rsid w:val="006B74E7"/>
    <w:rsid w:val="006C240F"/>
    <w:rsid w:val="006D0798"/>
    <w:rsid w:val="006D279E"/>
    <w:rsid w:val="006D5A1C"/>
    <w:rsid w:val="006E4F49"/>
    <w:rsid w:val="006F1480"/>
    <w:rsid w:val="006F1DCA"/>
    <w:rsid w:val="006F2CC9"/>
    <w:rsid w:val="006F35A5"/>
    <w:rsid w:val="007033FA"/>
    <w:rsid w:val="00703E05"/>
    <w:rsid w:val="00704588"/>
    <w:rsid w:val="007052BF"/>
    <w:rsid w:val="00706D4C"/>
    <w:rsid w:val="00711B3A"/>
    <w:rsid w:val="0071402C"/>
    <w:rsid w:val="00715AFA"/>
    <w:rsid w:val="00717325"/>
    <w:rsid w:val="00721598"/>
    <w:rsid w:val="00725D81"/>
    <w:rsid w:val="00725F54"/>
    <w:rsid w:val="00726FB2"/>
    <w:rsid w:val="007270C6"/>
    <w:rsid w:val="00730C1F"/>
    <w:rsid w:val="0073212C"/>
    <w:rsid w:val="0074072B"/>
    <w:rsid w:val="007434AF"/>
    <w:rsid w:val="0074350C"/>
    <w:rsid w:val="0074368A"/>
    <w:rsid w:val="00743912"/>
    <w:rsid w:val="00745CD0"/>
    <w:rsid w:val="00751DEB"/>
    <w:rsid w:val="00751E11"/>
    <w:rsid w:val="00752919"/>
    <w:rsid w:val="00753334"/>
    <w:rsid w:val="00753F93"/>
    <w:rsid w:val="007561C8"/>
    <w:rsid w:val="007567B3"/>
    <w:rsid w:val="00756B53"/>
    <w:rsid w:val="00760B4E"/>
    <w:rsid w:val="007617A5"/>
    <w:rsid w:val="00761A1F"/>
    <w:rsid w:val="007652CB"/>
    <w:rsid w:val="007665D4"/>
    <w:rsid w:val="00770A30"/>
    <w:rsid w:val="00773051"/>
    <w:rsid w:val="00776685"/>
    <w:rsid w:val="00781041"/>
    <w:rsid w:val="00783B22"/>
    <w:rsid w:val="00783B70"/>
    <w:rsid w:val="0078591C"/>
    <w:rsid w:val="00791959"/>
    <w:rsid w:val="007946DC"/>
    <w:rsid w:val="007A0FDC"/>
    <w:rsid w:val="007A388F"/>
    <w:rsid w:val="007A634D"/>
    <w:rsid w:val="007B012D"/>
    <w:rsid w:val="007B0F37"/>
    <w:rsid w:val="007B322F"/>
    <w:rsid w:val="007B3EA0"/>
    <w:rsid w:val="007B7287"/>
    <w:rsid w:val="007C00F7"/>
    <w:rsid w:val="007C05E8"/>
    <w:rsid w:val="007C0AA5"/>
    <w:rsid w:val="007C3740"/>
    <w:rsid w:val="007C52E8"/>
    <w:rsid w:val="007C5F91"/>
    <w:rsid w:val="007C7BE2"/>
    <w:rsid w:val="007D4110"/>
    <w:rsid w:val="007E29D3"/>
    <w:rsid w:val="007E520C"/>
    <w:rsid w:val="007E6AAE"/>
    <w:rsid w:val="007F068A"/>
    <w:rsid w:val="007F1C2A"/>
    <w:rsid w:val="007F2BE1"/>
    <w:rsid w:val="007F4DC2"/>
    <w:rsid w:val="00800745"/>
    <w:rsid w:val="00801592"/>
    <w:rsid w:val="00805663"/>
    <w:rsid w:val="00814A85"/>
    <w:rsid w:val="00814D83"/>
    <w:rsid w:val="00815FBE"/>
    <w:rsid w:val="00817B59"/>
    <w:rsid w:val="00823834"/>
    <w:rsid w:val="008242F4"/>
    <w:rsid w:val="0082661A"/>
    <w:rsid w:val="0082775D"/>
    <w:rsid w:val="00831762"/>
    <w:rsid w:val="008352C1"/>
    <w:rsid w:val="00840CB1"/>
    <w:rsid w:val="0084292F"/>
    <w:rsid w:val="00843BCB"/>
    <w:rsid w:val="008458AE"/>
    <w:rsid w:val="0085170A"/>
    <w:rsid w:val="0085213D"/>
    <w:rsid w:val="00855B77"/>
    <w:rsid w:val="008603B9"/>
    <w:rsid w:val="00860533"/>
    <w:rsid w:val="008650B7"/>
    <w:rsid w:val="008666D5"/>
    <w:rsid w:val="00870428"/>
    <w:rsid w:val="00872CA4"/>
    <w:rsid w:val="00873800"/>
    <w:rsid w:val="00876602"/>
    <w:rsid w:val="008778B0"/>
    <w:rsid w:val="008828EA"/>
    <w:rsid w:val="008866E4"/>
    <w:rsid w:val="0088789A"/>
    <w:rsid w:val="00890D87"/>
    <w:rsid w:val="00895EB2"/>
    <w:rsid w:val="0089731F"/>
    <w:rsid w:val="008A31E4"/>
    <w:rsid w:val="008A39EA"/>
    <w:rsid w:val="008A5E4B"/>
    <w:rsid w:val="008B0090"/>
    <w:rsid w:val="008B20F5"/>
    <w:rsid w:val="008B2EA9"/>
    <w:rsid w:val="008B415A"/>
    <w:rsid w:val="008B67DE"/>
    <w:rsid w:val="008C4885"/>
    <w:rsid w:val="008D0C7A"/>
    <w:rsid w:val="008D16DD"/>
    <w:rsid w:val="008D2386"/>
    <w:rsid w:val="008D471D"/>
    <w:rsid w:val="008D49E4"/>
    <w:rsid w:val="008D6C18"/>
    <w:rsid w:val="008D719F"/>
    <w:rsid w:val="008D76F1"/>
    <w:rsid w:val="008E1486"/>
    <w:rsid w:val="008E16EC"/>
    <w:rsid w:val="008E1FD4"/>
    <w:rsid w:val="008E5771"/>
    <w:rsid w:val="008E6520"/>
    <w:rsid w:val="008E7D28"/>
    <w:rsid w:val="008F4291"/>
    <w:rsid w:val="009033A0"/>
    <w:rsid w:val="00911F04"/>
    <w:rsid w:val="0091416B"/>
    <w:rsid w:val="00920913"/>
    <w:rsid w:val="00921C8D"/>
    <w:rsid w:val="0092227E"/>
    <w:rsid w:val="00924958"/>
    <w:rsid w:val="009275BF"/>
    <w:rsid w:val="00936CE1"/>
    <w:rsid w:val="00937C98"/>
    <w:rsid w:val="00941FBF"/>
    <w:rsid w:val="009436D6"/>
    <w:rsid w:val="009516E3"/>
    <w:rsid w:val="00951922"/>
    <w:rsid w:val="00951A04"/>
    <w:rsid w:val="009536A5"/>
    <w:rsid w:val="0095642E"/>
    <w:rsid w:val="00963A67"/>
    <w:rsid w:val="00963FF7"/>
    <w:rsid w:val="00964575"/>
    <w:rsid w:val="00966368"/>
    <w:rsid w:val="00967571"/>
    <w:rsid w:val="0097122D"/>
    <w:rsid w:val="00972E4B"/>
    <w:rsid w:val="00974002"/>
    <w:rsid w:val="00974941"/>
    <w:rsid w:val="0097585C"/>
    <w:rsid w:val="00975AC8"/>
    <w:rsid w:val="00981F97"/>
    <w:rsid w:val="009824F7"/>
    <w:rsid w:val="009912F8"/>
    <w:rsid w:val="0099387B"/>
    <w:rsid w:val="00993D5C"/>
    <w:rsid w:val="00993F02"/>
    <w:rsid w:val="009963F9"/>
    <w:rsid w:val="0099743B"/>
    <w:rsid w:val="009A3D6B"/>
    <w:rsid w:val="009A51ED"/>
    <w:rsid w:val="009B0501"/>
    <w:rsid w:val="009B2BE2"/>
    <w:rsid w:val="009B5A05"/>
    <w:rsid w:val="009B69FD"/>
    <w:rsid w:val="009C062F"/>
    <w:rsid w:val="009C12A3"/>
    <w:rsid w:val="009C231E"/>
    <w:rsid w:val="009C258B"/>
    <w:rsid w:val="009C34CF"/>
    <w:rsid w:val="009C57E2"/>
    <w:rsid w:val="009D1F83"/>
    <w:rsid w:val="009D288E"/>
    <w:rsid w:val="009D37AB"/>
    <w:rsid w:val="009D52B3"/>
    <w:rsid w:val="009D60CC"/>
    <w:rsid w:val="009D6E5E"/>
    <w:rsid w:val="009F2AF2"/>
    <w:rsid w:val="009F4A41"/>
    <w:rsid w:val="00A048DD"/>
    <w:rsid w:val="00A067B6"/>
    <w:rsid w:val="00A12A13"/>
    <w:rsid w:val="00A172D6"/>
    <w:rsid w:val="00A20EA4"/>
    <w:rsid w:val="00A26CC5"/>
    <w:rsid w:val="00A31DD1"/>
    <w:rsid w:val="00A32ECE"/>
    <w:rsid w:val="00A33434"/>
    <w:rsid w:val="00A33A51"/>
    <w:rsid w:val="00A36EB1"/>
    <w:rsid w:val="00A37874"/>
    <w:rsid w:val="00A41489"/>
    <w:rsid w:val="00A4389C"/>
    <w:rsid w:val="00A47DB4"/>
    <w:rsid w:val="00A500C9"/>
    <w:rsid w:val="00A51B29"/>
    <w:rsid w:val="00A57B65"/>
    <w:rsid w:val="00A6097C"/>
    <w:rsid w:val="00A61B2B"/>
    <w:rsid w:val="00A62B9F"/>
    <w:rsid w:val="00A62CBC"/>
    <w:rsid w:val="00A70735"/>
    <w:rsid w:val="00A7492C"/>
    <w:rsid w:val="00A7499B"/>
    <w:rsid w:val="00A75646"/>
    <w:rsid w:val="00A7696B"/>
    <w:rsid w:val="00A7726D"/>
    <w:rsid w:val="00A848A1"/>
    <w:rsid w:val="00A85FA2"/>
    <w:rsid w:val="00A873A4"/>
    <w:rsid w:val="00A87634"/>
    <w:rsid w:val="00A90AD7"/>
    <w:rsid w:val="00A92899"/>
    <w:rsid w:val="00A93C7C"/>
    <w:rsid w:val="00A9558E"/>
    <w:rsid w:val="00A95AFD"/>
    <w:rsid w:val="00AA5F61"/>
    <w:rsid w:val="00AA7215"/>
    <w:rsid w:val="00AA7BC7"/>
    <w:rsid w:val="00AB07CD"/>
    <w:rsid w:val="00AB2184"/>
    <w:rsid w:val="00AB26BD"/>
    <w:rsid w:val="00AB63C6"/>
    <w:rsid w:val="00AB7A03"/>
    <w:rsid w:val="00AC0176"/>
    <w:rsid w:val="00AC4A5F"/>
    <w:rsid w:val="00AC66B6"/>
    <w:rsid w:val="00AD0328"/>
    <w:rsid w:val="00AD0A8D"/>
    <w:rsid w:val="00AD3B4B"/>
    <w:rsid w:val="00AD3D25"/>
    <w:rsid w:val="00AE09F3"/>
    <w:rsid w:val="00AE1FC7"/>
    <w:rsid w:val="00AE38F8"/>
    <w:rsid w:val="00AE56C5"/>
    <w:rsid w:val="00AF3B76"/>
    <w:rsid w:val="00AF5033"/>
    <w:rsid w:val="00B000F9"/>
    <w:rsid w:val="00B00CCF"/>
    <w:rsid w:val="00B02031"/>
    <w:rsid w:val="00B10A74"/>
    <w:rsid w:val="00B12CB2"/>
    <w:rsid w:val="00B15ECC"/>
    <w:rsid w:val="00B21C0A"/>
    <w:rsid w:val="00B24769"/>
    <w:rsid w:val="00B25493"/>
    <w:rsid w:val="00B27E51"/>
    <w:rsid w:val="00B37B51"/>
    <w:rsid w:val="00B43CBB"/>
    <w:rsid w:val="00B5324F"/>
    <w:rsid w:val="00B53DB5"/>
    <w:rsid w:val="00B7172B"/>
    <w:rsid w:val="00B7610B"/>
    <w:rsid w:val="00B76231"/>
    <w:rsid w:val="00B763AF"/>
    <w:rsid w:val="00B7653F"/>
    <w:rsid w:val="00B77A1D"/>
    <w:rsid w:val="00B80156"/>
    <w:rsid w:val="00B80DB7"/>
    <w:rsid w:val="00B8403D"/>
    <w:rsid w:val="00B9210F"/>
    <w:rsid w:val="00B93648"/>
    <w:rsid w:val="00B96EA0"/>
    <w:rsid w:val="00BA6FF8"/>
    <w:rsid w:val="00BB067E"/>
    <w:rsid w:val="00BB24CD"/>
    <w:rsid w:val="00BB4DC4"/>
    <w:rsid w:val="00BB6BBD"/>
    <w:rsid w:val="00BC1584"/>
    <w:rsid w:val="00BC1EE5"/>
    <w:rsid w:val="00BC75D6"/>
    <w:rsid w:val="00BD09E8"/>
    <w:rsid w:val="00BD13A3"/>
    <w:rsid w:val="00BD1FF4"/>
    <w:rsid w:val="00BD51D2"/>
    <w:rsid w:val="00BE089D"/>
    <w:rsid w:val="00BE1675"/>
    <w:rsid w:val="00BE35FF"/>
    <w:rsid w:val="00BE50DE"/>
    <w:rsid w:val="00BE5623"/>
    <w:rsid w:val="00BE7DC5"/>
    <w:rsid w:val="00BF69E1"/>
    <w:rsid w:val="00C00A26"/>
    <w:rsid w:val="00C00F66"/>
    <w:rsid w:val="00C025C1"/>
    <w:rsid w:val="00C031C3"/>
    <w:rsid w:val="00C03CF8"/>
    <w:rsid w:val="00C04D5B"/>
    <w:rsid w:val="00C06767"/>
    <w:rsid w:val="00C07454"/>
    <w:rsid w:val="00C138A7"/>
    <w:rsid w:val="00C247F1"/>
    <w:rsid w:val="00C32AC7"/>
    <w:rsid w:val="00C338D5"/>
    <w:rsid w:val="00C33EA8"/>
    <w:rsid w:val="00C34271"/>
    <w:rsid w:val="00C365A3"/>
    <w:rsid w:val="00C3729C"/>
    <w:rsid w:val="00C37376"/>
    <w:rsid w:val="00C40939"/>
    <w:rsid w:val="00C4640F"/>
    <w:rsid w:val="00C5420C"/>
    <w:rsid w:val="00C5475E"/>
    <w:rsid w:val="00C55DEB"/>
    <w:rsid w:val="00C61056"/>
    <w:rsid w:val="00C61EF9"/>
    <w:rsid w:val="00C64AE5"/>
    <w:rsid w:val="00C64D9B"/>
    <w:rsid w:val="00C656C1"/>
    <w:rsid w:val="00C665DA"/>
    <w:rsid w:val="00C72D64"/>
    <w:rsid w:val="00C861EB"/>
    <w:rsid w:val="00C877C4"/>
    <w:rsid w:val="00C91B4B"/>
    <w:rsid w:val="00C92128"/>
    <w:rsid w:val="00C93539"/>
    <w:rsid w:val="00C945BD"/>
    <w:rsid w:val="00C952FA"/>
    <w:rsid w:val="00C968B3"/>
    <w:rsid w:val="00C977E6"/>
    <w:rsid w:val="00CA0E58"/>
    <w:rsid w:val="00CA74AF"/>
    <w:rsid w:val="00CB1452"/>
    <w:rsid w:val="00CB23C8"/>
    <w:rsid w:val="00CB2707"/>
    <w:rsid w:val="00CC2CBF"/>
    <w:rsid w:val="00CC48C6"/>
    <w:rsid w:val="00CC5D88"/>
    <w:rsid w:val="00CD179C"/>
    <w:rsid w:val="00CD35A7"/>
    <w:rsid w:val="00CD453A"/>
    <w:rsid w:val="00CE1487"/>
    <w:rsid w:val="00CF19C5"/>
    <w:rsid w:val="00CF1F0C"/>
    <w:rsid w:val="00CF4673"/>
    <w:rsid w:val="00CF4F17"/>
    <w:rsid w:val="00CF51D9"/>
    <w:rsid w:val="00CF538D"/>
    <w:rsid w:val="00CF5C3F"/>
    <w:rsid w:val="00CF72F9"/>
    <w:rsid w:val="00CF7816"/>
    <w:rsid w:val="00D024CB"/>
    <w:rsid w:val="00D0423F"/>
    <w:rsid w:val="00D121B3"/>
    <w:rsid w:val="00D160DC"/>
    <w:rsid w:val="00D20EFD"/>
    <w:rsid w:val="00D22865"/>
    <w:rsid w:val="00D23998"/>
    <w:rsid w:val="00D247D0"/>
    <w:rsid w:val="00D31378"/>
    <w:rsid w:val="00D356BA"/>
    <w:rsid w:val="00D407DD"/>
    <w:rsid w:val="00D4274A"/>
    <w:rsid w:val="00D45BC7"/>
    <w:rsid w:val="00D51353"/>
    <w:rsid w:val="00D531ED"/>
    <w:rsid w:val="00D53E08"/>
    <w:rsid w:val="00D55DFA"/>
    <w:rsid w:val="00D56727"/>
    <w:rsid w:val="00D60753"/>
    <w:rsid w:val="00D625C6"/>
    <w:rsid w:val="00D6278F"/>
    <w:rsid w:val="00D66745"/>
    <w:rsid w:val="00D738F7"/>
    <w:rsid w:val="00D77BF2"/>
    <w:rsid w:val="00D80015"/>
    <w:rsid w:val="00D8078E"/>
    <w:rsid w:val="00D815C2"/>
    <w:rsid w:val="00D85F02"/>
    <w:rsid w:val="00D87C55"/>
    <w:rsid w:val="00D930C6"/>
    <w:rsid w:val="00D9594A"/>
    <w:rsid w:val="00D95E1E"/>
    <w:rsid w:val="00D97057"/>
    <w:rsid w:val="00DA1955"/>
    <w:rsid w:val="00DA49A0"/>
    <w:rsid w:val="00DB4ADE"/>
    <w:rsid w:val="00DB6205"/>
    <w:rsid w:val="00DB76AA"/>
    <w:rsid w:val="00DB7822"/>
    <w:rsid w:val="00DB7C12"/>
    <w:rsid w:val="00DB7CF6"/>
    <w:rsid w:val="00DC0142"/>
    <w:rsid w:val="00DC15E6"/>
    <w:rsid w:val="00DC1F9E"/>
    <w:rsid w:val="00DC4F42"/>
    <w:rsid w:val="00DC70C7"/>
    <w:rsid w:val="00DD351A"/>
    <w:rsid w:val="00DD796E"/>
    <w:rsid w:val="00DE187E"/>
    <w:rsid w:val="00DE5D0A"/>
    <w:rsid w:val="00DE5E24"/>
    <w:rsid w:val="00DF1B59"/>
    <w:rsid w:val="00DF5E5C"/>
    <w:rsid w:val="00DF627C"/>
    <w:rsid w:val="00E11F8E"/>
    <w:rsid w:val="00E12EBD"/>
    <w:rsid w:val="00E14588"/>
    <w:rsid w:val="00E17894"/>
    <w:rsid w:val="00E21AE4"/>
    <w:rsid w:val="00E27386"/>
    <w:rsid w:val="00E33841"/>
    <w:rsid w:val="00E34288"/>
    <w:rsid w:val="00E356DD"/>
    <w:rsid w:val="00E362E5"/>
    <w:rsid w:val="00E369BD"/>
    <w:rsid w:val="00E4096A"/>
    <w:rsid w:val="00E47B22"/>
    <w:rsid w:val="00E50724"/>
    <w:rsid w:val="00E53229"/>
    <w:rsid w:val="00E56CE1"/>
    <w:rsid w:val="00E620A5"/>
    <w:rsid w:val="00E65821"/>
    <w:rsid w:val="00E65DBB"/>
    <w:rsid w:val="00E677D9"/>
    <w:rsid w:val="00E704F5"/>
    <w:rsid w:val="00E735AD"/>
    <w:rsid w:val="00E744B7"/>
    <w:rsid w:val="00E74619"/>
    <w:rsid w:val="00E74B9A"/>
    <w:rsid w:val="00E74ECA"/>
    <w:rsid w:val="00E76FD8"/>
    <w:rsid w:val="00E80A36"/>
    <w:rsid w:val="00E84659"/>
    <w:rsid w:val="00E872B1"/>
    <w:rsid w:val="00E87392"/>
    <w:rsid w:val="00E87B88"/>
    <w:rsid w:val="00E900AD"/>
    <w:rsid w:val="00E90279"/>
    <w:rsid w:val="00E9499B"/>
    <w:rsid w:val="00EA0440"/>
    <w:rsid w:val="00EA049F"/>
    <w:rsid w:val="00EA10A5"/>
    <w:rsid w:val="00EA1368"/>
    <w:rsid w:val="00EA1667"/>
    <w:rsid w:val="00EA6636"/>
    <w:rsid w:val="00EB0997"/>
    <w:rsid w:val="00EB3942"/>
    <w:rsid w:val="00EB433B"/>
    <w:rsid w:val="00EB6704"/>
    <w:rsid w:val="00EB67F3"/>
    <w:rsid w:val="00EB6F11"/>
    <w:rsid w:val="00EC0432"/>
    <w:rsid w:val="00EC07D7"/>
    <w:rsid w:val="00EC1A36"/>
    <w:rsid w:val="00EC332E"/>
    <w:rsid w:val="00EC55E8"/>
    <w:rsid w:val="00ED0360"/>
    <w:rsid w:val="00ED1DAD"/>
    <w:rsid w:val="00ED405D"/>
    <w:rsid w:val="00EE1A99"/>
    <w:rsid w:val="00EE3A03"/>
    <w:rsid w:val="00EE54D7"/>
    <w:rsid w:val="00EE595B"/>
    <w:rsid w:val="00EF0C2F"/>
    <w:rsid w:val="00EF1AE7"/>
    <w:rsid w:val="00EF5847"/>
    <w:rsid w:val="00EF5B8D"/>
    <w:rsid w:val="00EF7764"/>
    <w:rsid w:val="00F02FD5"/>
    <w:rsid w:val="00F114D5"/>
    <w:rsid w:val="00F12B9F"/>
    <w:rsid w:val="00F13C18"/>
    <w:rsid w:val="00F13C4D"/>
    <w:rsid w:val="00F20740"/>
    <w:rsid w:val="00F23E2E"/>
    <w:rsid w:val="00F35B40"/>
    <w:rsid w:val="00F36795"/>
    <w:rsid w:val="00F406EB"/>
    <w:rsid w:val="00F40ABF"/>
    <w:rsid w:val="00F40B52"/>
    <w:rsid w:val="00F41972"/>
    <w:rsid w:val="00F43A39"/>
    <w:rsid w:val="00F667B8"/>
    <w:rsid w:val="00F67195"/>
    <w:rsid w:val="00F711D3"/>
    <w:rsid w:val="00F7573C"/>
    <w:rsid w:val="00F766D4"/>
    <w:rsid w:val="00F77032"/>
    <w:rsid w:val="00F81A50"/>
    <w:rsid w:val="00F821F5"/>
    <w:rsid w:val="00F97A3D"/>
    <w:rsid w:val="00FA1C4A"/>
    <w:rsid w:val="00FA5924"/>
    <w:rsid w:val="00FA64EF"/>
    <w:rsid w:val="00FA7C08"/>
    <w:rsid w:val="00FB0681"/>
    <w:rsid w:val="00FB39D3"/>
    <w:rsid w:val="00FB54CB"/>
    <w:rsid w:val="00FB6AC3"/>
    <w:rsid w:val="00FC0226"/>
    <w:rsid w:val="00FC0F8B"/>
    <w:rsid w:val="00FC5C3E"/>
    <w:rsid w:val="00FC654F"/>
    <w:rsid w:val="00FC659C"/>
    <w:rsid w:val="00FD74DC"/>
    <w:rsid w:val="00FD7C58"/>
    <w:rsid w:val="00FE2DB1"/>
    <w:rsid w:val="00FE321F"/>
    <w:rsid w:val="00FE4587"/>
    <w:rsid w:val="00FE561E"/>
    <w:rsid w:val="02CF2D8F"/>
    <w:rsid w:val="03B539C5"/>
    <w:rsid w:val="04FB7FE9"/>
    <w:rsid w:val="05BF1B2B"/>
    <w:rsid w:val="06AD448B"/>
    <w:rsid w:val="06C25458"/>
    <w:rsid w:val="0AB017A9"/>
    <w:rsid w:val="0B9E3FBC"/>
    <w:rsid w:val="0C0C621A"/>
    <w:rsid w:val="0CC950CC"/>
    <w:rsid w:val="0E923AC2"/>
    <w:rsid w:val="0E9A2138"/>
    <w:rsid w:val="0F750594"/>
    <w:rsid w:val="14472B3A"/>
    <w:rsid w:val="151804D4"/>
    <w:rsid w:val="1600573C"/>
    <w:rsid w:val="167E76E1"/>
    <w:rsid w:val="182E1D7F"/>
    <w:rsid w:val="1860021F"/>
    <w:rsid w:val="1B773ED1"/>
    <w:rsid w:val="1EEA3231"/>
    <w:rsid w:val="213101F6"/>
    <w:rsid w:val="2140174D"/>
    <w:rsid w:val="235F05D0"/>
    <w:rsid w:val="23964721"/>
    <w:rsid w:val="242A1456"/>
    <w:rsid w:val="24BE71A4"/>
    <w:rsid w:val="29554D38"/>
    <w:rsid w:val="29AE7855"/>
    <w:rsid w:val="2A141D84"/>
    <w:rsid w:val="2AF302E8"/>
    <w:rsid w:val="2B851B86"/>
    <w:rsid w:val="2BCD41A1"/>
    <w:rsid w:val="2D0A7400"/>
    <w:rsid w:val="2D580C52"/>
    <w:rsid w:val="2DEE227E"/>
    <w:rsid w:val="2E331AAC"/>
    <w:rsid w:val="2E6E752D"/>
    <w:rsid w:val="2EA74B9A"/>
    <w:rsid w:val="308D09BE"/>
    <w:rsid w:val="30CC012A"/>
    <w:rsid w:val="31A27479"/>
    <w:rsid w:val="32384D7D"/>
    <w:rsid w:val="32D30251"/>
    <w:rsid w:val="330643A9"/>
    <w:rsid w:val="34A73B6D"/>
    <w:rsid w:val="37EF0D64"/>
    <w:rsid w:val="3846666A"/>
    <w:rsid w:val="38C47207"/>
    <w:rsid w:val="38DA2EA8"/>
    <w:rsid w:val="396E683C"/>
    <w:rsid w:val="3A0F581D"/>
    <w:rsid w:val="3B3D4CC5"/>
    <w:rsid w:val="3B7F1665"/>
    <w:rsid w:val="3C805D03"/>
    <w:rsid w:val="3D207217"/>
    <w:rsid w:val="3F8E7386"/>
    <w:rsid w:val="410645E3"/>
    <w:rsid w:val="45957367"/>
    <w:rsid w:val="4735646E"/>
    <w:rsid w:val="48AA2FAA"/>
    <w:rsid w:val="48E53993"/>
    <w:rsid w:val="49567A7D"/>
    <w:rsid w:val="49AB6A20"/>
    <w:rsid w:val="4B955BCD"/>
    <w:rsid w:val="4F3F135B"/>
    <w:rsid w:val="4FE81756"/>
    <w:rsid w:val="4FED0751"/>
    <w:rsid w:val="509C6DD9"/>
    <w:rsid w:val="50AF5B05"/>
    <w:rsid w:val="51036A4B"/>
    <w:rsid w:val="519B4E73"/>
    <w:rsid w:val="54B82EF6"/>
    <w:rsid w:val="581A2181"/>
    <w:rsid w:val="5823286B"/>
    <w:rsid w:val="587F4B77"/>
    <w:rsid w:val="59122C5B"/>
    <w:rsid w:val="5E8045FD"/>
    <w:rsid w:val="5FFF70F1"/>
    <w:rsid w:val="637822FC"/>
    <w:rsid w:val="64BF6BBD"/>
    <w:rsid w:val="656F0C3D"/>
    <w:rsid w:val="677567BE"/>
    <w:rsid w:val="6990679C"/>
    <w:rsid w:val="69A448DA"/>
    <w:rsid w:val="6A774DC7"/>
    <w:rsid w:val="6CC55B88"/>
    <w:rsid w:val="6D341577"/>
    <w:rsid w:val="6EF2686A"/>
    <w:rsid w:val="6F634314"/>
    <w:rsid w:val="76310578"/>
    <w:rsid w:val="77476CDF"/>
    <w:rsid w:val="785F14D0"/>
    <w:rsid w:val="7A763987"/>
    <w:rsid w:val="7C27698F"/>
    <w:rsid w:val="7CD52E6D"/>
    <w:rsid w:val="7DA07468"/>
    <w:rsid w:val="7DD8634B"/>
    <w:rsid w:val="7E310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qFormat="1" w:uiPriority="39" w:semiHidden="0"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keepLines/>
      <w:numPr>
        <w:ilvl w:val="0"/>
        <w:numId w:val="1"/>
      </w:numPr>
      <w:tabs>
        <w:tab w:val="left" w:pos="567"/>
      </w:tabs>
      <w:spacing w:before="120" w:after="120" w:line="360" w:lineRule="auto"/>
      <w:jc w:val="center"/>
      <w:outlineLvl w:val="0"/>
    </w:pPr>
    <w:rPr>
      <w:rFonts w:eastAsia="黑体"/>
      <w:b/>
      <w:sz w:val="44"/>
    </w:rPr>
  </w:style>
  <w:style w:type="paragraph" w:styleId="3">
    <w:name w:val="heading 2"/>
    <w:basedOn w:val="1"/>
    <w:next w:val="1"/>
    <w:link w:val="33"/>
    <w:qFormat/>
    <w:uiPriority w:val="0"/>
    <w:pPr>
      <w:keepNext/>
      <w:keepLines/>
      <w:numPr>
        <w:ilvl w:val="1"/>
        <w:numId w:val="1"/>
      </w:numPr>
      <w:tabs>
        <w:tab w:val="left" w:pos="3970"/>
      </w:tabs>
      <w:spacing w:before="120" w:after="120" w:line="360" w:lineRule="auto"/>
      <w:outlineLvl w:val="1"/>
    </w:pPr>
    <w:rPr>
      <w:rFonts w:eastAsia="黑体"/>
      <w:b/>
      <w:color w:val="000000"/>
      <w:sz w:val="32"/>
    </w:rPr>
  </w:style>
  <w:style w:type="paragraph" w:styleId="4">
    <w:name w:val="heading 3"/>
    <w:basedOn w:val="1"/>
    <w:next w:val="1"/>
    <w:link w:val="34"/>
    <w:qFormat/>
    <w:uiPriority w:val="0"/>
    <w:pPr>
      <w:keepNext/>
      <w:keepLines/>
      <w:numPr>
        <w:ilvl w:val="2"/>
        <w:numId w:val="1"/>
      </w:numPr>
      <w:tabs>
        <w:tab w:val="left" w:pos="766"/>
        <w:tab w:val="left" w:pos="3970"/>
      </w:tabs>
      <w:spacing w:before="60" w:after="60" w:line="360" w:lineRule="auto"/>
      <w:outlineLvl w:val="2"/>
    </w:pPr>
    <w:rPr>
      <w:rFonts w:eastAsia="仿宋_GB2312"/>
      <w:b/>
      <w:sz w:val="28"/>
    </w:rPr>
  </w:style>
  <w:style w:type="paragraph" w:styleId="5">
    <w:name w:val="heading 4"/>
    <w:basedOn w:val="1"/>
    <w:next w:val="1"/>
    <w:link w:val="35"/>
    <w:unhideWhenUsed/>
    <w:qFormat/>
    <w:uiPriority w:val="9"/>
    <w:pPr>
      <w:keepNext/>
      <w:keepLines/>
      <w:spacing w:line="360" w:lineRule="auto"/>
      <w:ind w:firstLine="200" w:firstLineChars="200"/>
      <w:outlineLvl w:val="3"/>
    </w:pPr>
    <w:rPr>
      <w:rFonts w:eastAsia="仿宋_GB2312" w:cstheme="majorBidi"/>
      <w:b/>
      <w:bCs/>
      <w:sz w:val="28"/>
      <w:szCs w:val="28"/>
    </w:rPr>
  </w:style>
  <w:style w:type="paragraph" w:styleId="6">
    <w:name w:val="heading 5"/>
    <w:basedOn w:val="1"/>
    <w:next w:val="1"/>
    <w:link w:val="36"/>
    <w:unhideWhenUsed/>
    <w:qFormat/>
    <w:uiPriority w:val="9"/>
    <w:pPr>
      <w:keepNext/>
      <w:keepLines/>
      <w:spacing w:line="360" w:lineRule="auto"/>
      <w:ind w:firstLine="200" w:firstLineChars="200"/>
      <w:outlineLvl w:val="4"/>
    </w:pPr>
    <w:rPr>
      <w:rFonts w:eastAsia="仿宋_GB2312"/>
      <w:b/>
      <w:bCs/>
      <w:sz w:val="28"/>
      <w:szCs w:val="28"/>
    </w:rPr>
  </w:style>
  <w:style w:type="paragraph" w:styleId="7">
    <w:name w:val="heading 6"/>
    <w:basedOn w:val="1"/>
    <w:next w:val="1"/>
    <w:semiHidden/>
    <w:unhideWhenUsed/>
    <w:qFormat/>
    <w:uiPriority w:val="9"/>
    <w:pPr>
      <w:keepNext/>
      <w:keepLines/>
      <w:spacing w:before="240" w:after="64" w:line="317" w:lineRule="auto"/>
      <w:outlineLvl w:val="5"/>
    </w:pPr>
    <w:rPr>
      <w:rFonts w:ascii="Arial" w:hAnsi="Arial" w:eastAsia="黑体"/>
      <w:b/>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caption"/>
    <w:basedOn w:val="9"/>
    <w:next w:val="10"/>
    <w:link w:val="49"/>
    <w:unhideWhenUsed/>
    <w:qFormat/>
    <w:uiPriority w:val="35"/>
    <w:pPr>
      <w:spacing w:after="50" w:afterLines="50" w:line="360" w:lineRule="auto"/>
      <w:ind w:firstLine="0"/>
    </w:pPr>
    <w:rPr>
      <w:rFonts w:eastAsia="仿宋_GB2312"/>
      <w:bCs/>
      <w:szCs w:val="24"/>
    </w:rPr>
  </w:style>
  <w:style w:type="paragraph" w:customStyle="1" w:styleId="9">
    <w:name w:val="p0"/>
    <w:basedOn w:val="1"/>
    <w:qFormat/>
    <w:uiPriority w:val="0"/>
    <w:pPr>
      <w:spacing w:line="560" w:lineRule="exact"/>
      <w:ind w:firstLine="482"/>
      <w:jc w:val="center"/>
    </w:pPr>
    <w:rPr>
      <w:b/>
      <w:szCs w:val="21"/>
    </w:rPr>
  </w:style>
  <w:style w:type="paragraph" w:customStyle="1" w:styleId="10">
    <w:name w:val="正文缩2"/>
    <w:basedOn w:val="1"/>
    <w:link w:val="32"/>
    <w:qFormat/>
    <w:uiPriority w:val="0"/>
    <w:pPr>
      <w:spacing w:line="360" w:lineRule="auto"/>
      <w:ind w:firstLine="200" w:firstLineChars="200"/>
    </w:pPr>
    <w:rPr>
      <w:rFonts w:eastAsia="仿宋_GB2312"/>
      <w:kern w:val="0"/>
      <w:sz w:val="28"/>
      <w:szCs w:val="24"/>
    </w:rPr>
  </w:style>
  <w:style w:type="paragraph" w:styleId="11">
    <w:name w:val="annotation text"/>
    <w:basedOn w:val="1"/>
    <w:link w:val="44"/>
    <w:semiHidden/>
    <w:unhideWhenUsed/>
    <w:qFormat/>
    <w:uiPriority w:val="99"/>
    <w:pPr>
      <w:jc w:val="left"/>
    </w:pPr>
  </w:style>
  <w:style w:type="paragraph" w:styleId="12">
    <w:name w:val="Body Text"/>
    <w:basedOn w:val="1"/>
    <w:link w:val="51"/>
    <w:qFormat/>
    <w:uiPriority w:val="99"/>
    <w:pPr>
      <w:spacing w:line="360" w:lineRule="auto"/>
      <w:ind w:firstLine="640" w:firstLineChars="200"/>
    </w:pPr>
    <w:rPr>
      <w:sz w:val="28"/>
      <w:szCs w:val="24"/>
    </w:rPr>
  </w:style>
  <w:style w:type="paragraph" w:styleId="13">
    <w:name w:val="toc 3"/>
    <w:basedOn w:val="1"/>
    <w:next w:val="1"/>
    <w:unhideWhenUsed/>
    <w:qFormat/>
    <w:uiPriority w:val="39"/>
    <w:pPr>
      <w:ind w:left="840" w:leftChars="400"/>
    </w:pPr>
    <w:rPr>
      <w:rFonts w:eastAsia="仿宋_GB2312"/>
    </w:rPr>
  </w:style>
  <w:style w:type="paragraph" w:styleId="14">
    <w:name w:val="toc 8"/>
    <w:basedOn w:val="1"/>
    <w:next w:val="1"/>
    <w:unhideWhenUsed/>
    <w:qFormat/>
    <w:uiPriority w:val="39"/>
    <w:pPr>
      <w:ind w:left="2940" w:leftChars="1400"/>
    </w:pPr>
  </w:style>
  <w:style w:type="paragraph" w:styleId="15">
    <w:name w:val="Date"/>
    <w:basedOn w:val="1"/>
    <w:next w:val="1"/>
    <w:link w:val="41"/>
    <w:semiHidden/>
    <w:unhideWhenUsed/>
    <w:qFormat/>
    <w:uiPriority w:val="99"/>
    <w:pPr>
      <w:ind w:left="100" w:leftChars="2500"/>
    </w:pPr>
  </w:style>
  <w:style w:type="paragraph" w:styleId="16">
    <w:name w:val="Balloon Text"/>
    <w:basedOn w:val="1"/>
    <w:link w:val="46"/>
    <w:semiHidden/>
    <w:unhideWhenUsed/>
    <w:qFormat/>
    <w:uiPriority w:val="99"/>
    <w:rPr>
      <w:sz w:val="18"/>
      <w:szCs w:val="18"/>
    </w:rPr>
  </w:style>
  <w:style w:type="paragraph" w:styleId="17">
    <w:name w:val="footer"/>
    <w:basedOn w:val="1"/>
    <w:link w:val="40"/>
    <w:unhideWhenUsed/>
    <w:qFormat/>
    <w:uiPriority w:val="99"/>
    <w:pPr>
      <w:tabs>
        <w:tab w:val="center" w:pos="4153"/>
        <w:tab w:val="right" w:pos="8306"/>
      </w:tabs>
      <w:snapToGrid w:val="0"/>
      <w:jc w:val="left"/>
    </w:pPr>
    <w:rPr>
      <w:sz w:val="18"/>
      <w:szCs w:val="18"/>
    </w:rPr>
  </w:style>
  <w:style w:type="paragraph" w:styleId="18">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仿宋_GB2312"/>
      <w:b/>
      <w:sz w:val="24"/>
    </w:rPr>
  </w:style>
  <w:style w:type="paragraph" w:styleId="20">
    <w:name w:val="toc 4"/>
    <w:basedOn w:val="1"/>
    <w:next w:val="1"/>
    <w:unhideWhenUsed/>
    <w:qFormat/>
    <w:uiPriority w:val="39"/>
    <w:pPr>
      <w:ind w:left="1260" w:leftChars="600"/>
    </w:pPr>
  </w:style>
  <w:style w:type="paragraph" w:styleId="21">
    <w:name w:val="toc 2"/>
    <w:basedOn w:val="1"/>
    <w:next w:val="1"/>
    <w:unhideWhenUsed/>
    <w:qFormat/>
    <w:uiPriority w:val="39"/>
    <w:pPr>
      <w:tabs>
        <w:tab w:val="left" w:pos="1260"/>
        <w:tab w:val="right" w:leader="dot" w:pos="8296"/>
      </w:tabs>
      <w:spacing w:line="360" w:lineRule="auto"/>
      <w:ind w:left="420" w:leftChars="200"/>
    </w:pPr>
    <w:rPr>
      <w:rFonts w:eastAsia="仿宋_GB2312"/>
      <w:sz w:val="24"/>
    </w:rPr>
  </w:style>
  <w:style w:type="paragraph" w:styleId="22">
    <w:name w:val="Normal (Web)"/>
    <w:basedOn w:val="1"/>
    <w:qFormat/>
    <w:uiPriority w:val="0"/>
    <w:pPr>
      <w:spacing w:before="100" w:beforeAutospacing="1" w:after="100" w:afterAutospacing="1"/>
      <w:jc w:val="left"/>
    </w:pPr>
    <w:rPr>
      <w:kern w:val="0"/>
      <w:sz w:val="24"/>
    </w:rPr>
  </w:style>
  <w:style w:type="paragraph" w:styleId="23">
    <w:name w:val="annotation subject"/>
    <w:basedOn w:val="11"/>
    <w:next w:val="11"/>
    <w:link w:val="47"/>
    <w:semiHidden/>
    <w:unhideWhenUsed/>
    <w:qFormat/>
    <w:uiPriority w:val="99"/>
    <w:rPr>
      <w:b/>
      <w:bCs/>
    </w:rPr>
  </w:style>
  <w:style w:type="paragraph" w:styleId="24">
    <w:name w:val="Body Text First Indent"/>
    <w:basedOn w:val="12"/>
    <w:link w:val="53"/>
    <w:semiHidden/>
    <w:unhideWhenUsed/>
    <w:qFormat/>
    <w:uiPriority w:val="99"/>
    <w:pPr>
      <w:spacing w:after="120" w:line="240" w:lineRule="auto"/>
      <w:ind w:firstLine="420" w:firstLineChars="100"/>
    </w:pPr>
    <w:rPr>
      <w:sz w:val="21"/>
      <w:szCs w:val="20"/>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rFonts w:ascii="Times New Roman" w:hAnsi="Times New Roman" w:eastAsia="黑体"/>
      <w:b/>
      <w:bCs/>
      <w:sz w:val="28"/>
    </w:rPr>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styleId="30">
    <w:name w:val="annotation reference"/>
    <w:semiHidden/>
    <w:unhideWhenUsed/>
    <w:qFormat/>
    <w:uiPriority w:val="99"/>
    <w:rPr>
      <w:sz w:val="21"/>
      <w:szCs w:val="21"/>
    </w:rPr>
  </w:style>
  <w:style w:type="character" w:customStyle="1" w:styleId="31">
    <w:name w:val="标题 1 Char"/>
    <w:basedOn w:val="27"/>
    <w:link w:val="2"/>
    <w:qFormat/>
    <w:uiPriority w:val="0"/>
    <w:rPr>
      <w:rFonts w:ascii="Times New Roman" w:hAnsi="Times New Roman" w:eastAsia="黑体" w:cs="Times New Roman"/>
      <w:b/>
      <w:sz w:val="44"/>
      <w:szCs w:val="20"/>
    </w:rPr>
  </w:style>
  <w:style w:type="character" w:customStyle="1" w:styleId="32">
    <w:name w:val="正文缩2 Char"/>
    <w:link w:val="10"/>
    <w:qFormat/>
    <w:uiPriority w:val="0"/>
    <w:rPr>
      <w:rFonts w:ascii="Times New Roman" w:hAnsi="Times New Roman" w:eastAsia="仿宋_GB2312" w:cs="Times New Roman"/>
      <w:kern w:val="0"/>
      <w:sz w:val="28"/>
      <w:szCs w:val="24"/>
    </w:rPr>
  </w:style>
  <w:style w:type="character" w:customStyle="1" w:styleId="33">
    <w:name w:val="标题 2 Char"/>
    <w:basedOn w:val="27"/>
    <w:link w:val="3"/>
    <w:qFormat/>
    <w:uiPriority w:val="0"/>
    <w:rPr>
      <w:rFonts w:ascii="Times New Roman" w:hAnsi="Times New Roman" w:eastAsia="黑体" w:cs="Times New Roman"/>
      <w:b/>
      <w:color w:val="000000"/>
      <w:sz w:val="32"/>
      <w:szCs w:val="20"/>
    </w:rPr>
  </w:style>
  <w:style w:type="character" w:customStyle="1" w:styleId="34">
    <w:name w:val="标题 3 Char"/>
    <w:basedOn w:val="27"/>
    <w:link w:val="4"/>
    <w:qFormat/>
    <w:uiPriority w:val="0"/>
    <w:rPr>
      <w:rFonts w:ascii="Times New Roman" w:hAnsi="Times New Roman" w:eastAsia="仿宋_GB2312" w:cs="Times New Roman"/>
      <w:b/>
      <w:sz w:val="28"/>
      <w:szCs w:val="20"/>
    </w:rPr>
  </w:style>
  <w:style w:type="character" w:customStyle="1" w:styleId="35">
    <w:name w:val="标题 4 Char"/>
    <w:basedOn w:val="27"/>
    <w:link w:val="5"/>
    <w:qFormat/>
    <w:uiPriority w:val="9"/>
    <w:rPr>
      <w:rFonts w:ascii="Times New Roman" w:hAnsi="Times New Roman" w:eastAsia="仿宋_GB2312" w:cstheme="majorBidi"/>
      <w:b/>
      <w:bCs/>
      <w:sz w:val="28"/>
      <w:szCs w:val="28"/>
    </w:rPr>
  </w:style>
  <w:style w:type="character" w:customStyle="1" w:styleId="36">
    <w:name w:val="标题 5 Char"/>
    <w:basedOn w:val="27"/>
    <w:link w:val="6"/>
    <w:qFormat/>
    <w:uiPriority w:val="9"/>
    <w:rPr>
      <w:rFonts w:ascii="Times New Roman" w:hAnsi="Times New Roman" w:eastAsia="仿宋_GB2312" w:cs="Times New Roman"/>
      <w:b/>
      <w:bCs/>
      <w:sz w:val="28"/>
      <w:szCs w:val="28"/>
    </w:rPr>
  </w:style>
  <w:style w:type="paragraph" w:customStyle="1" w:styleId="37">
    <w:name w:val="表格"/>
    <w:basedOn w:val="1"/>
    <w:link w:val="38"/>
    <w:qFormat/>
    <w:uiPriority w:val="0"/>
    <w:pPr>
      <w:widowControl/>
      <w:snapToGrid w:val="0"/>
      <w:jc w:val="center"/>
    </w:pPr>
    <w:rPr>
      <w:rFonts w:eastAsia="仿宋_GB2312" w:cs="宋体"/>
      <w:bCs/>
      <w:color w:val="000000"/>
      <w:kern w:val="0"/>
      <w:szCs w:val="21"/>
    </w:rPr>
  </w:style>
  <w:style w:type="character" w:customStyle="1" w:styleId="38">
    <w:name w:val="表格 Char"/>
    <w:basedOn w:val="27"/>
    <w:link w:val="37"/>
    <w:qFormat/>
    <w:uiPriority w:val="0"/>
    <w:rPr>
      <w:rFonts w:ascii="Times New Roman" w:hAnsi="Times New Roman" w:eastAsia="仿宋_GB2312" w:cs="宋体"/>
      <w:bCs/>
      <w:color w:val="000000"/>
      <w:kern w:val="0"/>
      <w:szCs w:val="21"/>
    </w:rPr>
  </w:style>
  <w:style w:type="character" w:customStyle="1" w:styleId="39">
    <w:name w:val="页眉 Char"/>
    <w:basedOn w:val="27"/>
    <w:link w:val="18"/>
    <w:qFormat/>
    <w:uiPriority w:val="99"/>
    <w:rPr>
      <w:kern w:val="2"/>
      <w:sz w:val="18"/>
      <w:szCs w:val="18"/>
    </w:rPr>
  </w:style>
  <w:style w:type="character" w:customStyle="1" w:styleId="40">
    <w:name w:val="页脚 Char"/>
    <w:basedOn w:val="27"/>
    <w:link w:val="17"/>
    <w:qFormat/>
    <w:uiPriority w:val="99"/>
    <w:rPr>
      <w:kern w:val="2"/>
      <w:sz w:val="18"/>
      <w:szCs w:val="18"/>
    </w:rPr>
  </w:style>
  <w:style w:type="character" w:customStyle="1" w:styleId="41">
    <w:name w:val="日期 Char"/>
    <w:basedOn w:val="27"/>
    <w:link w:val="15"/>
    <w:semiHidden/>
    <w:qFormat/>
    <w:uiPriority w:val="99"/>
    <w:rPr>
      <w:rFonts w:ascii="Times New Roman" w:hAnsi="Times New Roman" w:eastAsia="宋体" w:cs="Times New Roman"/>
      <w:szCs w:val="20"/>
    </w:rPr>
  </w:style>
  <w:style w:type="paragraph" w:customStyle="1" w:styleId="42">
    <w:name w:val="大纲要求"/>
    <w:basedOn w:val="1"/>
    <w:next w:val="1"/>
    <w:link w:val="43"/>
    <w:qFormat/>
    <w:uiPriority w:val="0"/>
    <w:pPr>
      <w:jc w:val="left"/>
    </w:pPr>
    <w:rPr>
      <w:sz w:val="24"/>
    </w:rPr>
  </w:style>
  <w:style w:type="character" w:customStyle="1" w:styleId="43">
    <w:name w:val="大纲要求 Char"/>
    <w:basedOn w:val="27"/>
    <w:link w:val="42"/>
    <w:qFormat/>
    <w:uiPriority w:val="0"/>
    <w:rPr>
      <w:rFonts w:ascii="Times New Roman" w:hAnsi="Times New Roman" w:eastAsia="宋体" w:cs="Times New Roman"/>
      <w:sz w:val="24"/>
      <w:szCs w:val="20"/>
    </w:rPr>
  </w:style>
  <w:style w:type="character" w:customStyle="1" w:styleId="44">
    <w:name w:val="批注文字 Char1"/>
    <w:link w:val="11"/>
    <w:semiHidden/>
    <w:qFormat/>
    <w:uiPriority w:val="99"/>
    <w:rPr>
      <w:rFonts w:ascii="Times New Roman" w:hAnsi="Times New Roman" w:eastAsia="宋体" w:cs="Times New Roman"/>
      <w:szCs w:val="20"/>
    </w:rPr>
  </w:style>
  <w:style w:type="character" w:customStyle="1" w:styleId="45">
    <w:name w:val="批注文字 Char"/>
    <w:basedOn w:val="27"/>
    <w:semiHidden/>
    <w:qFormat/>
    <w:uiPriority w:val="99"/>
    <w:rPr>
      <w:rFonts w:ascii="Times New Roman" w:hAnsi="Times New Roman" w:eastAsia="宋体" w:cs="Times New Roman"/>
      <w:szCs w:val="20"/>
    </w:rPr>
  </w:style>
  <w:style w:type="character" w:customStyle="1" w:styleId="46">
    <w:name w:val="批注框文本 Char"/>
    <w:basedOn w:val="27"/>
    <w:link w:val="16"/>
    <w:semiHidden/>
    <w:qFormat/>
    <w:uiPriority w:val="99"/>
    <w:rPr>
      <w:rFonts w:ascii="Times New Roman" w:hAnsi="Times New Roman" w:eastAsia="宋体" w:cs="Times New Roman"/>
      <w:sz w:val="18"/>
      <w:szCs w:val="18"/>
    </w:rPr>
  </w:style>
  <w:style w:type="character" w:customStyle="1" w:styleId="47">
    <w:name w:val="批注主题 Char"/>
    <w:basedOn w:val="44"/>
    <w:link w:val="23"/>
    <w:semiHidden/>
    <w:qFormat/>
    <w:uiPriority w:val="99"/>
    <w:rPr>
      <w:rFonts w:ascii="Times New Roman" w:hAnsi="Times New Roman" w:eastAsia="宋体" w:cs="Times New Roman"/>
      <w:b/>
      <w:bCs/>
      <w:szCs w:val="20"/>
    </w:rPr>
  </w:style>
  <w:style w:type="paragraph" w:customStyle="1" w:styleId="48">
    <w:name w:val="TOC 标题1"/>
    <w:basedOn w:val="2"/>
    <w:next w:val="1"/>
    <w:unhideWhenUsed/>
    <w:qFormat/>
    <w:uiPriority w:val="39"/>
    <w:pPr>
      <w:widowControl/>
      <w:numPr>
        <w:numId w:val="0"/>
      </w:numPr>
      <w:tabs>
        <w:tab w:val="clear" w:pos="567"/>
      </w:tabs>
      <w:spacing w:before="240" w:after="0" w:line="259" w:lineRule="auto"/>
      <w:jc w:val="left"/>
      <w:outlineLvl w:val="9"/>
    </w:pPr>
    <w:rPr>
      <w:rFonts w:asciiTheme="majorHAnsi" w:hAnsiTheme="majorHAnsi" w:eastAsiaTheme="majorEastAsia" w:cstheme="majorBidi"/>
      <w:color w:val="2E75B6" w:themeColor="accent1" w:themeShade="BF"/>
      <w:kern w:val="0"/>
      <w:sz w:val="32"/>
      <w:szCs w:val="32"/>
    </w:rPr>
  </w:style>
  <w:style w:type="character" w:customStyle="1" w:styleId="49">
    <w:name w:val="题注 Char"/>
    <w:link w:val="8"/>
    <w:qFormat/>
    <w:uiPriority w:val="35"/>
    <w:rPr>
      <w:rFonts w:ascii="Times New Roman" w:hAnsi="Times New Roman" w:eastAsia="仿宋_GB2312" w:cs="Times New Roman"/>
      <w:b/>
      <w:bCs/>
      <w:szCs w:val="24"/>
    </w:rPr>
  </w:style>
  <w:style w:type="paragraph" w:customStyle="1" w:styleId="50">
    <w:name w:val="Body Text1"/>
    <w:basedOn w:val="1"/>
    <w:qFormat/>
    <w:uiPriority w:val="0"/>
    <w:pPr>
      <w:spacing w:line="360" w:lineRule="auto"/>
      <w:ind w:firstLine="640" w:firstLineChars="200"/>
    </w:pPr>
    <w:rPr>
      <w:rFonts w:ascii="Calibri" w:hAnsi="Calibri"/>
      <w:sz w:val="22"/>
      <w:szCs w:val="24"/>
    </w:rPr>
  </w:style>
  <w:style w:type="character" w:customStyle="1" w:styleId="51">
    <w:name w:val="正文文本 Char"/>
    <w:basedOn w:val="27"/>
    <w:link w:val="12"/>
    <w:qFormat/>
    <w:uiPriority w:val="99"/>
    <w:rPr>
      <w:rFonts w:ascii="Times New Roman" w:hAnsi="Times New Roman" w:eastAsia="宋体" w:cs="Times New Roman"/>
      <w:sz w:val="28"/>
      <w:szCs w:val="24"/>
    </w:rPr>
  </w:style>
  <w:style w:type="paragraph" w:styleId="52">
    <w:name w:val="List Paragraph"/>
    <w:basedOn w:val="1"/>
    <w:qFormat/>
    <w:uiPriority w:val="34"/>
    <w:pPr>
      <w:ind w:firstLine="420" w:firstLineChars="200"/>
    </w:pPr>
  </w:style>
  <w:style w:type="character" w:customStyle="1" w:styleId="53">
    <w:name w:val="正文首行缩进 Char"/>
    <w:basedOn w:val="51"/>
    <w:link w:val="24"/>
    <w:semiHidden/>
    <w:qFormat/>
    <w:uiPriority w:val="99"/>
    <w:rPr>
      <w:rFonts w:ascii="Times New Roman" w:hAnsi="Times New Roman" w:eastAsia="宋体" w:cs="Times New Roman"/>
      <w:sz w:val="28"/>
      <w:szCs w:val="20"/>
    </w:rPr>
  </w:style>
  <w:style w:type="paragraph" w:customStyle="1" w:styleId="54">
    <w:name w:val="Default"/>
    <w:basedOn w:val="1"/>
    <w:qFormat/>
    <w:uiPriority w:val="0"/>
    <w:rPr>
      <w:kern w:val="0"/>
      <w:szCs w:val="21"/>
    </w:rPr>
  </w:style>
  <w:style w:type="paragraph" w:customStyle="1" w:styleId="55">
    <w:name w:val="表文"/>
    <w:basedOn w:val="1"/>
    <w:next w:val="1"/>
    <w:qFormat/>
    <w:uiPriority w:val="99"/>
    <w:pPr>
      <w:widowControl/>
      <w:adjustRightInd w:val="0"/>
      <w:snapToGrid w:val="0"/>
      <w:jc w:val="center"/>
    </w:pPr>
    <w:rPr>
      <w:rFonts w:ascii="仿宋_GB2312" w:hAnsi="仿宋_GB2312" w:eastAsia="仿宋_GB2312"/>
      <w:bCs/>
      <w:kern w:val="0"/>
      <w:sz w:val="30"/>
      <w:szCs w:val="24"/>
    </w:rPr>
  </w:style>
  <w:style w:type="paragraph" w:customStyle="1" w:styleId="56">
    <w:name w:val="报告正文"/>
    <w:basedOn w:val="1"/>
    <w:link w:val="57"/>
    <w:qFormat/>
    <w:uiPriority w:val="0"/>
    <w:pPr>
      <w:spacing w:line="360" w:lineRule="auto"/>
      <w:ind w:firstLine="200" w:firstLineChars="200"/>
    </w:pPr>
    <w:rPr>
      <w:rFonts w:eastAsia="仿宋_GB2312"/>
      <w:kern w:val="0"/>
      <w:sz w:val="28"/>
      <w:szCs w:val="28"/>
      <w:lang w:val="zh-CN"/>
    </w:rPr>
  </w:style>
  <w:style w:type="character" w:customStyle="1" w:styleId="57">
    <w:name w:val="报告正文 Char"/>
    <w:link w:val="56"/>
    <w:qFormat/>
    <w:uiPriority w:val="0"/>
    <w:rPr>
      <w:rFonts w:ascii="Times New Roman" w:hAnsi="Times New Roman" w:eastAsia="仿宋_GB2312" w:cs="Times New Roman"/>
      <w:kern w:val="0"/>
      <w:sz w:val="28"/>
      <w:szCs w:val="28"/>
      <w:lang w:val="zh-CN"/>
    </w:rPr>
  </w:style>
  <w:style w:type="paragraph" w:customStyle="1" w:styleId="58">
    <w:name w:val="表"/>
    <w:basedOn w:val="1"/>
    <w:link w:val="59"/>
    <w:qFormat/>
    <w:uiPriority w:val="0"/>
    <w:pPr>
      <w:widowControl/>
      <w:adjustRightInd w:val="0"/>
      <w:snapToGrid w:val="0"/>
      <w:spacing w:line="240" w:lineRule="exact"/>
      <w:jc w:val="center"/>
      <w:textAlignment w:val="center"/>
    </w:pPr>
    <w:rPr>
      <w:rFonts w:eastAsia="仿宋_GB2312"/>
      <w:kern w:val="0"/>
      <w:sz w:val="18"/>
      <w:szCs w:val="32"/>
      <w:lang w:val="zh-CN"/>
    </w:rPr>
  </w:style>
  <w:style w:type="character" w:customStyle="1" w:styleId="59">
    <w:name w:val="表 字符"/>
    <w:link w:val="58"/>
    <w:qFormat/>
    <w:uiPriority w:val="0"/>
    <w:rPr>
      <w:rFonts w:ascii="Times New Roman" w:hAnsi="Times New Roman" w:eastAsia="仿宋_GB2312" w:cs="Times New Roman"/>
      <w:kern w:val="0"/>
      <w:sz w:val="18"/>
      <w:szCs w:val="32"/>
      <w:lang w:val="zh-CN"/>
    </w:rPr>
  </w:style>
  <w:style w:type="paragraph" w:customStyle="1" w:styleId="60">
    <w:name w:val="表格题注"/>
    <w:next w:val="1"/>
    <w:qFormat/>
    <w:uiPriority w:val="0"/>
    <w:pPr>
      <w:keepNext/>
      <w:keepLines/>
      <w:widowControl w:val="0"/>
      <w:spacing w:before="5" w:beforeLines="5" w:line="360" w:lineRule="auto"/>
      <w:jc w:val="center"/>
      <w:outlineLvl w:val="6"/>
    </w:pPr>
    <w:rPr>
      <w:rFonts w:ascii="Times New Roman" w:hAnsi="Times New Roman" w:eastAsia="仿宋_GB2312" w:cs="Times New Roman"/>
      <w:b/>
      <w:kern w:val="2"/>
      <w:sz w:val="21"/>
      <w:szCs w:val="22"/>
      <w:lang w:val="en-US" w:eastAsia="zh-CN" w:bidi="ar-SA"/>
    </w:rPr>
  </w:style>
  <w:style w:type="paragraph" w:customStyle="1" w:styleId="61">
    <w:name w:val="单位标注"/>
    <w:basedOn w:val="1"/>
    <w:link w:val="62"/>
    <w:qFormat/>
    <w:uiPriority w:val="0"/>
    <w:pPr>
      <w:keepNext/>
      <w:keepLines/>
      <w:adjustRightInd w:val="0"/>
      <w:snapToGrid w:val="0"/>
      <w:spacing w:after="10" w:afterLines="10"/>
      <w:ind w:firstLine="200" w:firstLineChars="200"/>
      <w:jc w:val="right"/>
    </w:pPr>
    <w:rPr>
      <w:rFonts w:eastAsia="仿宋_GB2312" w:cstheme="minorBidi"/>
      <w:b/>
    </w:rPr>
  </w:style>
  <w:style w:type="character" w:customStyle="1" w:styleId="62">
    <w:name w:val="单位标注 字符"/>
    <w:link w:val="61"/>
    <w:qFormat/>
    <w:uiPriority w:val="0"/>
    <w:rPr>
      <w:rFonts w:ascii="Times New Roman" w:hAnsi="Times New Roman" w:eastAsia="仿宋_GB2312"/>
      <w:b/>
      <w:szCs w:val="20"/>
    </w:rPr>
  </w:style>
  <w:style w:type="paragraph" w:styleId="6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4">
    <w:name w:val="标题5"/>
    <w:basedOn w:val="1"/>
    <w:next w:val="6"/>
    <w:qFormat/>
    <w:uiPriority w:val="0"/>
    <w:pPr>
      <w:ind w:firstLine="640" w:firstLineChars="200"/>
    </w:pPr>
    <w:rPr>
      <w:rFonts w:eastAsia="仿宋_GB2312"/>
      <w:b/>
    </w:rPr>
  </w:style>
  <w:style w:type="paragraph" w:customStyle="1" w:styleId="65">
    <w:name w:val="标题6"/>
    <w:basedOn w:val="7"/>
    <w:next w:val="12"/>
    <w:qFormat/>
    <w:uiPriority w:val="0"/>
    <w:pPr>
      <w:snapToGrid w:val="0"/>
      <w:spacing w:line="240" w:lineRule="auto"/>
      <w:ind w:firstLine="1040" w:firstLineChars="200"/>
    </w:pPr>
    <w:rPr>
      <w:rFonts w:eastAsia="仿宋_GB2312"/>
      <w:sz w:val="28"/>
    </w:rPr>
  </w:style>
  <w:style w:type="paragraph" w:customStyle="1" w:styleId="66">
    <w:name w:val="_Style 2"/>
    <w:basedOn w:val="2"/>
    <w:next w:val="1"/>
    <w:qFormat/>
    <w:uiPriority w:val="4"/>
    <w:pPr>
      <w:widowControl/>
      <w:numPr>
        <w:numId w:val="0"/>
      </w:numPr>
      <w:tabs>
        <w:tab w:val="clear" w:pos="567"/>
      </w:tabs>
      <w:spacing w:line="480" w:lineRule="auto"/>
    </w:pPr>
    <w:rPr>
      <w:rFonts w:ascii="Cambria" w:hAnsi="Cambria" w:cs="Cambria"/>
      <w:color w:val="21798E"/>
      <w:kern w:val="0"/>
      <w:sz w:val="32"/>
      <w:szCs w:val="28"/>
    </w:rPr>
  </w:style>
  <w:style w:type="paragraph" w:customStyle="1" w:styleId="67">
    <w:name w:val="正文文本1"/>
    <w:basedOn w:val="1"/>
    <w:qFormat/>
    <w:uiPriority w:val="0"/>
    <w:pPr>
      <w:jc w:val="center"/>
    </w:pPr>
    <w:rPr>
      <w:rFonts w:hint="eastAsia"/>
      <w:sz w:val="18"/>
    </w:rPr>
  </w:style>
  <w:style w:type="paragraph" w:customStyle="1" w:styleId="68">
    <w:name w:val="(1)"/>
    <w:basedOn w:val="1"/>
    <w:qFormat/>
    <w:uiPriority w:val="0"/>
    <w:pPr>
      <w:tabs>
        <w:tab w:val="left" w:pos="1036"/>
      </w:tabs>
      <w:spacing w:line="360" w:lineRule="auto"/>
    </w:pPr>
    <w:rPr>
      <w:sz w:val="24"/>
    </w:rPr>
  </w:style>
  <w:style w:type="character" w:customStyle="1" w:styleId="69">
    <w:name w:val="font11"/>
    <w:basedOn w:val="27"/>
    <w:qFormat/>
    <w:uiPriority w:val="0"/>
    <w:rPr>
      <w:rFonts w:hint="default" w:ascii="Times New Roman" w:hAnsi="Times New Roman" w:cs="Times New Roman"/>
      <w:color w:val="000000"/>
      <w:sz w:val="20"/>
      <w:szCs w:val="20"/>
      <w:u w:val="none"/>
    </w:rPr>
  </w:style>
  <w:style w:type="character" w:customStyle="1" w:styleId="70">
    <w:name w:val="font21"/>
    <w:basedOn w:val="27"/>
    <w:qFormat/>
    <w:uiPriority w:val="0"/>
    <w:rPr>
      <w:rFonts w:hint="eastAsia" w:ascii="黑体" w:hAnsi="宋体" w:eastAsia="黑体" w:cs="黑体"/>
      <w:color w:val="000000"/>
      <w:sz w:val="20"/>
      <w:szCs w:val="20"/>
      <w:u w:val="none"/>
    </w:rPr>
  </w:style>
  <w:style w:type="character" w:customStyle="1" w:styleId="71">
    <w:name w:val="font31"/>
    <w:basedOn w:val="27"/>
    <w:qFormat/>
    <w:uiPriority w:val="0"/>
    <w:rPr>
      <w:rFonts w:hint="eastAsia" w:ascii="黑体" w:hAnsi="宋体" w:eastAsia="黑体" w:cs="黑体"/>
      <w:b/>
      <w:color w:val="000000"/>
      <w:sz w:val="20"/>
      <w:szCs w:val="20"/>
      <w:u w:val="none"/>
    </w:rPr>
  </w:style>
  <w:style w:type="character" w:customStyle="1" w:styleId="72">
    <w:name w:val="表题 Char"/>
    <w:link w:val="73"/>
    <w:qFormat/>
    <w:uiPriority w:val="99"/>
    <w:rPr>
      <w:rFonts w:ascii="方正黑体_GBK" w:hAnsi="方正黑体_GBK" w:eastAsia="方正黑体_GBK" w:cs="黑体"/>
      <w:kern w:val="2"/>
      <w:sz w:val="30"/>
    </w:rPr>
  </w:style>
  <w:style w:type="paragraph" w:customStyle="1" w:styleId="73">
    <w:name w:val="表题"/>
    <w:basedOn w:val="1"/>
    <w:link w:val="72"/>
    <w:unhideWhenUsed/>
    <w:qFormat/>
    <w:uiPriority w:val="99"/>
    <w:pPr>
      <w:widowControl/>
      <w:spacing w:line="520" w:lineRule="exact"/>
      <w:jc w:val="center"/>
    </w:pPr>
    <w:rPr>
      <w:rFonts w:ascii="方正黑体_GBK" w:hAnsi="方正黑体_GBK" w:eastAsia="方正黑体_GBK" w:cs="黑体"/>
      <w:sz w:val="30"/>
    </w:rPr>
  </w:style>
  <w:style w:type="character" w:styleId="74">
    <w:name w:val="Placeholder Text"/>
    <w:basedOn w:val="27"/>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image" Target="media/image3.png"/><Relationship Id="rId16" Type="http://schemas.openxmlformats.org/officeDocument/2006/relationships/chart" Target="charts/chart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Z:\&#35268;&#21010;&#23460;\&#35268;&#21010;&#23460;&#20849;&#20139;\14%20&#19987;&#39033;&#35268;&#21010;\&#23731;&#38451;&#20805;&#30005;&#26729;&#35268;&#21010;\2015&#24180;-2020&#24180;&#27665;&#29992;&#36710;&#36742;&#25317;&#26377;&#37327;.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E:\&#23731;&#38451;&#20805;&#30005;&#26729;&#35268;&#21010;\&#23731;&#38451;&#24066;&#8220;&#21313;&#22235;&#20116;&#8221;&#20805;&#30005;&#22522;&#30784;&#35774;&#26045;&#24314;&#35774;&#21457;&#23637;&#35268;&#21010;&#38468;&#34920;(&#3506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'[岳阳市“十四五”充电基础设施建设发展规划附表(裴).xlsx]表 2 1  岳阳市经济社会历史发展情况'!$L$2</c:f>
              <c:strCache>
                <c:ptCount val="1"/>
                <c:pt idx="0">
                  <c:v>GDP（亿元）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'[岳阳市“十四五”充电基础设施建设发展规划附表(裴).xlsx]表 2 1  岳阳市经济社会历史发展情况'!$K$3:$K$7</c:f>
              <c:strCache>
                <c:ptCount val="5"/>
                <c:pt idx="0">
                  <c:v>2016年</c:v>
                </c:pt>
                <c:pt idx="1">
                  <c:v>2017年</c:v>
                </c:pt>
                <c:pt idx="2">
                  <c:v>2018年</c:v>
                </c:pt>
                <c:pt idx="3">
                  <c:v>2019年</c:v>
                </c:pt>
                <c:pt idx="4">
                  <c:v>2020年</c:v>
                </c:pt>
              </c:strCache>
            </c:strRef>
          </c:cat>
          <c:val>
            <c:numRef>
              <c:f>'[岳阳市“十四五”充电基础设施建设发展规划附表(裴).xlsx]表 2 1  岳阳市经济社会历史发展情况'!$L$3:$L$7</c:f>
              <c:numCache>
                <c:formatCode>General</c:formatCode>
                <c:ptCount val="5"/>
                <c:pt idx="0">
                  <c:v>3100.87</c:v>
                </c:pt>
                <c:pt idx="1">
                  <c:v>3258.03</c:v>
                </c:pt>
                <c:pt idx="2">
                  <c:v>3411.01</c:v>
                </c:pt>
                <c:pt idx="3">
                  <c:v>3780.41</c:v>
                </c:pt>
                <c:pt idx="4">
                  <c:v>4001.55</c:v>
                </c:pt>
              </c:numCache>
            </c:numRef>
          </c:val>
        </c:ser>
        <c:dLbls>
          <c:showLegendKey val="0"/>
          <c:showVal val="1"/>
          <c:showCatName val="0"/>
          <c:showSerName val="0"/>
          <c:showPercent val="0"/>
          <c:showBubbleSize val="0"/>
        </c:dLbls>
        <c:gapWidth val="150"/>
        <c:axId val="448387392"/>
        <c:axId val="448387784"/>
      </c:barChart>
      <c:lineChart>
        <c:grouping val="standard"/>
        <c:varyColors val="0"/>
        <c:ser>
          <c:idx val="1"/>
          <c:order val="1"/>
          <c:tx>
            <c:strRef>
              <c:f>'[岳阳市“十四五”充电基础设施建设发展规划附表(裴).xlsx]表 2 1  岳阳市经济社会历史发展情况'!$M$2</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'[岳阳市“十四五”充电基础设施建设发展规划附表(裴).xlsx]表 2 1  岳阳市经济社会历史发展情况'!$K$3:$K$7</c:f>
              <c:strCache>
                <c:ptCount val="5"/>
                <c:pt idx="0">
                  <c:v>2016年</c:v>
                </c:pt>
                <c:pt idx="1">
                  <c:v>2017年</c:v>
                </c:pt>
                <c:pt idx="2">
                  <c:v>2018年</c:v>
                </c:pt>
                <c:pt idx="3">
                  <c:v>2019年</c:v>
                </c:pt>
                <c:pt idx="4">
                  <c:v>2020年</c:v>
                </c:pt>
              </c:strCache>
            </c:strRef>
          </c:cat>
          <c:val>
            <c:numRef>
              <c:f>'[岳阳市“十四五”充电基础设施建设发展规划附表(裴).xlsx]表 2 1  岳阳市经济社会历史发展情况'!$M$3:$M$7</c:f>
              <c:numCache>
                <c:formatCode>0.00%</c:formatCode>
                <c:ptCount val="5"/>
                <c:pt idx="0">
                  <c:v>0.0743</c:v>
                </c:pt>
                <c:pt idx="1">
                  <c:v>0.0506825503810222</c:v>
                </c:pt>
                <c:pt idx="2">
                  <c:v>0.0469547548672051</c:v>
                </c:pt>
                <c:pt idx="3">
                  <c:v>0.108296369696952</c:v>
                </c:pt>
                <c:pt idx="4">
                  <c:v>0.0584963006658008</c:v>
                </c:pt>
              </c:numCache>
            </c:numRef>
          </c:val>
          <c:smooth val="0"/>
        </c:ser>
        <c:dLbls>
          <c:showLegendKey val="0"/>
          <c:showVal val="1"/>
          <c:showCatName val="0"/>
          <c:showSerName val="0"/>
          <c:showPercent val="0"/>
          <c:showBubbleSize val="0"/>
        </c:dLbls>
        <c:marker val="0"/>
        <c:smooth val="0"/>
        <c:axId val="448388176"/>
        <c:axId val="446668920"/>
      </c:lineChart>
      <c:catAx>
        <c:axId val="448387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8387784"/>
        <c:crosses val="autoZero"/>
        <c:auto val="1"/>
        <c:lblAlgn val="ctr"/>
        <c:lblOffset val="100"/>
        <c:noMultiLvlLbl val="0"/>
      </c:catAx>
      <c:valAx>
        <c:axId val="448387784"/>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8387392"/>
        <c:crosses val="autoZero"/>
        <c:crossBetween val="between"/>
      </c:valAx>
      <c:catAx>
        <c:axId val="44838817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668920"/>
        <c:crosses val="autoZero"/>
        <c:auto val="1"/>
        <c:lblAlgn val="ctr"/>
        <c:lblOffset val="100"/>
        <c:noMultiLvlLbl val="0"/>
      </c:catAx>
      <c:valAx>
        <c:axId val="446668920"/>
        <c:scaling>
          <c:orientation val="minMax"/>
          <c:max val="0.2"/>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838817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'[2015年-2020年民用车辆拥有量.xlsx]Sheet1'!$L$2</c:f>
              <c:strCache>
                <c:ptCount val="1"/>
                <c:pt idx="0">
                  <c:v>民用汽车保有量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'[2015年-2020年民用车辆拥有量.xlsx]Sheet1'!$M$1:$Q$1</c:f>
              <c:strCache>
                <c:ptCount val="5"/>
                <c:pt idx="0">
                  <c:v>2016年</c:v>
                </c:pt>
                <c:pt idx="1">
                  <c:v>2017年</c:v>
                </c:pt>
                <c:pt idx="2">
                  <c:v>2018年</c:v>
                </c:pt>
                <c:pt idx="3">
                  <c:v>2019年</c:v>
                </c:pt>
                <c:pt idx="4">
                  <c:v>2020年</c:v>
                </c:pt>
              </c:strCache>
            </c:strRef>
          </c:cat>
          <c:val>
            <c:numRef>
              <c:f>'[2015年-2020年民用车辆拥有量.xlsx]Sheet1'!$M$2:$Q$2</c:f>
              <c:numCache>
                <c:formatCode>0.00_ </c:formatCode>
                <c:ptCount val="5"/>
                <c:pt idx="0">
                  <c:v>42.0083</c:v>
                </c:pt>
                <c:pt idx="1">
                  <c:v>48.9262</c:v>
                </c:pt>
                <c:pt idx="2">
                  <c:v>57.3436</c:v>
                </c:pt>
                <c:pt idx="3">
                  <c:v>64.6288</c:v>
                </c:pt>
                <c:pt idx="4">
                  <c:v>71.1311</c:v>
                </c:pt>
              </c:numCache>
            </c:numRef>
          </c:val>
        </c:ser>
        <c:dLbls>
          <c:showLegendKey val="0"/>
          <c:showVal val="1"/>
          <c:showCatName val="0"/>
          <c:showSerName val="0"/>
          <c:showPercent val="0"/>
          <c:showBubbleSize val="0"/>
        </c:dLbls>
        <c:gapWidth val="150"/>
        <c:axId val="446669704"/>
        <c:axId val="446670096"/>
      </c:barChart>
      <c:lineChart>
        <c:grouping val="standard"/>
        <c:varyColors val="0"/>
        <c:ser>
          <c:idx val="1"/>
          <c:order val="1"/>
          <c:tx>
            <c:strRef>
              <c:f>'[2015年-2020年民用车辆拥有量.xlsx]Sheet1'!$L$3</c:f>
              <c:strCache>
                <c:ptCount val="1"/>
                <c:pt idx="0">
                  <c:v>年增速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'[2015年-2020年民用车辆拥有量.xlsx]Sheet1'!$M$1:$Q$1</c:f>
              <c:strCache>
                <c:ptCount val="5"/>
                <c:pt idx="0">
                  <c:v>2016年</c:v>
                </c:pt>
                <c:pt idx="1">
                  <c:v>2017年</c:v>
                </c:pt>
                <c:pt idx="2">
                  <c:v>2018年</c:v>
                </c:pt>
                <c:pt idx="3">
                  <c:v>2019年</c:v>
                </c:pt>
                <c:pt idx="4">
                  <c:v>2020年</c:v>
                </c:pt>
              </c:strCache>
            </c:strRef>
          </c:cat>
          <c:val>
            <c:numRef>
              <c:f>'[2015年-2020年民用车辆拥有量.xlsx]Sheet1'!$M$3:$Q$3</c:f>
              <c:numCache>
                <c:formatCode>0%</c:formatCode>
                <c:ptCount val="5"/>
                <c:pt idx="0">
                  <c:v>0.206573376761393</c:v>
                </c:pt>
                <c:pt idx="1">
                  <c:v>0.164679360983425</c:v>
                </c:pt>
                <c:pt idx="2">
                  <c:v>0.172042790979066</c:v>
                </c:pt>
                <c:pt idx="3">
                  <c:v>0.127044691997015</c:v>
                </c:pt>
                <c:pt idx="4">
                  <c:v>0.100609944792414</c:v>
                </c:pt>
              </c:numCache>
            </c:numRef>
          </c:val>
          <c:smooth val="0"/>
        </c:ser>
        <c:dLbls>
          <c:showLegendKey val="0"/>
          <c:showVal val="1"/>
          <c:showCatName val="0"/>
          <c:showSerName val="0"/>
          <c:showPercent val="0"/>
          <c:showBubbleSize val="0"/>
        </c:dLbls>
        <c:marker val="0"/>
        <c:smooth val="0"/>
        <c:axId val="446670488"/>
        <c:axId val="271679392"/>
      </c:lineChart>
      <c:catAx>
        <c:axId val="4466697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670096"/>
        <c:crosses val="autoZero"/>
        <c:auto val="1"/>
        <c:lblAlgn val="ctr"/>
        <c:lblOffset val="100"/>
        <c:noMultiLvlLbl val="0"/>
      </c:catAx>
      <c:valAx>
        <c:axId val="446670096"/>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669704"/>
        <c:crosses val="autoZero"/>
        <c:crossBetween val="between"/>
      </c:valAx>
      <c:catAx>
        <c:axId val="44667048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1679392"/>
        <c:crosses val="autoZero"/>
        <c:auto val="1"/>
        <c:lblAlgn val="ctr"/>
        <c:lblOffset val="100"/>
        <c:noMultiLvlLbl val="0"/>
      </c:catAx>
      <c:valAx>
        <c:axId val="271679392"/>
        <c:scaling>
          <c:orientation val="minMax"/>
          <c:max val="0.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67048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Sheet1!$A$4</c:f>
              <c:strCache>
                <c:ptCount val="1"/>
                <c:pt idx="0">
                  <c:v>岳阳市</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1"/>
              <c:layout>
                <c:manualLayout>
                  <c:x val="0.00104877515310586"/>
                  <c:y val="-0.0030522747156605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0167355643044619"/>
                  <c:y val="-0.033875036453776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221186351706037"/>
                  <c:y val="-0.039418562263050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306122922134733"/>
                  <c:y val="0.0428240740740741"/>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私家车</c:v>
                </c:pt>
                <c:pt idx="1">
                  <c:v>出租车、网约车</c:v>
                </c:pt>
                <c:pt idx="2">
                  <c:v>公交车</c:v>
                </c:pt>
                <c:pt idx="3">
                  <c:v>环卫车</c:v>
                </c:pt>
                <c:pt idx="4">
                  <c:v>公务车</c:v>
                </c:pt>
                <c:pt idx="5">
                  <c:v>旅游、通勤、公路客运</c:v>
                </c:pt>
              </c:strCache>
            </c:strRef>
          </c:cat>
          <c:val>
            <c:numRef>
              <c:f>Sheet1!$B$4:$G$4</c:f>
              <c:numCache>
                <c:formatCode>General</c:formatCode>
                <c:ptCount val="6"/>
                <c:pt idx="0">
                  <c:v>11872</c:v>
                </c:pt>
                <c:pt idx="1">
                  <c:v>190</c:v>
                </c:pt>
                <c:pt idx="2">
                  <c:v>1323</c:v>
                </c:pt>
                <c:pt idx="3">
                  <c:v>9</c:v>
                </c:pt>
                <c:pt idx="4">
                  <c:v>804</c:v>
                </c:pt>
                <c:pt idx="5">
                  <c:v>329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'[岳阳市“十四五”充电基础设施建设发展规划附表(裴).xlsx]表 3 4 各区县充电设施情况'!$Q$3</c:f>
              <c:strCache>
                <c:ptCount val="1"/>
                <c:pt idx="0">
                  <c:v>城区服务半径（千米）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'[岳阳市“十四五”充电基础设施建设发展规划附表(裴).xlsx]表 3 4 各区县充电设施情况'!$P$4:$P$13</c:f>
              <c:strCache>
                <c:ptCount val="10"/>
                <c:pt idx="0">
                  <c:v>中心城区</c:v>
                </c:pt>
                <c:pt idx="1">
                  <c:v>汨罗市</c:v>
                </c:pt>
                <c:pt idx="2">
                  <c:v>华容县</c:v>
                </c:pt>
                <c:pt idx="3">
                  <c:v>平江县</c:v>
                </c:pt>
                <c:pt idx="4">
                  <c:v>岳阳县</c:v>
                </c:pt>
                <c:pt idx="5">
                  <c:v>湘阴县</c:v>
                </c:pt>
                <c:pt idx="6">
                  <c:v>临湘市</c:v>
                </c:pt>
                <c:pt idx="7">
                  <c:v>云溪区</c:v>
                </c:pt>
                <c:pt idx="8">
                  <c:v>屈原管理区</c:v>
                </c:pt>
                <c:pt idx="9">
                  <c:v>君山区</c:v>
                </c:pt>
              </c:strCache>
            </c:strRef>
          </c:cat>
          <c:val>
            <c:numRef>
              <c:f>'[岳阳市“十四五”充电基础设施建设发展规划附表(裴).xlsx]表 3 4 各区县充电设施情况'!$Q$4:$Q$13</c:f>
              <c:numCache>
                <c:formatCode>General</c:formatCode>
                <c:ptCount val="10"/>
                <c:pt idx="0">
                  <c:v>0.53</c:v>
                </c:pt>
                <c:pt idx="1">
                  <c:v>0.87</c:v>
                </c:pt>
                <c:pt idx="2">
                  <c:v>1.11</c:v>
                </c:pt>
                <c:pt idx="3">
                  <c:v>1.27</c:v>
                </c:pt>
                <c:pt idx="4">
                  <c:v>1.28</c:v>
                </c:pt>
                <c:pt idx="5">
                  <c:v>1.32</c:v>
                </c:pt>
                <c:pt idx="6">
                  <c:v>1.53</c:v>
                </c:pt>
                <c:pt idx="7">
                  <c:v>2</c:v>
                </c:pt>
                <c:pt idx="8">
                  <c:v>2.4</c:v>
                </c:pt>
                <c:pt idx="9">
                  <c:v>3</c:v>
                </c:pt>
              </c:numCache>
            </c:numRef>
          </c:val>
        </c:ser>
        <c:dLbls>
          <c:showLegendKey val="0"/>
          <c:showVal val="1"/>
          <c:showCatName val="0"/>
          <c:showSerName val="0"/>
          <c:showPercent val="0"/>
          <c:showBubbleSize val="0"/>
        </c:dLbls>
        <c:gapWidth val="219"/>
        <c:overlap val="-27"/>
        <c:axId val="271680568"/>
        <c:axId val="271680960"/>
      </c:barChart>
      <c:catAx>
        <c:axId val="271680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271680960"/>
        <c:crosses val="autoZero"/>
        <c:auto val="1"/>
        <c:lblAlgn val="ctr"/>
        <c:lblOffset val="100"/>
        <c:noMultiLvlLbl val="0"/>
      </c:catAx>
      <c:valAx>
        <c:axId val="27168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168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3A8205-C03A-4431-A0D6-F7E892804CF0}">
  <ds:schemaRefs/>
</ds:datastoreItem>
</file>

<file path=docProps/app.xml><?xml version="1.0" encoding="utf-8"?>
<Properties xmlns="http://schemas.openxmlformats.org/officeDocument/2006/extended-properties" xmlns:vt="http://schemas.openxmlformats.org/officeDocument/2006/docPropsVTypes">
  <Template>Normal</Template>
  <Pages>71</Pages>
  <Words>30133</Words>
  <Characters>33818</Characters>
  <Lines>280</Lines>
  <Paragraphs>78</Paragraphs>
  <TotalTime>20</TotalTime>
  <ScaleCrop>false</ScaleCrop>
  <LinksUpToDate>false</LinksUpToDate>
  <CharactersWithSpaces>34763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2021-09-27T11:07:00Z</dcterms:created>
  <dc:creator>chen anne</dc:creator>
  <cp:lastModifiedBy>西子工作号</cp:lastModifiedBy>
  <cp:lastPrinted>2022-07-21T03:00:00Z</cp:lastPrinted>
  <dcterms:modified xsi:type="dcterms:W3CDTF">2023-04-28T07:36:35Z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2610847D43F24E2698BB246C21AFB3D9</vt:lpwstr>
  </property>
</Properties>
</file>