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4" w:line="230" w:lineRule="auto"/>
        <w:rPr>
          <w:rFonts w:ascii="Times New Roman" w:hAnsi="Times New Roman" w:eastAsia="Times New Roman" w:cs="Times New Roman"/>
          <w:sz w:val="31"/>
          <w:szCs w:val="3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w:t>
      </w:r>
      <w:r>
        <w:rPr>
          <w:rFonts w:hint="eastAsia" w:ascii="方正小标宋简体" w:hAnsi="方正小标宋简体" w:eastAsia="方正小标宋简体" w:cs="方正小标宋简体"/>
          <w:b w:val="0"/>
          <w:bCs w:val="0"/>
          <w:color w:val="000000"/>
          <w:spacing w:val="2"/>
          <w:sz w:val="42"/>
          <w:szCs w:val="42"/>
          <w:lang w:val="en-US" w:eastAsia="zh-CN"/>
        </w:rPr>
        <w:t>岳阳市图书馆</w:t>
      </w:r>
      <w:r>
        <w:rPr>
          <w:rFonts w:hint="eastAsia" w:ascii="方正小标宋简体" w:hAnsi="方正小标宋简体" w:eastAsia="方正小标宋简体" w:cs="方正小标宋简体"/>
          <w:b w:val="0"/>
          <w:bCs w:val="0"/>
          <w:color w:val="000000"/>
          <w:spacing w:val="2"/>
          <w:sz w:val="42"/>
          <w:szCs w:val="42"/>
          <w:lang w:eastAsia="zh-CN"/>
        </w:rPr>
        <w:t>单位整体支出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8"/>
          <w:sz w:val="31"/>
          <w:szCs w:val="31"/>
          <w:lang w:val="en-US" w:eastAsia="zh-CN"/>
        </w:rPr>
        <w:t>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26</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3"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岳阳市图书馆</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pPr>
        <w:spacing w:line="560" w:lineRule="exact"/>
        <w:ind w:firstLine="640" w:firstLineChars="200"/>
        <w:rPr>
          <w:rFonts w:ascii="仿宋" w:hAnsi="仿宋" w:eastAsia="仿宋" w:cs="仿宋_GB2312"/>
          <w:bCs/>
          <w:sz w:val="32"/>
          <w:szCs w:val="32"/>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一、单位基本情况</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岳阳市图书馆是岳阳市文化旅游广电局下属二级机构为正科级公益一类事业单位，截止</w:t>
      </w:r>
      <w:r>
        <w:rPr>
          <w:rFonts w:ascii="仿宋" w:hAnsi="仿宋" w:eastAsia="仿宋" w:cs="仿宋_GB2312"/>
          <w:bCs/>
          <w:sz w:val="32"/>
          <w:szCs w:val="32"/>
        </w:rPr>
        <w:t>202</w:t>
      </w:r>
      <w:r>
        <w:rPr>
          <w:rFonts w:hint="eastAsia" w:ascii="仿宋" w:hAnsi="仿宋" w:eastAsia="仿宋" w:cs="仿宋_GB2312"/>
          <w:bCs/>
          <w:sz w:val="32"/>
          <w:szCs w:val="32"/>
          <w:lang w:val="en-US" w:eastAsia="zh-CN"/>
        </w:rPr>
        <w:t>4</w:t>
      </w:r>
      <w:r>
        <w:rPr>
          <w:rFonts w:hint="eastAsia" w:ascii="仿宋" w:hAnsi="仿宋" w:eastAsia="仿宋" w:cs="仿宋_GB2312"/>
          <w:bCs/>
          <w:sz w:val="32"/>
          <w:szCs w:val="32"/>
        </w:rPr>
        <w:t>年</w:t>
      </w:r>
      <w:r>
        <w:rPr>
          <w:rFonts w:ascii="仿宋" w:hAnsi="仿宋" w:eastAsia="仿宋" w:cs="仿宋_GB2312"/>
          <w:bCs/>
          <w:sz w:val="32"/>
          <w:szCs w:val="32"/>
        </w:rPr>
        <w:t>12</w:t>
      </w:r>
      <w:r>
        <w:rPr>
          <w:rFonts w:hint="eastAsia" w:ascii="仿宋" w:hAnsi="仿宋" w:eastAsia="仿宋" w:cs="仿宋_GB2312"/>
          <w:bCs/>
          <w:sz w:val="32"/>
          <w:szCs w:val="32"/>
        </w:rPr>
        <w:t>月</w:t>
      </w:r>
      <w:r>
        <w:rPr>
          <w:rFonts w:ascii="仿宋" w:hAnsi="仿宋" w:eastAsia="仿宋" w:cs="仿宋_GB2312"/>
          <w:bCs/>
          <w:sz w:val="32"/>
          <w:szCs w:val="32"/>
        </w:rPr>
        <w:t>31</w:t>
      </w:r>
      <w:r>
        <w:rPr>
          <w:rFonts w:hint="eastAsia" w:ascii="仿宋" w:hAnsi="仿宋" w:eastAsia="仿宋" w:cs="仿宋_GB2312"/>
          <w:bCs/>
          <w:sz w:val="32"/>
          <w:szCs w:val="32"/>
        </w:rPr>
        <w:t>日，实际在编在岗干部职工共有</w:t>
      </w:r>
      <w:r>
        <w:rPr>
          <w:rFonts w:hint="eastAsia" w:ascii="仿宋" w:hAnsi="仿宋" w:eastAsia="仿宋" w:cs="仿宋_GB2312"/>
          <w:bCs/>
          <w:sz w:val="32"/>
          <w:szCs w:val="32"/>
          <w:lang w:val="en-US" w:eastAsia="zh-CN"/>
        </w:rPr>
        <w:t xml:space="preserve">45 </w:t>
      </w:r>
      <w:r>
        <w:rPr>
          <w:rFonts w:hint="eastAsia" w:ascii="仿宋" w:hAnsi="仿宋" w:eastAsia="仿宋" w:cs="仿宋_GB2312"/>
          <w:bCs/>
          <w:sz w:val="32"/>
          <w:szCs w:val="32"/>
        </w:rPr>
        <w:t>人。</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二、  一般公共预算支出情况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lang w:eastAsia="zh-CN"/>
        </w:rPr>
        <w:t>（一）基本支出情况</w:t>
      </w:r>
    </w:p>
    <w:p>
      <w:pPr>
        <w:spacing w:line="560" w:lineRule="exact"/>
        <w:ind w:firstLine="640" w:firstLineChars="200"/>
        <w:rPr>
          <w:rFonts w:hint="eastAsia" w:eastAsia="仿宋" w:cs="仿宋_GB2312"/>
          <w:bCs/>
          <w:sz w:val="32"/>
          <w:szCs w:val="32"/>
          <w:lang w:eastAsia="zh-CN"/>
        </w:rPr>
      </w:pPr>
      <w:r>
        <w:rPr>
          <w:rFonts w:ascii="仿宋" w:hAnsi="仿宋" w:eastAsia="仿宋" w:cs="仿宋_GB2312"/>
          <w:bCs/>
          <w:sz w:val="32"/>
          <w:szCs w:val="32"/>
        </w:rPr>
        <w:t>202</w:t>
      </w:r>
      <w:r>
        <w:rPr>
          <w:rFonts w:hint="eastAsia" w:ascii="仿宋" w:hAnsi="仿宋" w:eastAsia="仿宋" w:cs="仿宋_GB2312"/>
          <w:bCs/>
          <w:sz w:val="32"/>
          <w:szCs w:val="32"/>
          <w:lang w:val="en-US" w:eastAsia="zh-CN"/>
        </w:rPr>
        <w:t>4</w:t>
      </w:r>
      <w:r>
        <w:rPr>
          <w:rFonts w:hint="eastAsia" w:ascii="仿宋" w:hAnsi="仿宋" w:eastAsia="仿宋" w:cs="仿宋_GB2312"/>
          <w:bCs/>
          <w:sz w:val="32"/>
          <w:szCs w:val="32"/>
        </w:rPr>
        <w:t>年度基本支出</w:t>
      </w:r>
      <w:r>
        <w:rPr>
          <w:rFonts w:hint="eastAsia" w:ascii="仿宋" w:hAnsi="仿宋" w:eastAsia="仿宋" w:cs="仿宋_GB2312"/>
          <w:bCs/>
          <w:sz w:val="32"/>
          <w:szCs w:val="32"/>
          <w:lang w:val="en-US" w:eastAsia="zh-CN"/>
        </w:rPr>
        <w:t>965.52</w:t>
      </w:r>
      <w:r>
        <w:rPr>
          <w:rFonts w:hint="eastAsia" w:ascii="仿宋" w:hAnsi="仿宋" w:eastAsia="仿宋" w:cs="仿宋_GB2312"/>
          <w:bCs/>
          <w:sz w:val="32"/>
          <w:szCs w:val="32"/>
        </w:rPr>
        <w:t>万元，使用内容为人员经费和日常公用经费。其中人员经费支出</w:t>
      </w:r>
      <w:r>
        <w:rPr>
          <w:rFonts w:hint="eastAsia" w:ascii="仿宋" w:hAnsi="仿宋" w:eastAsia="仿宋" w:cs="仿宋_GB2312"/>
          <w:bCs/>
          <w:sz w:val="32"/>
          <w:szCs w:val="32"/>
          <w:lang w:val="en-US" w:eastAsia="zh-CN"/>
        </w:rPr>
        <w:t>894.15</w:t>
      </w:r>
      <w:r>
        <w:rPr>
          <w:rFonts w:hint="eastAsia" w:ascii="仿宋" w:hAnsi="仿宋" w:eastAsia="仿宋" w:cs="仿宋_GB2312"/>
          <w:bCs/>
          <w:sz w:val="32"/>
          <w:szCs w:val="32"/>
        </w:rPr>
        <w:t>万元，主要用于发放人员工资及津补贴；支付离退休员工的工资及津补贴、抚恤金、丧葬费、生活补助等；一般商品和服务支出</w:t>
      </w:r>
      <w:r>
        <w:rPr>
          <w:rFonts w:hint="eastAsia" w:ascii="仿宋" w:hAnsi="仿宋" w:eastAsia="仿宋" w:cs="仿宋_GB2312"/>
          <w:bCs/>
          <w:sz w:val="32"/>
          <w:szCs w:val="32"/>
          <w:lang w:val="en-US" w:eastAsia="zh-CN"/>
        </w:rPr>
        <w:t>71.37</w:t>
      </w:r>
      <w:r>
        <w:rPr>
          <w:rFonts w:hint="eastAsia" w:ascii="仿宋" w:hAnsi="仿宋" w:eastAsia="仿宋" w:cs="仿宋_GB2312"/>
          <w:bCs/>
          <w:sz w:val="32"/>
          <w:szCs w:val="32"/>
        </w:rPr>
        <w:t>万元，主要用于保障我馆正常运转所需开支的办公费、差旅费、招待费、会议费、公务用车运行维护费、物业管理费等。基本开支主要来自于年初预算拨款，其他来自于政策性工资绩效预算的追加</w:t>
      </w:r>
      <w:r>
        <w:rPr>
          <w:rFonts w:hint="eastAsia" w:eastAsia="仿宋" w:cs="仿宋_GB2312"/>
          <w:bCs/>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“三公”经费财政拨款支出决算总体情况说明：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年度“三公”经费财政拨款支出预算为</w:t>
      </w:r>
      <w:r>
        <w:rPr>
          <w:rFonts w:hint="eastAsia" w:ascii="仿宋_GB2312" w:eastAsia="仿宋_GB2312"/>
          <w:sz w:val="32"/>
          <w:szCs w:val="32"/>
          <w:lang w:val="en-US" w:eastAsia="zh-CN"/>
        </w:rPr>
        <w:t>2.9</w:t>
      </w:r>
      <w:r>
        <w:rPr>
          <w:rFonts w:hint="eastAsia" w:ascii="仿宋_GB2312" w:eastAsia="仿宋_GB2312"/>
          <w:sz w:val="32"/>
          <w:szCs w:val="32"/>
        </w:rPr>
        <w:t>万元，支出决算为</w:t>
      </w:r>
      <w:r>
        <w:rPr>
          <w:rFonts w:hint="eastAsia" w:ascii="仿宋_GB2312" w:eastAsia="仿宋_GB2312"/>
          <w:sz w:val="32"/>
          <w:szCs w:val="32"/>
          <w:lang w:val="en-US" w:eastAsia="zh-CN"/>
        </w:rPr>
        <w:t>0.334</w:t>
      </w:r>
      <w:r>
        <w:rPr>
          <w:rFonts w:hint="eastAsia" w:ascii="仿宋_GB2312" w:eastAsia="仿宋_GB2312"/>
          <w:sz w:val="32"/>
          <w:szCs w:val="32"/>
        </w:rPr>
        <w:t>万元，完成预算的</w:t>
      </w:r>
      <w:r>
        <w:rPr>
          <w:rFonts w:hint="eastAsia" w:ascii="仿宋_GB2312" w:eastAsia="仿宋_GB2312"/>
          <w:sz w:val="32"/>
          <w:szCs w:val="32"/>
          <w:lang w:val="en-US" w:eastAsia="zh-CN"/>
        </w:rPr>
        <w:t>11.7</w:t>
      </w:r>
      <w:r>
        <w:rPr>
          <w:rFonts w:hint="eastAsia" w:ascii="仿宋_GB2312" w:eastAsia="仿宋_GB2312"/>
          <w:sz w:val="32"/>
          <w:szCs w:val="32"/>
        </w:rPr>
        <w:t>%，其中：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因公出国（境）费支出预算为0万元，支出决算为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公务接待费支出预算为</w:t>
      </w:r>
      <w:r>
        <w:rPr>
          <w:rFonts w:hint="eastAsia" w:ascii="仿宋_GB2312" w:eastAsia="仿宋_GB2312"/>
          <w:sz w:val="32"/>
          <w:szCs w:val="32"/>
          <w:lang w:val="en-US" w:eastAsia="zh-CN"/>
        </w:rPr>
        <w:t>2.9</w:t>
      </w:r>
      <w:r>
        <w:rPr>
          <w:rFonts w:hint="eastAsia" w:ascii="仿宋_GB2312" w:eastAsia="仿宋_GB2312"/>
          <w:sz w:val="32"/>
          <w:szCs w:val="32"/>
        </w:rPr>
        <w:t>万元，支出决算为</w:t>
      </w:r>
      <w:r>
        <w:rPr>
          <w:rFonts w:hint="eastAsia" w:ascii="仿宋_GB2312" w:eastAsia="仿宋_GB2312"/>
          <w:sz w:val="32"/>
          <w:szCs w:val="32"/>
          <w:lang w:val="en-US" w:eastAsia="zh-CN"/>
        </w:rPr>
        <w:t>0.34</w:t>
      </w:r>
      <w:r>
        <w:rPr>
          <w:rFonts w:hint="eastAsia" w:ascii="仿宋_GB2312" w:eastAsia="仿宋_GB2312"/>
          <w:sz w:val="32"/>
          <w:szCs w:val="32"/>
        </w:rPr>
        <w:t>万元，完成预算的</w:t>
      </w:r>
      <w:r>
        <w:rPr>
          <w:rFonts w:hint="eastAsia" w:ascii="仿宋_GB2312" w:eastAsia="仿宋_GB2312"/>
          <w:sz w:val="32"/>
          <w:szCs w:val="32"/>
          <w:lang w:val="en-US" w:eastAsia="zh-CN"/>
        </w:rPr>
        <w:t>11.7</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公务用车购置费支出预算为0万元，支出决算为0万元。</w:t>
      </w:r>
    </w:p>
    <w:p>
      <w:pPr>
        <w:spacing w:line="560" w:lineRule="exact"/>
        <w:ind w:firstLine="640" w:firstLineChars="200"/>
        <w:rPr>
          <w:rFonts w:hint="eastAsia" w:ascii="Times New Roman" w:hAnsi="Times New Roman" w:eastAsia="仿宋_GB2312" w:cs="Times New Roman"/>
          <w:b/>
          <w:sz w:val="32"/>
          <w:szCs w:val="32"/>
          <w:highlight w:val="none"/>
          <w:lang w:eastAsia="zh-CN"/>
        </w:rPr>
      </w:pPr>
      <w:r>
        <w:rPr>
          <w:rFonts w:hint="eastAsia" w:ascii="仿宋_GB2312" w:eastAsia="仿宋_GB2312"/>
          <w:sz w:val="32"/>
          <w:szCs w:val="32"/>
        </w:rPr>
        <w:t>公务用车运行维护费支出预算为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lang w:eastAsia="zh-CN"/>
        </w:rPr>
        <w:t>（</w:t>
      </w:r>
      <w:r>
        <w:rPr>
          <w:rFonts w:hint="eastAsia" w:ascii="Times New Roman" w:hAnsi="Times New Roman" w:eastAsia="楷体_GB2312" w:cs="Times New Roman"/>
          <w:b/>
          <w:sz w:val="32"/>
          <w:szCs w:val="32"/>
          <w:highlight w:val="none"/>
          <w:lang w:val="en-US" w:eastAsia="zh-CN"/>
        </w:rPr>
        <w:t>二）</w:t>
      </w:r>
      <w:r>
        <w:rPr>
          <w:rFonts w:hint="default" w:ascii="Times New Roman" w:hAnsi="Times New Roman" w:eastAsia="楷体_GB2312" w:cs="Times New Roman"/>
          <w:b/>
          <w:sz w:val="32"/>
          <w:szCs w:val="32"/>
          <w:highlight w:val="none"/>
        </w:rPr>
        <w:t>项目支出情况</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、专项资金安排落实、总投入等情况分析</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项目支出</w:t>
      </w:r>
      <w:r>
        <w:rPr>
          <w:rFonts w:hint="eastAsia" w:ascii="仿宋" w:hAnsi="仿宋" w:eastAsia="仿宋" w:cs="仿宋_GB2312"/>
          <w:bCs/>
          <w:sz w:val="32"/>
          <w:szCs w:val="32"/>
          <w:lang w:val="en-US" w:eastAsia="zh-CN"/>
        </w:rPr>
        <w:t>630.8</w:t>
      </w:r>
      <w:r>
        <w:rPr>
          <w:rFonts w:hint="eastAsia" w:ascii="仿宋" w:hAnsi="仿宋" w:eastAsia="仿宋" w:cs="仿宋_GB2312"/>
          <w:bCs/>
          <w:sz w:val="32"/>
          <w:szCs w:val="32"/>
        </w:rPr>
        <w:t>万元，为图书</w:t>
      </w:r>
      <w:r>
        <w:rPr>
          <w:rFonts w:hint="eastAsia" w:ascii="仿宋" w:hAnsi="仿宋" w:eastAsia="仿宋" w:cs="仿宋_GB2312"/>
          <w:bCs/>
          <w:sz w:val="32"/>
          <w:szCs w:val="32"/>
          <w:lang w:val="en-US" w:eastAsia="zh-CN"/>
        </w:rPr>
        <w:t>设施设备维护费</w:t>
      </w:r>
      <w:r>
        <w:rPr>
          <w:rFonts w:hint="eastAsia" w:ascii="仿宋" w:hAnsi="仿宋" w:eastAsia="仿宋" w:cs="仿宋_GB2312"/>
          <w:bCs/>
          <w:sz w:val="32"/>
          <w:szCs w:val="32"/>
        </w:rPr>
        <w:t>、</w:t>
      </w:r>
      <w:r>
        <w:rPr>
          <w:rFonts w:hint="eastAsia" w:ascii="仿宋" w:hAnsi="仿宋" w:eastAsia="仿宋" w:cs="仿宋_GB2312"/>
          <w:bCs/>
          <w:sz w:val="32"/>
          <w:szCs w:val="32"/>
          <w:lang w:val="en-US" w:eastAsia="zh-CN"/>
        </w:rPr>
        <w:t>水电和网络服务费、免费开放经费、流动服务车运维费等</w:t>
      </w:r>
      <w:r>
        <w:rPr>
          <w:rFonts w:hint="eastAsia" w:ascii="仿宋" w:hAnsi="仿宋" w:eastAsia="仿宋" w:cs="仿宋_GB2312"/>
          <w:bCs/>
          <w:sz w:val="32"/>
          <w:szCs w:val="32"/>
        </w:rPr>
        <w:t>专项资金。</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、专项资金实际使用情况分析</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对专项资金的管理我馆建立了专项资金管理办法，遵循专款专用、单独核算的管理原则；专项项目的申报严格按照市财政资金管理的要求进行，专项资金财政拨款到位后及时进行了项目的开展和资金的投入。</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、专项资金管理情况分析</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我馆目前对专项资金的管理按照项目支出涉及的经济科目的明细项目，根据财务管理办法的相关制度执行。</w:t>
      </w:r>
    </w:p>
    <w:p>
      <w:pPr>
        <w:spacing w:line="560" w:lineRule="exact"/>
        <w:ind w:firstLine="640" w:firstLineChars="200"/>
        <w:rPr>
          <w:rFonts w:hint="eastAsia" w:ascii="仿宋" w:hAnsi="仿宋" w:eastAsia="仿宋" w:cs="仿宋_GB2312"/>
          <w:bCs/>
          <w:sz w:val="32"/>
          <w:szCs w:val="32"/>
        </w:rPr>
      </w:pPr>
      <w:r>
        <w:rPr>
          <w:rFonts w:hint="eastAsia" w:ascii="仿宋" w:hAnsi="仿宋" w:eastAsia="仿宋" w:cs="仿宋_GB2312"/>
          <w:bCs/>
          <w:sz w:val="32"/>
          <w:szCs w:val="32"/>
        </w:rPr>
        <w:t>专项资金中涉及的项目招投标、政府采购事项，我馆均严格按照要求进行了组织，对公开招标的项目要求参与投标报价单位不少于三家，由馆多个部门参与采购谈判，同时严格合同的签订，落实物资和服务的验收，做好资金支付的审核审批手续。</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三、政府性基金预算支出情况</w:t>
      </w:r>
    </w:p>
    <w:p>
      <w:pPr>
        <w:spacing w:line="560" w:lineRule="exact"/>
        <w:ind w:firstLine="640" w:firstLineChars="200"/>
        <w:rPr>
          <w:rFonts w:hint="eastAsia" w:ascii="仿宋" w:hAnsi="仿宋" w:eastAsia="仿宋" w:cs="仿宋_GB2312"/>
          <w:bCs/>
          <w:sz w:val="32"/>
          <w:szCs w:val="32"/>
          <w:lang w:val="en-US" w:eastAsia="zh-CN"/>
        </w:rPr>
      </w:pPr>
      <w:r>
        <w:rPr>
          <w:rFonts w:hint="eastAsia" w:ascii="仿宋" w:hAnsi="仿宋" w:eastAsia="仿宋" w:cs="仿宋_GB2312"/>
          <w:bCs/>
          <w:sz w:val="32"/>
          <w:szCs w:val="32"/>
          <w:lang w:val="en-US" w:eastAsia="zh-CN"/>
        </w:rPr>
        <w:t>本单位无政府性基金预算支出</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val="en-US" w:eastAsia="zh-CN"/>
        </w:rPr>
        <w:t>国有资本经营预算支出情况</w:t>
      </w:r>
    </w:p>
    <w:p>
      <w:pPr>
        <w:spacing w:line="560" w:lineRule="exact"/>
        <w:ind w:firstLine="640" w:firstLineChars="200"/>
        <w:rPr>
          <w:rFonts w:hint="default" w:ascii="仿宋" w:hAnsi="仿宋" w:eastAsia="仿宋" w:cs="仿宋_GB2312"/>
          <w:bCs/>
          <w:sz w:val="32"/>
          <w:szCs w:val="32"/>
          <w:lang w:val="en-US" w:eastAsia="zh-CN"/>
        </w:rPr>
      </w:pPr>
      <w:r>
        <w:rPr>
          <w:rFonts w:hint="eastAsia" w:ascii="仿宋" w:hAnsi="仿宋" w:eastAsia="仿宋" w:cs="仿宋_GB2312"/>
          <w:bCs/>
          <w:sz w:val="32"/>
          <w:szCs w:val="32"/>
          <w:lang w:val="en-US" w:eastAsia="zh-CN"/>
        </w:rPr>
        <w:t xml:space="preserve"> 本单位无国有资本经营预算支出</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0" w:firstLineChars="100"/>
        <w:jc w:val="both"/>
        <w:textAlignment w:val="auto"/>
        <w:rPr>
          <w:rFonts w:hint="default" w:ascii="Times New Roman" w:hAnsi="Times New Roman" w:eastAsia="黑体" w:cs="Times New Roman"/>
          <w:sz w:val="32"/>
          <w:szCs w:val="32"/>
          <w:highlight w:val="none"/>
          <w:lang w:val="en-US" w:eastAsia="zh-CN"/>
        </w:rPr>
      </w:pPr>
      <w:r>
        <w:rPr>
          <w:rFonts w:hint="eastAsia" w:ascii="仿宋" w:hAnsi="仿宋" w:eastAsia="仿宋" w:cs="仿宋_GB2312"/>
          <w:bCs/>
          <w:kern w:val="2"/>
          <w:sz w:val="32"/>
          <w:szCs w:val="32"/>
          <w:lang w:val="en-US" w:eastAsia="zh-CN" w:bidi="ar-SA"/>
        </w:rPr>
        <w:t>本单位无社会保险基金预算支出</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部门整体支出绩效情况</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通过加强预算收支的管理，不断建立健全内部管理制度，梳理内部管理流程，部门整体支出管理情况得到了提升，部门整体支出绩效情况如下：</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经济性评价方面</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、本年预算配置控制较好，财政供养人员控制在预算编制以内；三公经费控制得较好，相比去年决算和年初预算都有所减少。</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eastAsia="仿宋" w:cs="仿宋_GB2312"/>
          <w:bCs/>
          <w:sz w:val="32"/>
          <w:szCs w:val="32"/>
          <w:lang w:eastAsia="zh-CN"/>
        </w:rPr>
        <w:t>、</w:t>
      </w:r>
      <w:r>
        <w:rPr>
          <w:rFonts w:hint="eastAsia" w:ascii="仿宋" w:hAnsi="仿宋" w:eastAsia="仿宋" w:cs="仿宋_GB2312"/>
          <w:bCs/>
          <w:sz w:val="32"/>
          <w:szCs w:val="32"/>
        </w:rPr>
        <w:t>预算执行方面，支出总额控制在预算总额以内，除专项预算的追加和政策性工资绩效预算的追加外，本年部门预算未进行预算相关事项的调整；我馆预算内专项资金在取得财政局的年度预算批复时，随批复一同进行了下达；追加的项目专项资金在取得上级或同级财政批复后随批复及时进行了下达；三公经费总额和财政拨款支出三公经费总体控制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预算管理方面，制度执行总体较为有效，仍需进一步强化；资金使用管理需进一步加强。</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、资产管理方面：建立了资产管理制度，对全馆资产进行了详细的盘点，设置各科室资产管理员，做好资产台账，加强对资产的管理。实现了实物资产的“一物一卡一条码”，总体执行较好。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根据部门整体支出绩效评价指标体系，我单位</w:t>
      </w:r>
      <w:r>
        <w:rPr>
          <w:rFonts w:ascii="仿宋" w:hAnsi="仿宋" w:eastAsia="仿宋" w:cs="仿宋_GB2312"/>
          <w:bCs/>
          <w:sz w:val="32"/>
          <w:szCs w:val="32"/>
        </w:rPr>
        <w:t>202</w:t>
      </w:r>
      <w:r>
        <w:rPr>
          <w:rFonts w:hint="eastAsia" w:ascii="仿宋" w:hAnsi="仿宋" w:eastAsia="仿宋" w:cs="仿宋_GB2312"/>
          <w:bCs/>
          <w:sz w:val="32"/>
          <w:szCs w:val="32"/>
          <w:lang w:val="en-US" w:eastAsia="zh-CN"/>
        </w:rPr>
        <w:t>4</w:t>
      </w:r>
      <w:r>
        <w:rPr>
          <w:rFonts w:hint="eastAsia" w:ascii="仿宋" w:hAnsi="仿宋" w:eastAsia="仿宋" w:cs="仿宋_GB2312"/>
          <w:bCs/>
          <w:sz w:val="32"/>
          <w:szCs w:val="32"/>
        </w:rPr>
        <w:t>年度评价得分</w:t>
      </w:r>
      <w:r>
        <w:rPr>
          <w:rFonts w:ascii="仿宋" w:hAnsi="仿宋" w:eastAsia="仿宋" w:cs="仿宋_GB2312"/>
          <w:bCs/>
          <w:sz w:val="32"/>
          <w:szCs w:val="32"/>
        </w:rPr>
        <w:t>100</w:t>
      </w:r>
      <w:r>
        <w:rPr>
          <w:rFonts w:hint="eastAsia" w:ascii="仿宋" w:hAnsi="仿宋" w:eastAsia="仿宋" w:cs="仿宋_GB2312"/>
          <w:bCs/>
          <w:sz w:val="32"/>
          <w:szCs w:val="32"/>
        </w:rPr>
        <w:t>分。</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效率性评价和有效性评价</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社会效率和有效性评价较好。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（三）社会公众满意度评价</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社会公众满意度较好。</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通过前述对我单位整体支出情况的分析，反映出目前在整体支出的预算编制、执行和管理过程中，依然存在一些问题和不足针对这些不足，我们将积极采取改进措施，持续改进，不断规范和强化管理。</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针对上述存在的问题及我单位整体支出管理工作的需要，拟实施的改进措施如下：</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细化预算编制工作，认真做好预算的编制。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进一步加强局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2、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3、遵循预算管理办法，对于年度无法预计的临时追加的相关工作所需费用，按照预算调整追加程序，逐级申报报批；对结余资金需调整用途的同样按照预算调整追加程序逐级申报报批，确保资金使用按照预算项目和使用用途执行，杜绝费用项目之间调剂使用现象的发生。</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_GB2312"/>
          <w:bCs/>
          <w:sz w:val="32"/>
          <w:szCs w:val="32"/>
        </w:rPr>
      </w:pPr>
      <w:r>
        <w:rPr>
          <w:rFonts w:hint="eastAsia" w:ascii="仿宋" w:hAnsi="仿宋" w:eastAsia="仿宋" w:cs="仿宋_GB2312"/>
          <w:bCs/>
          <w:sz w:val="32"/>
          <w:szCs w:val="32"/>
        </w:rPr>
        <w:t>4、加强财务核算工作，提高财务的精细化管理，确保财务核算的真实、及时、准确、完整。</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单位</w:t>
      </w:r>
      <w:r>
        <w:rPr>
          <w:rFonts w:hint="eastAsia" w:ascii="Times New Roman" w:hAnsi="Times New Roman" w:eastAsia="黑体" w:cs="Times New Roman"/>
          <w:sz w:val="32"/>
          <w:szCs w:val="32"/>
          <w:highlight w:val="none"/>
        </w:rPr>
        <w:t>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_GB2312"/>
          <w:bCs/>
          <w:sz w:val="32"/>
          <w:szCs w:val="32"/>
        </w:rPr>
      </w:pPr>
      <w:r>
        <w:rPr>
          <w:rFonts w:hint="eastAsia" w:ascii="仿宋" w:hAnsi="仿宋" w:eastAsia="仿宋" w:cs="仿宋_GB2312"/>
          <w:bCs/>
          <w:sz w:val="32"/>
          <w:szCs w:val="32"/>
          <w:lang w:eastAsia="zh-CN"/>
        </w:rPr>
        <w:t>积极按要求完成部门整体支出绩效自评，</w:t>
      </w:r>
      <w:r>
        <w:rPr>
          <w:rFonts w:hint="eastAsia" w:ascii="仿宋" w:hAnsi="仿宋" w:eastAsia="仿宋" w:cs="仿宋_GB2312"/>
          <w:bCs/>
          <w:sz w:val="32"/>
          <w:szCs w:val="32"/>
        </w:rPr>
        <w:t>根据绩效自评结果更加合理地编制下一年度部门预算，定期进行预决算公开的同时公开绩效评价表。不断强化绩效评价在预算编制中发挥的作用，提高财政资金的使用效率，在推动部门的健康可持续发展同时，提升其经济效益、社会效益、生态效益。</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十、 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lang w:val="en-US" w:eastAsia="zh-CN"/>
        </w:rPr>
      </w:pPr>
      <w:r>
        <w:rPr>
          <w:rFonts w:hint="eastAsia" w:ascii="仿宋" w:hAnsi="仿宋" w:eastAsia="仿宋" w:cs="仿宋_GB2312"/>
          <w:bCs/>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r>
        <w:rPr>
          <w:rFonts w:ascii="Times New Roman" w:hAnsi="Times New Roman" w:eastAsia="Times New Roman" w:cs="Times New Roman"/>
          <w:spacing w:val="7"/>
        </w:rPr>
        <w:t>6</w:t>
      </w:r>
      <w:r>
        <w:rPr>
          <w:spacing w:val="7"/>
        </w:rPr>
        <w:t>、社会保险基金预算支出情况</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spacing w:val="7"/>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i w:val="0"/>
          <w:iCs w:val="0"/>
          <w:color w:val="000000"/>
          <w:kern w:val="0"/>
          <w:sz w:val="32"/>
          <w:szCs w:val="32"/>
          <w:u w:val="none"/>
          <w:lang w:val="en-US" w:eastAsia="zh-CN" w:bidi="ar"/>
        </w:rPr>
        <w:t>附件1：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岳阳市图书馆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45</w:t>
            </w:r>
          </w:p>
        </w:tc>
        <w:tc>
          <w:tcPr>
            <w:tcW w:w="232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45</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4</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0.32</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0.33</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0.32</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0.32</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0.33</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539.1</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630.8</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630.8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30.32</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54.28</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94.28</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166.02</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166.02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val="en-US" w:eastAsia="zh-CN"/>
              </w:rPr>
              <w:t>本级</w:t>
            </w:r>
            <w:r>
              <w:rPr>
                <w:rFonts w:hint="eastAsia" w:ascii="宋体" w:hAnsi="宋体" w:eastAsia="宋体" w:cs="宋体"/>
                <w:color w:val="000000"/>
                <w:spacing w:val="2"/>
                <w:sz w:val="24"/>
                <w:szCs w:val="24"/>
              </w:rPr>
              <w:t>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414.5</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410.5</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维护经费（水电和网络服务）</w:t>
            </w:r>
          </w:p>
        </w:tc>
        <w:tc>
          <w:tcPr>
            <w:tcW w:w="181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200</w:t>
            </w:r>
          </w:p>
        </w:tc>
        <w:tc>
          <w:tcPr>
            <w:tcW w:w="232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200</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市图书馆设施设备维护项目</w:t>
            </w:r>
          </w:p>
        </w:tc>
        <w:tc>
          <w:tcPr>
            <w:tcW w:w="181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194.5</w:t>
            </w:r>
          </w:p>
        </w:tc>
        <w:tc>
          <w:tcPr>
            <w:tcW w:w="232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194.5</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市图书馆流动服务车运维项目</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pPr>
              <w:keepNext w:val="0"/>
              <w:keepLines w:val="0"/>
              <w:widowControl/>
              <w:suppressLineNumbers w:val="0"/>
              <w:jc w:val="center"/>
              <w:textAlignment w:val="center"/>
              <w:rPr>
                <w:rFonts w:hint="eastAsia" w:ascii="宋体" w:hAnsi="宋体" w:eastAsia="宋体" w:cs="宋体"/>
                <w:color w:val="000000"/>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市图书馆免费开放项目</w:t>
            </w:r>
          </w:p>
        </w:tc>
        <w:tc>
          <w:tcPr>
            <w:tcW w:w="181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12</w:t>
            </w:r>
          </w:p>
        </w:tc>
        <w:tc>
          <w:tcPr>
            <w:tcW w:w="232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12</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123.37</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69.19</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69.19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8.27</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11.5</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3.39</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4.56</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4.28</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2.23</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2325" w:type="dxa"/>
            <w:gridSpan w:val="2"/>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2325" w:type="dxa"/>
            <w:gridSpan w:val="2"/>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990" w:type="dxa"/>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140" w:type="dxa"/>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1185" w:type="dxa"/>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810" w:type="dxa"/>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c>
          <w:tcPr>
            <w:tcW w:w="869" w:type="dxa"/>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p>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项目在实施过程中，严格控制经费支出，实际总支出不能超出预算</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2025-06-26</w:t>
      </w:r>
    </w:p>
    <w:p>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w:t>
      </w:r>
      <w:r>
        <w:rPr>
          <w:rFonts w:hint="eastAsia" w:ascii="方正小标宋简体" w:hAnsi="方正小标宋简体" w:eastAsia="方正小标宋简体" w:cs="方正小标宋简体"/>
          <w:b w:val="0"/>
          <w:bCs w:val="0"/>
          <w:color w:val="000000"/>
          <w:spacing w:val="2"/>
          <w:sz w:val="42"/>
          <w:szCs w:val="42"/>
          <w:lang w:val="en-US" w:eastAsia="zh-CN"/>
        </w:rPr>
        <w:t>部门</w:t>
      </w:r>
      <w:r>
        <w:rPr>
          <w:rFonts w:hint="eastAsia" w:ascii="方正小标宋简体" w:hAnsi="方正小标宋简体" w:eastAsia="方正小标宋简体" w:cs="方正小标宋简体"/>
          <w:b w:val="0"/>
          <w:bCs w:val="0"/>
          <w:color w:val="000000"/>
          <w:spacing w:val="2"/>
          <w:sz w:val="42"/>
          <w:szCs w:val="42"/>
          <w:lang w:eastAsia="zh-CN"/>
        </w:rPr>
        <w:t>整体支出绩效自评表</w:t>
      </w:r>
    </w:p>
    <w:p>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9"/>
              <w:spacing w:line="239" w:lineRule="exact"/>
              <w:rPr>
                <w:rFonts w:hint="default" w:ascii="宋体" w:hAnsi="宋体" w:eastAsia="宋体" w:cs="宋体"/>
                <w:sz w:val="20"/>
                <w:lang w:val="en-US" w:eastAsia="zh-CN"/>
              </w:rPr>
            </w:pPr>
            <w:r>
              <w:rPr>
                <w:rFonts w:hint="eastAsia" w:ascii="宋体" w:hAnsi="宋体" w:eastAsia="宋体" w:cs="宋体"/>
                <w:sz w:val="20"/>
                <w:lang w:val="en-US" w:eastAsia="zh-CN"/>
              </w:rPr>
              <w:t>岳阳市图书馆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9"/>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sz w:val="20"/>
                <w:lang w:val="en-US" w:eastAsia="zh-CN"/>
              </w:rPr>
              <w:t>962.07</w:t>
            </w:r>
          </w:p>
        </w:tc>
        <w:tc>
          <w:tcPr>
            <w:tcW w:w="1310" w:type="dxa"/>
            <w:noWrap w:val="0"/>
            <w:vAlign w:val="center"/>
          </w:tcPr>
          <w:p>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sz w:val="20"/>
                <w:lang w:val="en-US" w:eastAsia="zh-CN"/>
              </w:rPr>
              <w:t>1806.54</w:t>
            </w:r>
          </w:p>
        </w:tc>
        <w:tc>
          <w:tcPr>
            <w:tcW w:w="1268" w:type="dxa"/>
            <w:noWrap w:val="0"/>
            <w:vAlign w:val="center"/>
          </w:tcPr>
          <w:p>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sz w:val="20"/>
                <w:lang w:val="en-US" w:eastAsia="zh-CN"/>
              </w:rPr>
              <w:t>1596.19</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eastAsia" w:ascii="Times New Roman" w:hAnsi="Times New Roman" w:eastAsia="宋体" w:cs="Times New Roman"/>
                <w:i w:val="0"/>
                <w:iCs w:val="0"/>
                <w:color w:val="000000"/>
                <w:kern w:val="0"/>
                <w:sz w:val="20"/>
                <w:szCs w:val="20"/>
                <w:u w:val="none"/>
                <w:lang w:val="en-US" w:eastAsia="zh-CN" w:bidi="ar"/>
              </w:rPr>
              <w:t>100</w:t>
            </w:r>
            <w:r>
              <w:rPr>
                <w:rFonts w:hint="default" w:ascii="Times New Roman" w:hAnsi="Times New Roman" w:eastAsia="宋体" w:cs="Times New Roman"/>
                <w:i w:val="0"/>
                <w:iCs w:val="0"/>
                <w:color w:val="000000"/>
                <w:kern w:val="0"/>
                <w:sz w:val="20"/>
                <w:szCs w:val="20"/>
                <w:u w:val="none"/>
                <w:lang w:val="en-US" w:eastAsia="zh-CN" w:bidi="ar"/>
              </w:rPr>
              <w:t>%</w:t>
            </w:r>
          </w:p>
        </w:tc>
        <w:tc>
          <w:tcPr>
            <w:tcW w:w="1450" w:type="dxa"/>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1785.92</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906.37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689.82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2.99</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17.62</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242" w:lineRule="auto"/>
              <w:rPr>
                <w:rFonts w:hint="eastAsia" w:ascii="宋体" w:hAnsi="宋体" w:eastAsia="宋体" w:cs="宋体"/>
              </w:rPr>
            </w:pPr>
          </w:p>
          <w:p>
            <w:pPr>
              <w:pStyle w:val="9"/>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top"/>
          </w:tcPr>
          <w:p>
            <w:pPr>
              <w:pStyle w:val="9"/>
              <w:rPr>
                <w:rFonts w:hint="eastAsia" w:ascii="宋体" w:hAnsi="宋体" w:eastAsia="宋体" w:cs="宋体"/>
              </w:rPr>
            </w:pPr>
            <w:r>
              <w:rPr>
                <w:rFonts w:hint="eastAsia" w:ascii="宋体" w:hAnsi="宋体" w:eastAsia="宋体" w:cs="宋体"/>
              </w:rPr>
              <w:t>1.大力推进志愿服务团队建设，参与社会实践活动，进一步做好“爱心图书室”和流动服务工作。</w:t>
            </w:r>
          </w:p>
          <w:p>
            <w:pPr>
              <w:pStyle w:val="9"/>
              <w:rPr>
                <w:rFonts w:hint="eastAsia" w:ascii="宋体" w:hAnsi="宋体" w:eastAsia="宋体" w:cs="宋体"/>
              </w:rPr>
            </w:pPr>
            <w:r>
              <w:rPr>
                <w:rFonts w:hint="eastAsia" w:ascii="宋体" w:hAnsi="宋体" w:eastAsia="宋体" w:cs="宋体"/>
              </w:rPr>
              <w:t>目标2：定期开展少年儿童系列读书活动和各类阅读推广主题活动。微信公众号推出各类线上主题阅读活动。</w:t>
            </w:r>
          </w:p>
          <w:p>
            <w:pPr>
              <w:pStyle w:val="9"/>
              <w:rPr>
                <w:rFonts w:hint="eastAsia" w:ascii="宋体" w:hAnsi="宋体" w:eastAsia="宋体" w:cs="宋体"/>
              </w:rPr>
            </w:pPr>
            <w:r>
              <w:rPr>
                <w:rFonts w:hint="eastAsia" w:ascii="宋体" w:hAnsi="宋体" w:eastAsia="宋体" w:cs="宋体"/>
              </w:rPr>
              <w:t>目标3：推动数字图书馆建设，推进文化信息资源共享，做好24小时自助书屋管理工作。</w:t>
            </w:r>
          </w:p>
          <w:p>
            <w:pPr>
              <w:pStyle w:val="9"/>
              <w:rPr>
                <w:rFonts w:hint="eastAsia" w:ascii="宋体" w:hAnsi="宋体" w:eastAsia="宋体" w:cs="宋体"/>
              </w:rPr>
            </w:pPr>
            <w:r>
              <w:rPr>
                <w:rFonts w:hint="eastAsia" w:ascii="宋体" w:hAnsi="宋体" w:eastAsia="宋体" w:cs="宋体"/>
              </w:rPr>
              <w:t>目标4：加强图书馆事业交流与合作，认真组织开展学会工作。　</w:t>
            </w:r>
          </w:p>
        </w:tc>
        <w:tc>
          <w:tcPr>
            <w:tcW w:w="4307" w:type="dxa"/>
            <w:gridSpan w:val="4"/>
            <w:noWrap w:val="0"/>
            <w:vAlign w:val="top"/>
          </w:tcPr>
          <w:p>
            <w:pPr>
              <w:pStyle w:val="9"/>
              <w:rPr>
                <w:rFonts w:hint="eastAsia" w:ascii="宋体" w:hAnsi="宋体" w:eastAsia="宋体" w:cs="宋体"/>
              </w:rPr>
            </w:pPr>
            <w:r>
              <w:rPr>
                <w:rFonts w:hint="eastAsia" w:ascii="宋体" w:hAnsi="宋体" w:eastAsia="宋体" w:cs="宋体"/>
              </w:rPr>
              <w:t>　1、通过流动服务车走进古井社区、高山坡社区等地，赠送图书共计1.3千余册。</w:t>
            </w:r>
          </w:p>
          <w:p>
            <w:pPr>
              <w:pStyle w:val="9"/>
              <w:rPr>
                <w:rFonts w:hint="eastAsia" w:ascii="宋体" w:hAnsi="宋体" w:eastAsia="宋体" w:cs="宋体"/>
              </w:rPr>
            </w:pPr>
            <w:r>
              <w:rPr>
                <w:rFonts w:hint="eastAsia" w:ascii="宋体" w:hAnsi="宋体" w:eastAsia="宋体" w:cs="宋体"/>
              </w:rPr>
              <w:t>2、开展各类读书活动4</w:t>
            </w:r>
            <w:r>
              <w:rPr>
                <w:rFonts w:hint="eastAsia" w:ascii="宋体" w:hAnsi="宋体" w:eastAsia="宋体" w:cs="宋体"/>
                <w:lang w:val="en-US" w:eastAsia="zh-CN"/>
              </w:rPr>
              <w:t>5</w:t>
            </w:r>
            <w:r>
              <w:rPr>
                <w:rFonts w:hint="eastAsia" w:ascii="宋体" w:hAnsi="宋体" w:eastAsia="宋体" w:cs="宋体"/>
              </w:rPr>
              <w:t>场，参与人数4千余人次。举办各类线上活动</w:t>
            </w:r>
            <w:r>
              <w:rPr>
                <w:rFonts w:hint="eastAsia" w:ascii="宋体" w:hAnsi="宋体" w:eastAsia="宋体" w:cs="宋体"/>
                <w:lang w:val="en-US" w:eastAsia="zh-CN"/>
              </w:rPr>
              <w:t>40</w:t>
            </w:r>
            <w:r>
              <w:rPr>
                <w:rFonts w:hint="eastAsia" w:ascii="宋体" w:hAnsi="宋体" w:eastAsia="宋体" w:cs="宋体"/>
              </w:rPr>
              <w:t>余次，阅读推文200余条。</w:t>
            </w:r>
          </w:p>
          <w:p>
            <w:pPr>
              <w:pStyle w:val="9"/>
              <w:rPr>
                <w:rFonts w:hint="eastAsia" w:ascii="宋体" w:hAnsi="宋体" w:eastAsia="宋体" w:cs="宋体"/>
              </w:rPr>
            </w:pPr>
            <w:r>
              <w:rPr>
                <w:rFonts w:hint="eastAsia" w:ascii="宋体" w:hAnsi="宋体" w:eastAsia="宋体" w:cs="宋体"/>
              </w:rPr>
              <w:t>3、建有地方图书、地方报纸、图书馆公开课、政府公开信息、网事典藏等5个自建数字资源；共有四座24小时自助图书馆，藏书共计</w:t>
            </w:r>
            <w:r>
              <w:rPr>
                <w:rFonts w:hint="eastAsia" w:ascii="宋体" w:hAnsi="宋体" w:eastAsia="宋体" w:cs="宋体"/>
                <w:lang w:val="en-US" w:eastAsia="zh-CN"/>
              </w:rPr>
              <w:t>7</w:t>
            </w:r>
            <w:r>
              <w:rPr>
                <w:rFonts w:hint="eastAsia" w:ascii="宋体" w:hAnsi="宋体" w:eastAsia="宋体" w:cs="宋体"/>
              </w:rPr>
              <w:t>千余册。</w:t>
            </w:r>
          </w:p>
          <w:p>
            <w:pPr>
              <w:pStyle w:val="9"/>
              <w:rPr>
                <w:rFonts w:hint="eastAsia" w:ascii="宋体" w:hAnsi="宋体" w:eastAsia="宋体" w:cs="宋体"/>
              </w:rPr>
            </w:pPr>
            <w:r>
              <w:rPr>
                <w:rFonts w:hint="eastAsia" w:ascii="宋体" w:hAnsi="宋体" w:eastAsia="宋体" w:cs="宋体"/>
              </w:rPr>
              <w:t>4、图书馆学会组织《五月端阳话屈原》宣讲活动；积极组织中图学会各类线上线下培训，持续推进全民阅读；组织参与《中国图书馆年鉴202</w:t>
            </w:r>
            <w:r>
              <w:rPr>
                <w:rFonts w:hint="eastAsia" w:ascii="宋体" w:hAnsi="宋体" w:eastAsia="宋体" w:cs="宋体"/>
                <w:lang w:val="en-US" w:eastAsia="zh-CN"/>
              </w:rPr>
              <w:t>4</w:t>
            </w:r>
            <w:r>
              <w:rPr>
                <w:rFonts w:hint="eastAsia" w:ascii="宋体" w:hAnsi="宋体" w:eastAsia="宋体" w:cs="宋体"/>
              </w:rPr>
              <w:t>卷》编撰工作，圆满完成岳阳市图书馆相关词条的编写，助力图书馆事业。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pPr>
              <w:pStyle w:val="9"/>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auto" w:sz="4" w:space="0"/>
            </w:tcBorders>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auto" w:sz="4"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bottom w:val="single" w:color="auto" w:sz="4"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bottom w:val="single" w:color="auto" w:sz="4"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bottom w:val="single" w:color="auto" w:sz="4" w:space="0"/>
            </w:tcBorders>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pPr>
              <w:pStyle w:val="9"/>
              <w:spacing w:line="272" w:lineRule="auto"/>
              <w:rPr>
                <w:rFonts w:hint="eastAsia" w:ascii="宋体" w:hAnsi="宋体" w:eastAsia="宋体" w:cs="宋体"/>
              </w:rPr>
            </w:pPr>
          </w:p>
          <w:p>
            <w:pPr>
              <w:pStyle w:val="9"/>
              <w:spacing w:line="272" w:lineRule="auto"/>
              <w:rPr>
                <w:rFonts w:hint="eastAsia" w:ascii="宋体" w:hAnsi="宋体" w:eastAsia="宋体" w:cs="宋体"/>
              </w:rPr>
            </w:pPr>
          </w:p>
          <w:p>
            <w:pPr>
              <w:pStyle w:val="9"/>
              <w:spacing w:line="272" w:lineRule="auto"/>
              <w:rPr>
                <w:rFonts w:hint="eastAsia" w:ascii="宋体" w:hAnsi="宋体" w:eastAsia="宋体" w:cs="宋体"/>
              </w:rPr>
            </w:pPr>
          </w:p>
          <w:p>
            <w:pPr>
              <w:pStyle w:val="9"/>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9"/>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1.全民阅读推广活动32场2.少儿活动39场3.数字图书建设100%4.图书馆业务建设100%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1.全民阅读推广活动35场2.少儿活动40场3.数字图书建设100%4.图书馆业务建设100%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1.全民阅读推广活动32场2.少儿活动39场3.数字图书建设100%4.图书馆业务建设100%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9"/>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"1、《公共图书馆法》 2、《公共文化服务保障法》"</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各项工作依法开展完成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1、《公共图书馆法》 2、《公共文化服务保障法》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9"/>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1、按照全年目标管理任务规定</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完成202</w:t>
            </w:r>
            <w:r>
              <w:rPr>
                <w:rFonts w:hint="eastAsia" w:ascii="仿宋_GB2312" w:hAnsi="宋体" w:eastAsia="仿宋_GB2312" w:cs="仿宋_GB2312"/>
                <w:i w:val="0"/>
                <w:iCs w:val="0"/>
                <w:color w:val="000000"/>
                <w:kern w:val="0"/>
                <w:sz w:val="20"/>
                <w:szCs w:val="20"/>
                <w:u w:val="none"/>
                <w:lang w:val="en-US" w:eastAsia="zh-CN" w:bidi="ar"/>
              </w:rPr>
              <w:t>4</w:t>
            </w:r>
            <w:r>
              <w:rPr>
                <w:rFonts w:hint="default" w:ascii="仿宋_GB2312" w:hAnsi="宋体" w:eastAsia="仿宋_GB2312" w:cs="仿宋_GB2312"/>
                <w:i w:val="0"/>
                <w:iCs w:val="0"/>
                <w:color w:val="000000"/>
                <w:kern w:val="0"/>
                <w:sz w:val="20"/>
                <w:szCs w:val="20"/>
                <w:u w:val="none"/>
                <w:lang w:val="en-US" w:eastAsia="zh-CN" w:bidi="ar"/>
              </w:rPr>
              <w:t>年度工作</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1、按照全年目标管理任务规定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9"/>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1、论坛核算，落实相关规定</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完成202</w:t>
            </w:r>
            <w:r>
              <w:rPr>
                <w:rFonts w:hint="eastAsia" w:ascii="仿宋_GB2312" w:hAnsi="宋体" w:eastAsia="仿宋_GB2312" w:cs="仿宋_GB2312"/>
                <w:i w:val="0"/>
                <w:iCs w:val="0"/>
                <w:color w:val="000000"/>
                <w:kern w:val="0"/>
                <w:sz w:val="20"/>
                <w:szCs w:val="20"/>
                <w:u w:val="none"/>
                <w:lang w:val="en-US" w:eastAsia="zh-CN" w:bidi="ar"/>
              </w:rPr>
              <w:t>4</w:t>
            </w:r>
            <w:r>
              <w:rPr>
                <w:rFonts w:hint="default" w:ascii="仿宋_GB2312" w:hAnsi="宋体" w:eastAsia="仿宋_GB2312" w:cs="仿宋_GB2312"/>
                <w:i w:val="0"/>
                <w:iCs w:val="0"/>
                <w:color w:val="000000"/>
                <w:kern w:val="0"/>
                <w:sz w:val="20"/>
                <w:szCs w:val="20"/>
                <w:u w:val="none"/>
                <w:lang w:val="en-US" w:eastAsia="zh-CN" w:bidi="ar"/>
              </w:rPr>
              <w:t>年度工作</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1、论坛核算，落实相关规定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9"/>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通过组织实施全民阅读，营造全市良好的阅读氛围，带动文化事业发展.</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完成全年各项资金支出进度要求，保障各项工作顺利开展。</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通过组织实施全民阅读，营造全市良好的阅读氛围，带动文化事业发展.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9"/>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"1、丰富全市人民精神文化生活，提供多元化公共文化服务产品； 2、组织实施读书活动实现社会效益和经济效益相统一。"</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完成全年各项资金支出进度要求，保障各项工作顺利开展。</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"1、丰富全市人民精神文化生活，提供多元化公共文化服务产品； 2、组织实施读书活动实现社会效益和经济效益相统一。"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9"/>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治理环境污染、美化室内环境</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环境无影响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治理环境污染、美化室内环境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打造岳阳文化名片，提升全民阅质量，助推岳阳文化事业转型升级。</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完成全年各项资金支出进度要求，保障各项工作顺利开展。</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打造岳阳文化名片，提升全民阅质量，助推岳阳文化事业转型升级。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tcBorders>
              <w:bottom w:val="nil"/>
              <w:right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力争使全市人民对岳阳市图书馆的服务水平及质量满意度达到较好水平。</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满意度100%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力争使全市人民对岳阳市图书馆的服务水平及质量满意度达到较好水平。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noWrap w:val="0"/>
            <w:vAlign w:val="top"/>
          </w:tcPr>
          <w:p>
            <w:pPr>
              <w:pStyle w:val="9"/>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5"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2025-06-26</w:t>
      </w:r>
    </w:p>
    <w:p>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9"/>
              <w:rPr>
                <w:rFonts w:hint="eastAsia" w:ascii="宋体" w:hAnsi="宋体" w:eastAsia="宋体" w:cs="宋体"/>
              </w:rPr>
            </w:pPr>
            <w:r>
              <w:rPr>
                <w:rFonts w:hint="eastAsia" w:eastAsia="仿宋_GB2312"/>
                <w:kern w:val="0"/>
                <w:sz w:val="24"/>
                <w:lang w:val="en-US" w:eastAsia="zh-CN"/>
              </w:rPr>
              <w:t>市图书馆</w:t>
            </w:r>
            <w:r>
              <w:rPr>
                <w:rFonts w:hint="eastAsia" w:eastAsia="仿宋_GB2312"/>
                <w:kern w:val="0"/>
                <w:sz w:val="24"/>
              </w:rPr>
              <w:t>流动服务车</w:t>
            </w:r>
            <w:r>
              <w:rPr>
                <w:rFonts w:hint="eastAsia" w:eastAsia="仿宋_GB2312"/>
                <w:kern w:val="0"/>
                <w:sz w:val="24"/>
                <w:lang w:val="en-US" w:eastAsia="zh-CN"/>
              </w:rPr>
              <w:t>运维项目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9"/>
              <w:rPr>
                <w:rFonts w:hint="eastAsia" w:ascii="宋体" w:hAnsi="宋体" w:eastAsia="宋体" w:cs="宋体"/>
              </w:rPr>
            </w:pP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9"/>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244"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281"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673" w:type="dxa"/>
            <w:noWrap w:val="0"/>
            <w:vAlign w:val="top"/>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244"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281"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673" w:type="dxa"/>
            <w:shd w:val="clear" w:color="auto" w:fill="auto"/>
            <w:noWrap w:val="0"/>
            <w:vAlign w:val="top"/>
          </w:tcPr>
          <w:p>
            <w:pPr>
              <w:spacing w:before="64" w:line="195" w:lineRule="auto"/>
              <w:ind w:left="331"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8"/>
                <w:sz w:val="19"/>
                <w:szCs w:val="19"/>
              </w:rPr>
              <w:t>10</w:t>
            </w:r>
          </w:p>
        </w:tc>
        <w:tc>
          <w:tcPr>
            <w:tcW w:w="873" w:type="dxa"/>
            <w:shd w:val="clear" w:color="auto" w:fill="auto"/>
            <w:noWrap w:val="0"/>
            <w:vAlign w:val="top"/>
          </w:tcPr>
          <w:p>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1422" w:type="dxa"/>
            <w:shd w:val="clear" w:color="auto" w:fill="auto"/>
            <w:noWrap w:val="0"/>
            <w:vAlign w:val="top"/>
          </w:tcPr>
          <w:p>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522" w:type="dxa"/>
            <w:gridSpan w:val="4"/>
            <w:noWrap w:val="0"/>
            <w:vAlign w:val="top"/>
          </w:tcPr>
          <w:p>
            <w:pPr>
              <w:pStyle w:val="9"/>
              <w:rPr>
                <w:rFonts w:hint="eastAsia" w:ascii="宋体" w:hAnsi="宋体" w:eastAsia="宋体" w:cs="宋体"/>
              </w:rPr>
            </w:pPr>
            <w:r>
              <w:rPr>
                <w:rFonts w:hint="eastAsia" w:ascii="宋体" w:hAnsi="宋体" w:eastAsia="宋体" w:cs="宋体"/>
              </w:rPr>
              <w:t>流动服务车运维项目配套资金</w:t>
            </w:r>
            <w:r>
              <w:rPr>
                <w:rFonts w:hint="eastAsia" w:ascii="宋体" w:hAnsi="宋体" w:eastAsia="宋体" w:cs="宋体"/>
                <w:lang w:val="en-US" w:eastAsia="zh-CN"/>
              </w:rPr>
              <w:t>4</w:t>
            </w:r>
            <w:r>
              <w:rPr>
                <w:rFonts w:hint="eastAsia" w:ascii="宋体" w:hAnsi="宋体" w:eastAsia="宋体" w:cs="宋体"/>
              </w:rPr>
              <w:t>万元。加强服务管理，充分发挥流动服务车作用，为广大市民提供全民阅读流动服务，丰富全市人民精神文化生活</w:t>
            </w:r>
          </w:p>
        </w:tc>
        <w:tc>
          <w:tcPr>
            <w:tcW w:w="4249" w:type="dxa"/>
            <w:gridSpan w:val="4"/>
            <w:noWrap w:val="0"/>
            <w:vAlign w:val="top"/>
          </w:tcPr>
          <w:p>
            <w:pPr>
              <w:pStyle w:val="9"/>
              <w:rPr>
                <w:rFonts w:hint="eastAsia" w:ascii="宋体" w:hAnsi="宋体" w:eastAsia="宋体" w:cs="宋体"/>
              </w:rPr>
            </w:pPr>
            <w:r>
              <w:rPr>
                <w:rFonts w:hint="eastAsia" w:ascii="宋体" w:hAnsi="宋体" w:eastAsia="宋体" w:cs="宋体"/>
              </w:rPr>
              <w:t>严格控制费用支出，在预算范围内保障流动服务车的正常使用，提高车辆及车内设备的完好率，更好地为推广全民阅读服务。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9"/>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bookmarkStart w:id="0" w:name="_GoBack"/>
            <w:bookmarkEnd w:id="0"/>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按活动出车率</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　</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按活动出车率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在预算范围内保障流动服务车的正常使用，提高车辆及车内设备的完好率达到95％</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达到95％</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9.50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在预算范围内保障流动服务车的正常使用，提高车辆及车内设备的完好率达到95％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4"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充分发挥流动服务车作用，为广大市民提供全民阅读流动服务</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2023年　</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充分发挥流动服务车作用，为广大市民提供全民阅读流动服务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8万元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提升市民文化生活</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符合环保标准，对环境无影响</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完成各项工作</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符合环保标准，对环境无影响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保障公共文化服务质效，加强全民阅读活动推广。</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提升全民阅读推广</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保障公共文化服务质效，加强全民阅读活动推广。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95</w:t>
            </w:r>
          </w:p>
        </w:tc>
        <w:tc>
          <w:tcPr>
            <w:tcW w:w="1422" w:type="dxa"/>
            <w:noWrap w:val="0"/>
            <w:vAlign w:val="top"/>
          </w:tcPr>
          <w:p>
            <w:pPr>
              <w:pStyle w:val="9"/>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6"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2025-06-26</w:t>
      </w:r>
    </w:p>
    <w:p>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9"/>
              <w:rPr>
                <w:rFonts w:hint="eastAsia" w:ascii="宋体" w:hAnsi="宋体" w:eastAsia="宋体" w:cs="宋体"/>
              </w:rPr>
            </w:pPr>
            <w:r>
              <w:rPr>
                <w:rFonts w:hint="eastAsia" w:eastAsia="仿宋_GB2312"/>
                <w:kern w:val="0"/>
                <w:sz w:val="24"/>
                <w:lang w:val="en-US" w:eastAsia="zh-CN"/>
              </w:rPr>
              <w:t>市图书馆免费开放项目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9"/>
              <w:rPr>
                <w:rFonts w:hint="eastAsia" w:ascii="宋体" w:hAnsi="宋体" w:eastAsia="宋体" w:cs="宋体"/>
              </w:rPr>
            </w:pP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9"/>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1244"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1281"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673" w:type="dxa"/>
            <w:noWrap w:val="0"/>
            <w:vAlign w:val="top"/>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1244"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1281"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673" w:type="dxa"/>
            <w:shd w:val="clear" w:color="auto" w:fill="auto"/>
            <w:noWrap w:val="0"/>
            <w:vAlign w:val="top"/>
          </w:tcPr>
          <w:p>
            <w:pPr>
              <w:spacing w:before="64" w:line="195" w:lineRule="auto"/>
              <w:ind w:left="331"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8"/>
                <w:sz w:val="19"/>
                <w:szCs w:val="19"/>
              </w:rPr>
              <w:t>10</w:t>
            </w:r>
          </w:p>
        </w:tc>
        <w:tc>
          <w:tcPr>
            <w:tcW w:w="873" w:type="dxa"/>
            <w:shd w:val="clear" w:color="auto" w:fill="auto"/>
            <w:noWrap w:val="0"/>
            <w:vAlign w:val="top"/>
          </w:tcPr>
          <w:p>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1422" w:type="dxa"/>
            <w:shd w:val="clear" w:color="auto" w:fill="auto"/>
            <w:noWrap w:val="0"/>
            <w:vAlign w:val="top"/>
          </w:tcPr>
          <w:p>
            <w:pPr>
              <w:pStyle w:val="9"/>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522" w:type="dxa"/>
            <w:gridSpan w:val="4"/>
            <w:noWrap w:val="0"/>
            <w:vAlign w:val="top"/>
          </w:tcPr>
          <w:p>
            <w:pPr>
              <w:pStyle w:val="9"/>
              <w:rPr>
                <w:rFonts w:hint="eastAsia" w:ascii="宋体" w:hAnsi="宋体" w:eastAsia="宋体" w:cs="宋体"/>
              </w:rPr>
            </w:pPr>
            <w:r>
              <w:rPr>
                <w:rFonts w:hint="eastAsia" w:ascii="宋体" w:hAnsi="宋体" w:eastAsia="宋体" w:cs="宋体"/>
              </w:rPr>
              <w:t>免费开放配套资金12万元。不断增强服务水平和管理能力，认真贯彻落实关于加强公共图书馆免费开放政策。提高图书馆运营管理能力和公共服务水平，满足人民群众日益增长的文化需求，保障文化部门所需大型文化场馆向社会免费开放。</w:t>
            </w:r>
          </w:p>
        </w:tc>
        <w:tc>
          <w:tcPr>
            <w:tcW w:w="4249" w:type="dxa"/>
            <w:gridSpan w:val="4"/>
            <w:noWrap w:val="0"/>
            <w:vAlign w:val="top"/>
          </w:tcPr>
          <w:p>
            <w:pPr>
              <w:pStyle w:val="9"/>
              <w:rPr>
                <w:rFonts w:hint="eastAsia" w:ascii="宋体" w:hAnsi="宋体" w:eastAsia="宋体" w:cs="宋体"/>
              </w:rPr>
            </w:pPr>
            <w:r>
              <w:rPr>
                <w:rFonts w:hint="eastAsia" w:ascii="宋体" w:hAnsi="宋体" w:eastAsia="宋体" w:cs="宋体"/>
              </w:rPr>
              <w:t>不断增强服务水平和管理能力，认真贯彻落实关于加强公共图书馆免费开放政策。提高图书馆运营管理能力和公共服务水平，满足人民群众日益增长的文化需求，推进文化部门所需大型文化场馆向社会免费开放。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9"/>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预约进馆达到100%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达到100%　</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预约进馆达到100%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全馆图册达到标准</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达到标准</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全馆图册达到标准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4"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每周二至周日9：00-17：00开放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正常开放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每周二至周日9：00-17：00开放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12万元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组织实施全民阅读，营造全市良好的阅读氛围，带动文化事业发展，丰富读者文化生活。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提升全民阅读</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组织实施全民阅读，营造全市良好的阅读氛围，带动文化事业发展，丰富读者文化生活。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治理环境污染、美化室内环境</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提升室内环境</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治理环境污染、美化室内环境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提高市民业余文化生活质量，彰显我市文化历史名城特色</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提升我市文化特色</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提高市民业余文化生活质量，彰显我市文化历史名城特色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7"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2025-06-26</w:t>
      </w:r>
    </w:p>
    <w:p>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9"/>
              <w:rPr>
                <w:rFonts w:hint="eastAsia" w:ascii="宋体" w:hAnsi="宋体" w:eastAsia="宋体" w:cs="宋体"/>
              </w:rPr>
            </w:pPr>
            <w:r>
              <w:rPr>
                <w:rFonts w:hint="eastAsia" w:eastAsia="仿宋_GB2312"/>
                <w:kern w:val="0"/>
                <w:sz w:val="24"/>
                <w:lang w:val="en-US" w:eastAsia="zh-CN"/>
              </w:rPr>
              <w:t>市图书馆设施设备维护项目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9"/>
              <w:rPr>
                <w:rFonts w:hint="eastAsia" w:ascii="宋体" w:hAnsi="宋体" w:eastAsia="宋体" w:cs="宋体"/>
              </w:rPr>
            </w:pP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9"/>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1244"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1281"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673" w:type="dxa"/>
            <w:noWrap w:val="0"/>
            <w:vAlign w:val="top"/>
          </w:tcPr>
          <w:p>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1244"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1281"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673" w:type="dxa"/>
            <w:shd w:val="clear" w:color="auto" w:fill="auto"/>
            <w:noWrap w:val="0"/>
            <w:vAlign w:val="top"/>
          </w:tcPr>
          <w:p>
            <w:pPr>
              <w:spacing w:before="64" w:line="195" w:lineRule="auto"/>
              <w:ind w:left="331" w:leftChars="0"/>
              <w:rPr>
                <w:rFonts w:hint="eastAsia" w:ascii="宋体" w:hAnsi="宋体" w:eastAsia="宋体" w:cs="宋体"/>
                <w:kern w:val="2"/>
                <w:sz w:val="19"/>
                <w:szCs w:val="19"/>
                <w:lang w:val="en-US" w:eastAsia="zh-CN" w:bidi="ar-SA"/>
              </w:rPr>
            </w:pPr>
            <w:r>
              <w:rPr>
                <w:rFonts w:hint="eastAsia" w:ascii="宋体" w:hAnsi="宋体" w:eastAsia="宋体" w:cs="宋体"/>
                <w:spacing w:val="-8"/>
                <w:sz w:val="19"/>
                <w:szCs w:val="19"/>
              </w:rPr>
              <w:t>10</w:t>
            </w:r>
          </w:p>
        </w:tc>
        <w:tc>
          <w:tcPr>
            <w:tcW w:w="873" w:type="dxa"/>
            <w:shd w:val="clear" w:color="auto" w:fill="auto"/>
            <w:noWrap w:val="0"/>
            <w:vAlign w:val="top"/>
          </w:tcPr>
          <w:p>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1422" w:type="dxa"/>
            <w:shd w:val="clear" w:color="auto" w:fill="auto"/>
            <w:noWrap w:val="0"/>
            <w:vAlign w:val="top"/>
          </w:tcPr>
          <w:p>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522" w:type="dxa"/>
            <w:gridSpan w:val="4"/>
            <w:noWrap w:val="0"/>
            <w:vAlign w:val="top"/>
          </w:tcPr>
          <w:p>
            <w:pPr>
              <w:pStyle w:val="9"/>
              <w:rPr>
                <w:rFonts w:hint="eastAsia" w:ascii="宋体" w:hAnsi="宋体" w:eastAsia="宋体" w:cs="宋体"/>
                <w:lang w:eastAsia="zh-CN"/>
              </w:rPr>
            </w:pPr>
            <w:r>
              <w:rPr>
                <w:rFonts w:hint="eastAsia" w:ascii="宋体" w:hAnsi="宋体" w:eastAsia="宋体" w:cs="宋体"/>
              </w:rPr>
              <w:t>在预算范围内依据我馆“三定方案”所赋予的职能职责，按规定进行相关设施设备维护保养，确保馆属设施设备正常运转，提供多元化公共文化服务产品，丰富全市人民精神文化生活，彰显我馆的文化价值</w:t>
            </w:r>
            <w:r>
              <w:rPr>
                <w:rFonts w:hint="eastAsia" w:ascii="宋体" w:hAnsi="宋体" w:eastAsia="宋体" w:cs="宋体"/>
                <w:lang w:eastAsia="zh-CN"/>
              </w:rPr>
              <w:t>。</w:t>
            </w:r>
          </w:p>
        </w:tc>
        <w:tc>
          <w:tcPr>
            <w:tcW w:w="4249" w:type="dxa"/>
            <w:gridSpan w:val="4"/>
            <w:noWrap w:val="0"/>
            <w:vAlign w:val="top"/>
          </w:tcPr>
          <w:p>
            <w:pPr>
              <w:pStyle w:val="9"/>
              <w:rPr>
                <w:rFonts w:hint="eastAsia" w:ascii="宋体" w:hAnsi="宋体" w:eastAsia="宋体" w:cs="宋体"/>
              </w:rPr>
            </w:pPr>
            <w:r>
              <w:rPr>
                <w:rFonts w:hint="eastAsia" w:ascii="宋体" w:hAnsi="宋体" w:eastAsia="宋体" w:cs="宋体"/>
              </w:rPr>
              <w:t>本着科学合理、节约适用的原则，在预算范围内按规定进行设施设备维护保养，确保本年度馆属设施设备运转正常，为广大市民提供多元化公共文化服务产品，丰富全市人民精神文化生活。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9"/>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1.设备设施采购 2.设备设施部件更换 3.设备设施维护保养 4.设备设施故障维修      系统维护每年一次，系统维护每半年维护一次</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1.设备设施采购 2.设备设施部件更换 3.设备设施维护保养 4.设备设施故障维修      系统维护每年一次，系统维护每半年维护一次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及时进行维护保养，确保馆属设施设备运转正常</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正常运转</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9.98</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及时进行维护保养，确保馆属设施设备运转正常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4"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在预算范围内按规定进行设施设备维护保养，确保本年度馆属设施设备运转正常，为广大市民提供多元化公共文化服务产品，丰富全市人民精神文化生活。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2024年度</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在预算范围内按规定进行设施设备维护保养，确保本年度馆属设施设备运转正常，为广大市民提供多元化公共文化服务产品，丰富全市人民精神文化生活。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194.5万元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提升市民文化生活</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符合环保标准，对环境无影响</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达到标准</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符合环保标准，对环境无影响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保障公共文化服务质效，提高市民业余文化生活质量，彰显我市文化历史名城特色</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持续彰显我市文化</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保障公共文化服务质效，提高市民业余文化生活质量，彰显我市文化历史名城特色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8"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2025-06-26</w:t>
      </w:r>
    </w:p>
    <w:p>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9"/>
              <w:rPr>
                <w:rFonts w:hint="eastAsia" w:ascii="宋体" w:hAnsi="宋体" w:eastAsia="宋体" w:cs="宋体"/>
              </w:rPr>
            </w:pPr>
            <w:r>
              <w:rPr>
                <w:rFonts w:hint="eastAsia" w:eastAsia="仿宋_GB2312"/>
                <w:kern w:val="0"/>
                <w:sz w:val="24"/>
                <w:lang w:val="en-US" w:eastAsia="zh-CN"/>
              </w:rPr>
              <w:t>维护经费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9"/>
              <w:rPr>
                <w:rFonts w:hint="eastAsia" w:ascii="宋体" w:hAnsi="宋体" w:eastAsia="宋体" w:cs="宋体"/>
              </w:rPr>
            </w:pP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9"/>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1244"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1281"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673" w:type="dxa"/>
            <w:noWrap w:val="0"/>
            <w:vAlign w:val="top"/>
          </w:tcPr>
          <w:p>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1244"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1281" w:type="dxa"/>
            <w:noWrap w:val="0"/>
            <w:vAlign w:val="center"/>
          </w:tcPr>
          <w:p>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673" w:type="dxa"/>
            <w:shd w:val="clear" w:color="auto" w:fill="auto"/>
            <w:noWrap w:val="0"/>
            <w:vAlign w:val="top"/>
          </w:tcPr>
          <w:p>
            <w:pPr>
              <w:spacing w:before="64" w:line="195" w:lineRule="auto"/>
              <w:ind w:left="331" w:leftChars="0"/>
              <w:rPr>
                <w:rFonts w:hint="eastAsia" w:ascii="宋体" w:hAnsi="宋体" w:eastAsia="宋体" w:cs="宋体"/>
                <w:kern w:val="2"/>
                <w:sz w:val="19"/>
                <w:szCs w:val="19"/>
                <w:lang w:val="en-US" w:eastAsia="zh-CN" w:bidi="ar-SA"/>
              </w:rPr>
            </w:pPr>
            <w:r>
              <w:rPr>
                <w:rFonts w:hint="eastAsia" w:ascii="宋体" w:hAnsi="宋体" w:eastAsia="宋体" w:cs="宋体"/>
                <w:spacing w:val="-8"/>
                <w:sz w:val="19"/>
                <w:szCs w:val="19"/>
              </w:rPr>
              <w:t>10</w:t>
            </w:r>
          </w:p>
        </w:tc>
        <w:tc>
          <w:tcPr>
            <w:tcW w:w="873" w:type="dxa"/>
            <w:shd w:val="clear" w:color="auto" w:fill="auto"/>
            <w:noWrap w:val="0"/>
            <w:vAlign w:val="top"/>
          </w:tcPr>
          <w:p>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1422" w:type="dxa"/>
            <w:shd w:val="clear" w:color="auto" w:fill="auto"/>
            <w:noWrap w:val="0"/>
            <w:vAlign w:val="top"/>
          </w:tcPr>
          <w:p>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522" w:type="dxa"/>
            <w:gridSpan w:val="4"/>
            <w:noWrap w:val="0"/>
            <w:vAlign w:val="top"/>
          </w:tcPr>
          <w:p>
            <w:pPr>
              <w:pStyle w:val="9"/>
              <w:rPr>
                <w:rFonts w:hint="eastAsia" w:ascii="宋体" w:hAnsi="宋体" w:eastAsia="宋体" w:cs="宋体"/>
                <w:lang w:eastAsia="zh-CN"/>
              </w:rPr>
            </w:pPr>
            <w:r>
              <w:rPr>
                <w:rFonts w:hint="eastAsia" w:ascii="宋体" w:hAnsi="宋体" w:eastAsia="宋体" w:cs="宋体"/>
              </w:rPr>
              <w:t>水电和网络服务项目预算资金200万元。严格控制费用支出，在预算范围内按规定保障岳阳市图书馆水电及网络信息化设备和应用软件的正常使用。</w:t>
            </w:r>
          </w:p>
        </w:tc>
        <w:tc>
          <w:tcPr>
            <w:tcW w:w="4249" w:type="dxa"/>
            <w:gridSpan w:val="4"/>
            <w:noWrap w:val="0"/>
            <w:vAlign w:val="top"/>
          </w:tcPr>
          <w:p>
            <w:pPr>
              <w:pStyle w:val="9"/>
              <w:rPr>
                <w:rFonts w:hint="eastAsia" w:ascii="宋体" w:hAnsi="宋体" w:eastAsia="宋体" w:cs="宋体"/>
              </w:rPr>
            </w:pPr>
            <w:r>
              <w:rPr>
                <w:rFonts w:hint="eastAsia" w:ascii="宋体" w:hAnsi="宋体" w:eastAsia="宋体" w:cs="宋体"/>
              </w:rPr>
              <w:t>严格控制费用支出，在预算范围内按规定保障岳阳市图书馆水电及网络信息化设备和应用软件的正常使用。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9"/>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《岳阳市图书馆水电使用管理制度》</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按每月产生费用实际支付　</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《岳阳市图书馆水电使用管理制度》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保障岳阳市图书馆水电及网络信息化设备和应用软件等正常使用。</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水电及网络正常运转</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保障岳阳市图书馆水电及网络信息化设备和应用软件等正常使用。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4"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及时缴纳费用，保证正常运转</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2023年度</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及时缴纳费用，保证正常运转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200.00万元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提升文化生活</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治理环境污染、美化室内环境</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提升室内环境</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治理环境污染、美化室内环境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pPr>
              <w:pStyle w:val="9"/>
              <w:rPr>
                <w:rFonts w:hint="eastAsia" w:ascii="宋体" w:hAnsi="宋体" w:eastAsia="宋体" w:cs="宋体"/>
              </w:rPr>
            </w:pPr>
          </w:p>
        </w:tc>
        <w:tc>
          <w:tcPr>
            <w:tcW w:w="955" w:type="dxa"/>
            <w:tcBorders>
              <w:top w:val="single" w:color="auto" w:sz="4" w:space="0"/>
              <w:left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保障公共文化服务质效，加强全民阅读推广。</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持续推广全民阅读</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保障公共文化服务质效，加强全民阅读推广。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9"/>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9"/>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9"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2025-06-26</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313" w:beforeLines="10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trHeight w:val="996" w:hRule="atLeast"/>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trHeight w:val="1320" w:hRule="atLeast"/>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592"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52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78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63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spacing w:line="20" w:lineRule="exact"/>
        <w:ind w:firstLine="0"/>
        <w:jc w:val="left"/>
        <w:rPr>
          <w:rFonts w:ascii="仿宋_GB2312" w:eastAsia="仿宋_GB2312"/>
          <w:sz w:val="32"/>
          <w:szCs w:val="32"/>
        </w:rPr>
      </w:pPr>
    </w:p>
    <w:p>
      <w:pPr>
        <w:spacing w:line="20" w:lineRule="exact"/>
        <w:ind w:firstLine="0"/>
        <w:jc w:val="left"/>
        <w:rPr>
          <w:rFonts w:ascii="仿宋_GB2312" w:eastAsia="仿宋_GB2312"/>
          <w:sz w:val="32"/>
          <w:szCs w:val="32"/>
        </w:rPr>
      </w:pPr>
    </w:p>
    <w:p>
      <w:pPr>
        <w:spacing w:line="20" w:lineRule="exact"/>
        <w:ind w:firstLine="0"/>
        <w:jc w:val="left"/>
        <w:rPr>
          <w:rFonts w:ascii="仿宋_GB2312" w:eastAsia="仿宋_GB2312"/>
          <w:sz w:val="32"/>
          <w:szCs w:val="32"/>
        </w:rPr>
      </w:pPr>
    </w:p>
    <w:p>
      <w:pPr>
        <w:spacing w:line="20" w:lineRule="exact"/>
        <w:ind w:firstLine="0"/>
        <w:jc w:val="left"/>
        <w:rPr>
          <w:rFonts w:ascii="仿宋_GB2312" w:eastAsia="仿宋_GB2312"/>
          <w:sz w:val="32"/>
          <w:szCs w:val="32"/>
        </w:rPr>
      </w:pPr>
    </w:p>
    <w:p>
      <w:pPr>
        <w:spacing w:line="20" w:lineRule="exact"/>
        <w:ind w:firstLine="0"/>
        <w:jc w:val="left"/>
        <w:rPr>
          <w:rFonts w:ascii="仿宋_GB2312" w:eastAsia="仿宋_GB2312"/>
          <w:sz w:val="32"/>
          <w:szCs w:val="32"/>
        </w:rPr>
      </w:pPr>
    </w:p>
    <w:p>
      <w:pPr>
        <w:spacing w:line="20" w:lineRule="exact"/>
        <w:ind w:firstLine="0"/>
        <w:jc w:val="left"/>
        <w:rPr>
          <w:rFonts w:ascii="仿宋_GB2312" w:eastAsia="仿宋_GB2312"/>
          <w:sz w:val="32"/>
          <w:szCs w:val="32"/>
        </w:rPr>
      </w:pPr>
    </w:p>
    <w:p>
      <w:pPr>
        <w:spacing w:line="20" w:lineRule="exact"/>
        <w:ind w:firstLine="0"/>
        <w:jc w:val="left"/>
        <w:rPr>
          <w:rFonts w:ascii="仿宋_GB2312" w:eastAsia="仿宋_GB2312"/>
          <w:sz w:val="32"/>
          <w:szCs w:val="32"/>
        </w:rPr>
      </w:pPr>
    </w:p>
    <w:p>
      <w:pPr>
        <w:spacing w:line="20" w:lineRule="exact"/>
        <w:ind w:firstLine="0"/>
        <w:jc w:val="left"/>
        <w:rPr>
          <w:rFonts w:ascii="仿宋_GB2312" w:eastAsia="仿宋_GB2312"/>
          <w:sz w:val="32"/>
          <w:szCs w:val="32"/>
        </w:rPr>
      </w:pPr>
    </w:p>
    <w:p>
      <w:pPr>
        <w:spacing w:line="20" w:lineRule="exact"/>
        <w:ind w:firstLine="0"/>
        <w:jc w:val="left"/>
        <w:rPr>
          <w:rFonts w:ascii="仿宋_GB2312" w:eastAsia="仿宋_GB2312"/>
          <w:sz w:val="32"/>
          <w:szCs w:val="32"/>
        </w:rPr>
      </w:pPr>
    </w:p>
    <w:p>
      <w:pPr>
        <w:spacing w:line="20" w:lineRule="exact"/>
        <w:ind w:firstLine="0"/>
        <w:jc w:val="left"/>
        <w:rPr>
          <w:rFonts w:hint="eastAsia"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spacing w:val="7"/>
        </w:rPr>
      </w:pPr>
    </w:p>
    <w:sectPr>
      <w:footerReference r:id="rId10" w:type="default"/>
      <w:footerReference r:id="rId11" w:type="even"/>
      <w:pgSz w:w="11906" w:h="16838"/>
      <w:pgMar w:top="1387" w:right="1588" w:bottom="1171"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pStyle w:val="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239AB"/>
    <w:multiLevelType w:val="singleLevel"/>
    <w:tmpl w:val="C77239AB"/>
    <w:lvl w:ilvl="0" w:tentative="0">
      <w:start w:val="8"/>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YjgxZjQxYmFhMTUwOTQ4YWExYzdjMGE3ZGI5MmEifQ=="/>
  </w:docVars>
  <w:rsids>
    <w:rsidRoot w:val="76284CE1"/>
    <w:rsid w:val="000A3765"/>
    <w:rsid w:val="001D7282"/>
    <w:rsid w:val="0039081D"/>
    <w:rsid w:val="0049022E"/>
    <w:rsid w:val="004B7EC2"/>
    <w:rsid w:val="00594D41"/>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45209"/>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6F460A"/>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874EE"/>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C3221"/>
    <w:rsid w:val="1441725F"/>
    <w:rsid w:val="14430D66"/>
    <w:rsid w:val="14470936"/>
    <w:rsid w:val="14477E65"/>
    <w:rsid w:val="145461FA"/>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00BC8"/>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C309C"/>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991238"/>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2CC4576"/>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C872F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6C7FC6"/>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00D6A"/>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9657E0"/>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24D9D"/>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6F3B9E"/>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A3754"/>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24FD0"/>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6F084D"/>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812EB"/>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46D6B"/>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637CB"/>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D96F6F"/>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A07EE"/>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8553D"/>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9198D"/>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EA75A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C62ED"/>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74350"/>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11FE"/>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0E1F37"/>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4E7AD3"/>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65526"/>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866CC"/>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30897"/>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0349D"/>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AF06B1"/>
    <w:rsid w:val="63AF13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7D22DE"/>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62748"/>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C726BE"/>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1B81"/>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3F41B79"/>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A485A"/>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uiPriority w:val="0"/>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8560</Words>
  <Characters>9453</Characters>
  <Lines>0</Lines>
  <Paragraphs>0</Paragraphs>
  <TotalTime>13</TotalTime>
  <ScaleCrop>false</ScaleCrop>
  <LinksUpToDate>false</LinksUpToDate>
  <CharactersWithSpaces>9593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Lenovo</cp:lastModifiedBy>
  <dcterms:modified xsi:type="dcterms:W3CDTF">2025-07-24T08:07:57Z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4B5FDDC259FB49A4A0EBEC5A4BB60567_11</vt:lpwstr>
  </property>
</Properties>
</file>