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p>
    <w:p>
      <w:pPr>
        <w:jc w:val="center"/>
        <w:rPr>
          <w:rFonts w:hint="eastAsia" w:ascii="宋体" w:hAnsi="宋体" w:eastAsia="宋体" w:cs="宋体"/>
          <w:b/>
          <w:bCs/>
          <w:sz w:val="44"/>
          <w:szCs w:val="44"/>
        </w:rPr>
      </w:pPr>
    </w:p>
    <w:p>
      <w:pPr>
        <w:jc w:val="both"/>
        <w:rPr>
          <w:rFonts w:hint="eastAsia" w:ascii="宋体" w:hAnsi="宋体" w:eastAsia="宋体" w:cs="宋体"/>
          <w:b/>
          <w:bCs/>
          <w:sz w:val="44"/>
          <w:szCs w:val="44"/>
        </w:rPr>
      </w:pPr>
    </w:p>
    <w:p>
      <w:pPr>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sz w:val="44"/>
          <w:szCs w:val="44"/>
        </w:rPr>
        <w:t>202</w:t>
      </w:r>
      <w:r>
        <w:rPr>
          <w:rFonts w:hint="default" w:asciiTheme="majorEastAsia" w:hAnsiTheme="majorEastAsia" w:eastAsiaTheme="majorEastAsia" w:cstheme="majorEastAsia"/>
          <w:b/>
          <w:bCs/>
          <w:sz w:val="44"/>
          <w:szCs w:val="44"/>
          <w:lang w:val="en"/>
        </w:rPr>
        <w:t>4</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color w:val="000000"/>
          <w:sz w:val="44"/>
          <w:szCs w:val="44"/>
        </w:rPr>
        <w:t>岳阳市城市照明管理中心</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整体支出绩效自评报告</w:t>
      </w:r>
    </w:p>
    <w:p>
      <w:pPr>
        <w:jc w:val="center"/>
        <w:rPr>
          <w:rFonts w:hint="eastAsia" w:ascii="宋体" w:hAnsi="宋体" w:eastAsia="宋体" w:cs="宋体"/>
          <w:b/>
          <w:sz w:val="52"/>
          <w:szCs w:val="5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楷体_GB2312" w:cs="Times New Roman"/>
          <w:b/>
          <w:sz w:val="32"/>
          <w:szCs w:val="32"/>
        </w:rPr>
      </w:pPr>
    </w:p>
    <w:p>
      <w:pPr>
        <w:jc w:val="center"/>
        <w:rPr>
          <w:rFonts w:hint="default" w:ascii="Times New Roman" w:hAnsi="Times New Roman" w:eastAsia="黑体" w:cs="Times New Roman"/>
          <w:sz w:val="32"/>
          <w:szCs w:val="32"/>
        </w:rPr>
      </w:pPr>
    </w:p>
    <w:p>
      <w:pPr>
        <w:jc w:val="center"/>
        <w:rPr>
          <w:rFonts w:hint="default" w:ascii="Times New Roman" w:hAnsi="Times New Roman" w:eastAsia="黑体" w:cs="Times New Roman"/>
          <w:sz w:val="32"/>
          <w:szCs w:val="32"/>
        </w:rPr>
      </w:pPr>
    </w:p>
    <w:p>
      <w:pPr>
        <w:jc w:val="both"/>
        <w:rPr>
          <w:rFonts w:hint="default" w:ascii="Times New Roman" w:hAnsi="Times New Roman" w:eastAsia="黑体" w:cs="Times New Roman"/>
          <w:sz w:val="32"/>
          <w:szCs w:val="32"/>
        </w:rPr>
      </w:pPr>
    </w:p>
    <w:p>
      <w:pPr>
        <w:spacing w:line="600" w:lineRule="exact"/>
        <w:ind w:firstLine="1285" w:firstLineChars="400"/>
        <w:jc w:val="both"/>
        <w:rPr>
          <w:rFonts w:hint="eastAsia" w:asciiTheme="majorEastAsia" w:hAnsiTheme="majorEastAsia" w:eastAsiaTheme="majorEastAsia" w:cstheme="majorEastAsia"/>
          <w:b/>
          <w:bCs/>
          <w:sz w:val="32"/>
          <w:szCs w:val="32"/>
          <w:u w:val="single"/>
          <w:lang w:val="en-US" w:eastAsia="zh-CN"/>
        </w:rPr>
      </w:pPr>
      <w:r>
        <w:rPr>
          <w:rFonts w:hint="eastAsia" w:asciiTheme="majorEastAsia" w:hAnsiTheme="majorEastAsia" w:eastAsiaTheme="majorEastAsia" w:cstheme="majorEastAsia"/>
          <w:b/>
          <w:bCs/>
          <w:sz w:val="32"/>
          <w:szCs w:val="32"/>
        </w:rPr>
        <w:t>单位名称：</w:t>
      </w:r>
      <w:r>
        <w:rPr>
          <w:rFonts w:hint="eastAsia" w:asciiTheme="majorEastAsia" w:hAnsiTheme="majorEastAsia" w:eastAsiaTheme="majorEastAsia" w:cstheme="majorEastAsia"/>
          <w:b/>
          <w:bCs/>
          <w:color w:val="000000"/>
          <w:sz w:val="32"/>
          <w:szCs w:val="32"/>
          <w:u w:val="single"/>
        </w:rPr>
        <w:t>岳阳市城市照明管理中心</w:t>
      </w:r>
    </w:p>
    <w:p>
      <w:pPr>
        <w:spacing w:line="600" w:lineRule="exact"/>
        <w:jc w:val="center"/>
        <w:rPr>
          <w:rFonts w:hint="eastAsia" w:asciiTheme="majorEastAsia" w:hAnsiTheme="majorEastAsia" w:eastAsiaTheme="majorEastAsia" w:cstheme="majorEastAsia"/>
          <w:b/>
          <w:bCs/>
          <w:sz w:val="32"/>
          <w:szCs w:val="32"/>
          <w:lang w:val="en-US" w:eastAsia="zh-CN"/>
        </w:rPr>
      </w:pPr>
    </w:p>
    <w:p>
      <w:pPr>
        <w:spacing w:line="600" w:lineRule="exact"/>
        <w:jc w:val="center"/>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lang w:val="en-US" w:eastAsia="zh-CN"/>
        </w:rPr>
        <w:t>2025</w:t>
      </w:r>
      <w:bookmarkStart w:id="0" w:name="_GoBack"/>
      <w:bookmarkEnd w:id="0"/>
      <w:r>
        <w:rPr>
          <w:rFonts w:hint="eastAsia" w:asciiTheme="majorEastAsia" w:hAnsiTheme="majorEastAsia" w:eastAsiaTheme="majorEastAsia" w:cstheme="majorEastAsia"/>
          <w:b/>
          <w:bCs/>
          <w:sz w:val="32"/>
          <w:szCs w:val="32"/>
        </w:rPr>
        <w:t>年</w:t>
      </w:r>
      <w:r>
        <w:rPr>
          <w:rFonts w:hint="eastAsia" w:asciiTheme="majorEastAsia" w:hAnsiTheme="majorEastAsia" w:eastAsiaTheme="majorEastAsia" w:cstheme="majorEastAsia"/>
          <w:b/>
          <w:bCs/>
          <w:sz w:val="32"/>
          <w:szCs w:val="32"/>
          <w:lang w:val="en-US" w:eastAsia="zh-CN"/>
        </w:rPr>
        <w:t>6</w:t>
      </w:r>
      <w:r>
        <w:rPr>
          <w:rFonts w:hint="eastAsia" w:asciiTheme="majorEastAsia" w:hAnsiTheme="majorEastAsia" w:eastAsiaTheme="majorEastAsia" w:cstheme="majorEastAsia"/>
          <w:b/>
          <w:bCs/>
          <w:sz w:val="32"/>
          <w:szCs w:val="32"/>
        </w:rPr>
        <w:t>月</w:t>
      </w:r>
      <w:r>
        <w:rPr>
          <w:rFonts w:hint="eastAsia" w:asciiTheme="majorEastAsia" w:hAnsiTheme="majorEastAsia" w:eastAsiaTheme="majorEastAsia" w:cstheme="majorEastAsia"/>
          <w:b/>
          <w:bCs/>
          <w:sz w:val="32"/>
          <w:szCs w:val="32"/>
          <w:lang w:val="en-US" w:eastAsia="zh-CN"/>
        </w:rPr>
        <w:t>25</w:t>
      </w:r>
      <w:r>
        <w:rPr>
          <w:rFonts w:hint="eastAsia" w:asciiTheme="majorEastAsia" w:hAnsiTheme="majorEastAsia" w:eastAsiaTheme="majorEastAsia" w:cstheme="majorEastAsia"/>
          <w:b/>
          <w:bCs/>
          <w:sz w:val="32"/>
          <w:szCs w:val="32"/>
        </w:rPr>
        <w:t>日</w:t>
      </w:r>
    </w:p>
    <w:p>
      <w:pPr>
        <w:jc w:val="center"/>
        <w:rPr>
          <w:rFonts w:hint="default" w:ascii="Times New Roman" w:hAnsi="Times New Roman" w:eastAsia="仿宋_GB2312" w:cs="Times New Roman"/>
          <w:sz w:val="32"/>
          <w:szCs w:val="32"/>
        </w:rPr>
      </w:pPr>
    </w:p>
    <w:p>
      <w:pPr>
        <w:jc w:val="center"/>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pPr>
        <w:pStyle w:val="8"/>
        <w:rPr>
          <w:rFonts w:hint="default"/>
        </w:rPr>
      </w:pPr>
    </w:p>
    <w:p>
      <w:pPr>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rPr>
        <w:t>202</w:t>
      </w:r>
      <w:r>
        <w:rPr>
          <w:rFonts w:hint="default" w:ascii="方正小标宋简体" w:hAnsi="方正小标宋简体" w:eastAsia="方正小标宋简体" w:cs="方正小标宋简体"/>
          <w:sz w:val="44"/>
          <w:szCs w:val="44"/>
          <w:lang w:val="en"/>
        </w:rPr>
        <w:t>4</w:t>
      </w:r>
      <w:r>
        <w:rPr>
          <w:rFonts w:hint="eastAsia" w:ascii="方正小标宋简体" w:hAnsi="方正小标宋简体" w:eastAsia="方正小标宋简体" w:cs="方正小标宋简体"/>
          <w:sz w:val="44"/>
          <w:szCs w:val="44"/>
        </w:rPr>
        <w:t>年度</w:t>
      </w:r>
      <w:r>
        <w:rPr>
          <w:rFonts w:hint="eastAsia" w:ascii="方正小标宋简体" w:hAnsi="方正小标宋简体" w:eastAsia="方正小标宋简体" w:cs="方正小标宋简体"/>
          <w:color w:val="000000"/>
          <w:sz w:val="44"/>
          <w:szCs w:val="44"/>
        </w:rPr>
        <w:t>岳阳市城市照明管理中心</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numPr>
          <w:ilvl w:val="0"/>
          <w:numId w:val="1"/>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单位基本情况</w:t>
      </w:r>
    </w:p>
    <w:p>
      <w:pPr>
        <w:keepNext w:val="0"/>
        <w:keepLines w:val="0"/>
        <w:pageBreakBefore w:val="0"/>
        <w:widowControl/>
        <w:kinsoku/>
        <w:wordWrap/>
        <w:overflowPunct/>
        <w:topLinePunct w:val="0"/>
        <w:bidi w:val="0"/>
        <w:adjustRightInd/>
        <w:snapToGrid/>
        <w:spacing w:line="580" w:lineRule="exact"/>
        <w:ind w:firstLine="643" w:firstLineChars="200"/>
        <w:textAlignment w:val="auto"/>
        <w:rPr>
          <w:rFonts w:hint="eastAsia" w:ascii="楷体_GB2312" w:hAnsi="楷体_GB2312" w:eastAsia="楷体_GB2312" w:cs="楷体_GB2312"/>
          <w:kern w:val="0"/>
          <w:sz w:val="32"/>
          <w:szCs w:val="32"/>
        </w:rPr>
      </w:pPr>
      <w:r>
        <w:rPr>
          <w:rFonts w:hint="eastAsia" w:ascii="楷体_GB2312" w:hAnsi="楷体_GB2312" w:eastAsia="楷体_GB2312" w:cs="楷体_GB2312"/>
          <w:b/>
          <w:bCs/>
          <w:kern w:val="0"/>
          <w:sz w:val="32"/>
          <w:szCs w:val="32"/>
        </w:rPr>
        <w:t>（一）职能职责</w:t>
      </w:r>
    </w:p>
    <w:p>
      <w:pPr>
        <w:keepNext w:val="0"/>
        <w:keepLines w:val="0"/>
        <w:pageBreakBefore w:val="0"/>
        <w:wordWrap/>
        <w:overflowPunct/>
        <w:topLinePunct w:val="0"/>
        <w:bidi w:val="0"/>
        <w:spacing w:line="580" w:lineRule="exact"/>
        <w:ind w:firstLine="640" w:firstLineChars="200"/>
        <w:jc w:val="left"/>
        <w:rPr>
          <w:rFonts w:hint="eastAsia"/>
          <w:sz w:val="32"/>
          <w:szCs w:val="32"/>
          <w:lang w:eastAsia="zh-CN"/>
        </w:rPr>
      </w:pPr>
      <w:r>
        <w:rPr>
          <w:rFonts w:hint="eastAsia" w:ascii="仿宋_GB2312" w:hAnsi="仿宋_GB2312" w:eastAsia="仿宋_GB2312" w:cs="仿宋_GB2312"/>
          <w:sz w:val="32"/>
          <w:szCs w:val="32"/>
          <w:lang w:eastAsia="zh-CN"/>
        </w:rPr>
        <w:t>岳阳市城市照明管理中心</w:t>
      </w:r>
      <w:r>
        <w:rPr>
          <w:rFonts w:hint="eastAsia" w:ascii="仿宋_GB2312" w:hAnsi="仿宋_GB2312" w:eastAsia="仿宋_GB2312" w:cs="仿宋_GB2312"/>
          <w:sz w:val="32"/>
          <w:szCs w:val="32"/>
        </w:rPr>
        <w:t>承担城市道路照明及景观亮化设施设备的日常维护管理工作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承担城市道路照明及景观亮化工程的建设工作</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承担社会产权单位（个人）景观亮化建设工程的技术服务工作</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bidi w:val="0"/>
        <w:adjustRightInd/>
        <w:snapToGrid/>
        <w:spacing w:line="580" w:lineRule="exact"/>
        <w:ind w:firstLine="643" w:firstLineChars="200"/>
        <w:textAlignment w:val="auto"/>
        <w:rPr>
          <w:rFonts w:hint="eastAsia" w:eastAsia="仿宋_GB2312" w:cs="仿宋_GB2312"/>
          <w:b/>
          <w:bCs/>
          <w:kern w:val="0"/>
          <w:sz w:val="32"/>
          <w:szCs w:val="32"/>
        </w:rPr>
      </w:pPr>
      <w:r>
        <w:rPr>
          <w:rFonts w:hint="eastAsia" w:eastAsia="仿宋_GB2312" w:cs="仿宋_GB2312"/>
          <w:b/>
          <w:bCs/>
          <w:kern w:val="0"/>
          <w:sz w:val="32"/>
          <w:szCs w:val="32"/>
        </w:rPr>
        <w:t>（</w:t>
      </w:r>
      <w:r>
        <w:rPr>
          <w:rFonts w:hint="eastAsia" w:ascii="楷体_GB2312" w:hAnsi="楷体_GB2312" w:eastAsia="楷体_GB2312" w:cs="楷体_GB2312"/>
          <w:b/>
          <w:bCs/>
          <w:kern w:val="0"/>
          <w:sz w:val="32"/>
          <w:szCs w:val="32"/>
        </w:rPr>
        <w:t>二）机构设置</w:t>
      </w:r>
    </w:p>
    <w:p>
      <w:pPr>
        <w:pStyle w:val="3"/>
        <w:keepNext w:val="0"/>
        <w:keepLines w:val="0"/>
        <w:pageBreakBefore w:val="0"/>
        <w:widowControl w:val="0"/>
        <w:numPr>
          <w:ilvl w:val="0"/>
          <w:numId w:val="0"/>
        </w:numPr>
        <w:wordWrap/>
        <w:overflowPunct/>
        <w:topLinePunct w:val="0"/>
        <w:bidi w:val="0"/>
        <w:spacing w:line="580" w:lineRule="exact"/>
        <w:ind w:firstLine="640" w:firstLineChars="200"/>
        <w:jc w:val="left"/>
        <w:rPr>
          <w:rFonts w:hint="default"/>
          <w:sz w:val="32"/>
          <w:szCs w:val="32"/>
        </w:rPr>
      </w:pPr>
      <w:r>
        <w:rPr>
          <w:rFonts w:hint="eastAsia" w:ascii="仿宋_GB2312" w:hAnsi="仿宋_GB2312" w:eastAsia="仿宋_GB2312" w:cs="仿宋_GB2312"/>
          <w:sz w:val="32"/>
          <w:szCs w:val="32"/>
        </w:rPr>
        <w:t>岳阳市城市照明管理中心</w:t>
      </w:r>
      <w:r>
        <w:rPr>
          <w:rFonts w:hint="eastAsia" w:ascii="仿宋_GB2312" w:hAnsi="仿宋_GB2312" w:eastAsia="仿宋_GB2312" w:cs="仿宋_GB2312"/>
          <w:sz w:val="32"/>
          <w:szCs w:val="32"/>
          <w:lang w:val="en-US" w:eastAsia="zh-CN"/>
        </w:rPr>
        <w:t>为市城市管理和综合执法局直属公益一类全额拨款事业单位，</w:t>
      </w:r>
      <w:r>
        <w:rPr>
          <w:rFonts w:hint="eastAsia" w:ascii="仿宋_GB2312" w:hAnsi="仿宋_GB2312" w:eastAsia="仿宋_GB2312" w:cs="仿宋_GB2312"/>
          <w:sz w:val="32"/>
          <w:szCs w:val="32"/>
          <w:lang w:eastAsia="zh-CN"/>
        </w:rPr>
        <w:t>编</w:t>
      </w:r>
      <w:r>
        <w:rPr>
          <w:rFonts w:hint="eastAsia" w:ascii="仿宋_GB2312" w:hAnsi="仿宋_GB2312" w:eastAsia="仿宋_GB2312" w:cs="仿宋_GB2312"/>
          <w:sz w:val="32"/>
          <w:szCs w:val="32"/>
          <w:lang w:val="en-US" w:eastAsia="zh-CN"/>
        </w:rPr>
        <w:t>制</w:t>
      </w:r>
      <w:r>
        <w:rPr>
          <w:rFonts w:hint="eastAsia" w:ascii="仿宋_GB2312" w:hAnsi="仿宋_GB2312" w:eastAsia="仿宋_GB2312" w:cs="仿宋_GB2312"/>
          <w:sz w:val="32"/>
          <w:szCs w:val="32"/>
          <w:lang w:eastAsia="zh-CN"/>
        </w:rPr>
        <w:t>人数</w:t>
      </w:r>
      <w:r>
        <w:rPr>
          <w:rFonts w:hint="eastAsia" w:ascii="仿宋_GB2312" w:hAnsi="仿宋_GB2312" w:eastAsia="仿宋_GB2312" w:cs="仿宋_GB2312"/>
          <w:sz w:val="32"/>
          <w:szCs w:val="32"/>
          <w:lang w:val="en-US" w:eastAsia="zh-CN"/>
        </w:rPr>
        <w:t>62人，设9</w:t>
      </w:r>
      <w:r>
        <w:rPr>
          <w:rFonts w:hint="eastAsia" w:ascii="仿宋_GB2312" w:hAnsi="仿宋_GB2312" w:eastAsia="仿宋_GB2312" w:cs="仿宋_GB2312"/>
          <w:sz w:val="32"/>
          <w:szCs w:val="32"/>
        </w:rPr>
        <w:t>个内设机构</w:t>
      </w:r>
      <w:r>
        <w:rPr>
          <w:rFonts w:hint="eastAsia" w:ascii="仿宋_GB2312" w:hAnsi="仿宋_GB2312" w:eastAsia="仿宋_GB2312" w:cs="仿宋_GB2312"/>
          <w:sz w:val="32"/>
          <w:szCs w:val="32"/>
          <w:lang w:eastAsia="zh-CN"/>
        </w:rPr>
        <w:t>：综合部、财务部、运行管理部、景观亮化维护部、技术服务部、信息考</w:t>
      </w:r>
      <w:r>
        <w:rPr>
          <w:rFonts w:hint="eastAsia" w:ascii="仿宋" w:hAnsi="仿宋" w:eastAsia="仿宋"/>
          <w:sz w:val="32"/>
          <w:szCs w:val="32"/>
          <w:lang w:eastAsia="zh-CN"/>
        </w:rPr>
        <w:t>评部</w:t>
      </w:r>
      <w:r>
        <w:rPr>
          <w:rFonts w:hint="eastAsia"/>
          <w:sz w:val="32"/>
          <w:szCs w:val="32"/>
          <w:lang w:eastAsia="zh-CN"/>
        </w:rPr>
        <w:t>、安全管理部、路灯维护一部、路灯维护二部。</w:t>
      </w:r>
    </w:p>
    <w:p>
      <w:pPr>
        <w:pStyle w:val="12"/>
        <w:keepNext w:val="0"/>
        <w:keepLines w:val="0"/>
        <w:pageBreakBefore w:val="0"/>
        <w:widowControl/>
        <w:kinsoku/>
        <w:wordWrap/>
        <w:overflowPunct/>
        <w:topLinePunct w:val="0"/>
        <w:autoSpaceDE/>
        <w:autoSpaceDN/>
        <w:bidi w:val="0"/>
        <w:adjustRightInd/>
        <w:snapToGrid/>
        <w:spacing w:line="580" w:lineRule="exact"/>
        <w:ind w:left="0" w:leftChars="0"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二、一般公共预算支出情况</w:t>
      </w:r>
    </w:p>
    <w:p>
      <w:pPr>
        <w:pStyle w:val="12"/>
        <w:keepNext w:val="0"/>
        <w:keepLines w:val="0"/>
        <w:pageBreakBefore w:val="0"/>
        <w:widowControl/>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（一）</w:t>
      </w:r>
      <w:r>
        <w:rPr>
          <w:rFonts w:hint="eastAsia" w:ascii="楷体_GB2312" w:hAnsi="楷体_GB2312" w:eastAsia="楷体_GB2312" w:cs="楷体_GB2312"/>
          <w:b/>
          <w:sz w:val="32"/>
          <w:szCs w:val="32"/>
        </w:rPr>
        <w:t>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w:t>
      </w:r>
      <w:r>
        <w:rPr>
          <w:rFonts w:hint="default" w:ascii="仿宋_GB2312" w:hAnsi="仿宋_GB2312" w:eastAsia="仿宋_GB2312" w:cs="仿宋_GB2312"/>
          <w:bCs/>
          <w:sz w:val="32"/>
          <w:szCs w:val="32"/>
          <w:lang w:val="en" w:eastAsia="zh-CN"/>
        </w:rPr>
        <w:t>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度，</w:t>
      </w:r>
      <w:r>
        <w:rPr>
          <w:rFonts w:hint="eastAsia" w:ascii="仿宋_GB2312" w:hAnsi="仿宋_GB2312" w:eastAsia="仿宋_GB2312" w:cs="仿宋_GB2312"/>
          <w:sz w:val="32"/>
          <w:szCs w:val="32"/>
        </w:rPr>
        <w:t>一般公共预算</w:t>
      </w:r>
      <w:r>
        <w:rPr>
          <w:rFonts w:hint="eastAsia" w:ascii="仿宋_GB2312" w:hAnsi="仿宋_GB2312" w:eastAsia="仿宋_GB2312" w:cs="仿宋_GB2312"/>
          <w:bCs/>
          <w:sz w:val="32"/>
          <w:szCs w:val="32"/>
        </w:rPr>
        <w:t>基本支出</w:t>
      </w:r>
      <w:r>
        <w:rPr>
          <w:rFonts w:hint="eastAsia" w:ascii="仿宋_GB2312" w:hAnsi="仿宋_GB2312" w:eastAsia="仿宋_GB2312" w:cs="仿宋_GB2312"/>
          <w:bCs/>
          <w:sz w:val="32"/>
          <w:szCs w:val="32"/>
          <w:lang w:val="en-US" w:eastAsia="zh-CN"/>
        </w:rPr>
        <w:t>总金额为103</w:t>
      </w:r>
      <w:r>
        <w:rPr>
          <w:rFonts w:hint="default" w:ascii="仿宋_GB2312" w:hAnsi="仿宋_GB2312" w:eastAsia="仿宋_GB2312" w:cs="仿宋_GB2312"/>
          <w:bCs/>
          <w:sz w:val="32"/>
          <w:szCs w:val="32"/>
          <w:lang w:val="en" w:eastAsia="zh-CN"/>
        </w:rPr>
        <w:t>1.73</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bCs/>
          <w:color w:val="auto"/>
          <w:sz w:val="32"/>
          <w:szCs w:val="32"/>
        </w:rPr>
        <w:t>人员经费支出</w:t>
      </w:r>
      <w:r>
        <w:rPr>
          <w:rFonts w:hint="default" w:ascii="仿宋_GB2312" w:hAnsi="仿宋_GB2312" w:eastAsia="仿宋_GB2312" w:cs="仿宋_GB2312"/>
          <w:bCs/>
          <w:color w:val="auto"/>
          <w:sz w:val="32"/>
          <w:szCs w:val="32"/>
          <w:lang w:val="en" w:eastAsia="zh-CN"/>
        </w:rPr>
        <w:t>920.52</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sz w:val="32"/>
          <w:szCs w:val="32"/>
          <w:lang w:val="en-US" w:eastAsia="zh-CN"/>
        </w:rPr>
        <w:t>主要用于</w:t>
      </w:r>
      <w:r>
        <w:rPr>
          <w:rFonts w:hint="eastAsia" w:ascii="仿宋_GB2312" w:hAnsi="仿宋_GB2312" w:eastAsia="仿宋_GB2312" w:cs="仿宋_GB2312"/>
          <w:bCs/>
          <w:sz w:val="32"/>
          <w:szCs w:val="32"/>
          <w:highlight w:val="none"/>
          <w:lang w:val="en-US" w:eastAsia="zh-CN"/>
        </w:rPr>
        <w:t>职工工资、津补贴、绩效工资及社会保障缴费等支出。</w:t>
      </w:r>
      <w:r>
        <w:rPr>
          <w:rFonts w:hint="eastAsia" w:ascii="仿宋_GB2312" w:hAnsi="仿宋_GB2312" w:eastAsia="仿宋_GB2312" w:cs="仿宋_GB2312"/>
          <w:bCs/>
          <w:color w:val="auto"/>
          <w:sz w:val="32"/>
          <w:szCs w:val="32"/>
        </w:rPr>
        <w:t>公用</w:t>
      </w:r>
      <w:r>
        <w:rPr>
          <w:rFonts w:hint="eastAsia" w:ascii="仿宋_GB2312" w:hAnsi="仿宋_GB2312" w:eastAsia="仿宋_GB2312" w:cs="仿宋_GB2312"/>
          <w:bCs/>
          <w:color w:val="auto"/>
          <w:sz w:val="32"/>
          <w:szCs w:val="32"/>
          <w:lang w:val="en-US" w:eastAsia="zh-CN"/>
        </w:rPr>
        <w:t>经费</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1</w:t>
      </w:r>
      <w:r>
        <w:rPr>
          <w:rFonts w:hint="default" w:ascii="仿宋_GB2312" w:hAnsi="仿宋_GB2312" w:eastAsia="仿宋_GB2312" w:cs="仿宋_GB2312"/>
          <w:bCs/>
          <w:color w:val="auto"/>
          <w:sz w:val="32"/>
          <w:szCs w:val="32"/>
          <w:lang w:val="en" w:eastAsia="zh-CN"/>
        </w:rPr>
        <w:t>11.21</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单位日常运行支出。</w:t>
      </w:r>
    </w:p>
    <w:p>
      <w:pPr>
        <w:keepNext w:val="0"/>
        <w:keepLines w:val="0"/>
        <w:pageBreakBefore w:val="0"/>
        <w:widowControl w:val="0"/>
        <w:kinsoku/>
        <w:wordWrap/>
        <w:overflowPunct/>
        <w:topLinePunct w:val="0"/>
        <w:autoSpaceDE/>
        <w:autoSpaceDN/>
        <w:bidi w:val="0"/>
        <w:spacing w:line="580" w:lineRule="exact"/>
        <w:ind w:firstLine="640" w:firstLineChars="200"/>
        <w:jc w:val="left"/>
        <w:textAlignment w:val="auto"/>
        <w:rPr>
          <w:rFonts w:hint="default" w:ascii="Times New Roman" w:hAnsi="Times New Roman" w:eastAsia="楷体_GB2312" w:cs="Times New Roman"/>
          <w:b/>
          <w:sz w:val="32"/>
          <w:szCs w:val="32"/>
        </w:rPr>
      </w:pPr>
      <w:r>
        <w:rPr>
          <w:rFonts w:hint="eastAsia" w:ascii="仿宋_GB2312" w:hAnsi="仿宋_GB2312" w:eastAsia="仿宋_GB2312" w:cs="仿宋_GB2312"/>
          <w:bCs/>
          <w:sz w:val="32"/>
          <w:szCs w:val="32"/>
          <w:lang w:val="en-US" w:eastAsia="zh-CN"/>
        </w:rPr>
        <w:t>202</w:t>
      </w:r>
      <w:r>
        <w:rPr>
          <w:rFonts w:hint="default" w:ascii="仿宋_GB2312" w:hAnsi="仿宋_GB2312" w:eastAsia="仿宋_GB2312" w:cs="仿宋_GB2312"/>
          <w:bCs/>
          <w:sz w:val="32"/>
          <w:szCs w:val="32"/>
          <w:lang w:val="en" w:eastAsia="zh-CN"/>
        </w:rPr>
        <w:t>4</w:t>
      </w:r>
      <w:r>
        <w:rPr>
          <w:rFonts w:hint="eastAsia" w:ascii="仿宋_GB2312" w:hAnsi="仿宋_GB2312" w:eastAsia="仿宋_GB2312" w:cs="仿宋_GB2312"/>
          <w:bCs/>
          <w:sz w:val="32"/>
          <w:szCs w:val="32"/>
        </w:rPr>
        <w:t>年度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公务接待费</w:t>
      </w:r>
      <w:r>
        <w:rPr>
          <w:rFonts w:hint="eastAsia" w:ascii="仿宋_GB2312" w:hAnsi="仿宋_GB2312" w:eastAsia="仿宋_GB2312" w:cs="仿宋_GB2312"/>
          <w:bCs/>
          <w:sz w:val="32"/>
          <w:szCs w:val="32"/>
          <w:lang w:eastAsia="zh-CN"/>
        </w:rPr>
        <w:t>预算</w:t>
      </w:r>
      <w:r>
        <w:rPr>
          <w:rFonts w:hint="default" w:ascii="仿宋_GB2312" w:hAnsi="仿宋_GB2312" w:eastAsia="仿宋_GB2312" w:cs="仿宋_GB2312"/>
          <w:bCs/>
          <w:sz w:val="32"/>
          <w:szCs w:val="32"/>
          <w:lang w:val="en" w:eastAsia="zh-CN"/>
        </w:rPr>
        <w:t>1</w:t>
      </w:r>
      <w:r>
        <w:rPr>
          <w:rFonts w:hint="eastAsia" w:ascii="仿宋_GB2312" w:hAnsi="仿宋_GB2312" w:eastAsia="仿宋_GB2312" w:cs="仿宋_GB2312"/>
          <w:bCs/>
          <w:sz w:val="32"/>
          <w:szCs w:val="32"/>
          <w:lang w:val="en-US" w:eastAsia="zh-CN"/>
        </w:rPr>
        <w:t>.00万元，实际</w:t>
      </w:r>
      <w:r>
        <w:rPr>
          <w:rFonts w:hint="eastAsia" w:ascii="仿宋_GB2312" w:hAnsi="仿宋_GB2312" w:eastAsia="仿宋_GB2312" w:cs="仿宋_GB2312"/>
          <w:bCs/>
          <w:sz w:val="32"/>
          <w:szCs w:val="32"/>
        </w:rPr>
        <w:t>支出0</w:t>
      </w:r>
      <w:r>
        <w:rPr>
          <w:rFonts w:hint="eastAsia" w:ascii="仿宋_GB2312" w:hAnsi="仿宋_GB2312" w:eastAsia="仿宋_GB2312" w:cs="仿宋_GB2312"/>
          <w:bCs/>
          <w:sz w:val="32"/>
          <w:szCs w:val="32"/>
          <w:lang w:val="en-US" w:eastAsia="zh-CN"/>
        </w:rPr>
        <w:t>.1</w:t>
      </w:r>
      <w:r>
        <w:rPr>
          <w:rFonts w:hint="default" w:ascii="仿宋_GB2312" w:hAnsi="仿宋_GB2312" w:eastAsia="仿宋_GB2312" w:cs="仿宋_GB2312"/>
          <w:bCs/>
          <w:sz w:val="32"/>
          <w:szCs w:val="32"/>
          <w:lang w:val="en" w:eastAsia="zh-CN"/>
        </w:rPr>
        <w:t>3</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公务用车购置及</w:t>
      </w:r>
      <w:r>
        <w:rPr>
          <w:rFonts w:hint="eastAsia" w:ascii="仿宋_GB2312" w:hAnsi="仿宋_GB2312" w:eastAsia="仿宋_GB2312" w:cs="仿宋_GB2312"/>
          <w:bCs/>
          <w:sz w:val="32"/>
          <w:szCs w:val="32"/>
        </w:rPr>
        <w:t>公务用车运行维护费支出</w:t>
      </w:r>
      <w:r>
        <w:rPr>
          <w:rFonts w:hint="eastAsia" w:ascii="仿宋_GB2312" w:hAnsi="仿宋_GB2312" w:eastAsia="仿宋_GB2312" w:cs="仿宋_GB2312"/>
          <w:bCs/>
          <w:sz w:val="32"/>
          <w:szCs w:val="32"/>
          <w:lang w:eastAsia="zh-CN"/>
        </w:rPr>
        <w:t>预算金额为</w:t>
      </w:r>
      <w:r>
        <w:rPr>
          <w:rFonts w:hint="eastAsia" w:ascii="仿宋_GB2312" w:hAnsi="仿宋_GB2312" w:eastAsia="仿宋_GB2312" w:cs="仿宋_GB2312"/>
          <w:bCs/>
          <w:sz w:val="32"/>
          <w:szCs w:val="32"/>
          <w:lang w:val="en-US" w:eastAsia="zh-CN"/>
        </w:rPr>
        <w:t>3</w:t>
      </w:r>
      <w:r>
        <w:rPr>
          <w:rFonts w:hint="default" w:ascii="仿宋_GB2312" w:hAnsi="仿宋_GB2312" w:eastAsia="仿宋_GB2312" w:cs="仿宋_GB2312"/>
          <w:bCs/>
          <w:sz w:val="32"/>
          <w:szCs w:val="32"/>
          <w:lang w:val="en" w:eastAsia="zh-CN"/>
        </w:rPr>
        <w:t>5.53</w:t>
      </w:r>
      <w:r>
        <w:rPr>
          <w:rFonts w:hint="eastAsia" w:ascii="仿宋_GB2312" w:hAnsi="仿宋_GB2312" w:eastAsia="仿宋_GB2312" w:cs="仿宋_GB2312"/>
          <w:bCs/>
          <w:sz w:val="32"/>
          <w:szCs w:val="32"/>
          <w:lang w:val="en-US" w:eastAsia="zh-CN"/>
        </w:rPr>
        <w:t>万元（含上年结转金额5.53万元，其中公务用车购置预算</w:t>
      </w:r>
      <w:r>
        <w:rPr>
          <w:rFonts w:hint="eastAsia" w:ascii="仿宋_GB2312" w:hAnsi="仿宋_GB2312" w:eastAsia="仿宋_GB2312" w:cs="仿宋_GB2312"/>
          <w:bCs/>
          <w:sz w:val="32"/>
          <w:szCs w:val="32"/>
          <w:lang w:eastAsia="zh-CN"/>
        </w:rPr>
        <w:t>金额为</w:t>
      </w:r>
      <w:r>
        <w:rPr>
          <w:rFonts w:hint="eastAsia" w:ascii="仿宋_GB2312" w:hAnsi="仿宋_GB2312" w:eastAsia="仿宋_GB2312" w:cs="仿宋_GB2312"/>
          <w:bCs/>
          <w:sz w:val="32"/>
          <w:szCs w:val="32"/>
          <w:lang w:val="en-US" w:eastAsia="zh-CN"/>
        </w:rPr>
        <w:t>0万元），公务用车购置及</w:t>
      </w:r>
      <w:r>
        <w:rPr>
          <w:rFonts w:hint="eastAsia" w:ascii="仿宋_GB2312" w:hAnsi="仿宋_GB2312" w:eastAsia="仿宋_GB2312" w:cs="仿宋_GB2312"/>
          <w:bCs/>
          <w:sz w:val="32"/>
          <w:szCs w:val="32"/>
        </w:rPr>
        <w:t>公务用车运行维护费</w:t>
      </w:r>
      <w:r>
        <w:rPr>
          <w:rFonts w:hint="eastAsia" w:ascii="仿宋_GB2312" w:hAnsi="仿宋_GB2312" w:eastAsia="仿宋_GB2312" w:cs="仿宋_GB2312"/>
          <w:bCs/>
          <w:sz w:val="32"/>
          <w:szCs w:val="32"/>
          <w:lang w:val="en-US" w:eastAsia="zh-CN"/>
        </w:rPr>
        <w:t>实际支出金额为31.08</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（其中公务用车购置支出0万元）</w:t>
      </w:r>
      <w:r>
        <w:rPr>
          <w:rFonts w:hint="eastAsia" w:ascii="仿宋_GB2312" w:hAnsi="仿宋_GB2312" w:eastAsia="仿宋_GB2312" w:cs="仿宋_GB2312"/>
          <w:bCs/>
          <w:sz w:val="32"/>
          <w:szCs w:val="32"/>
          <w:lang w:eastAsia="zh-CN"/>
        </w:rPr>
        <w:t>，因</w:t>
      </w:r>
      <w:r>
        <w:rPr>
          <w:rFonts w:hint="eastAsia" w:ascii="仿宋_GB2312" w:hAnsi="仿宋_GB2312" w:eastAsia="仿宋_GB2312" w:cs="仿宋_GB2312"/>
          <w:bCs/>
          <w:sz w:val="32"/>
          <w:szCs w:val="32"/>
        </w:rPr>
        <w:t>公出国</w:t>
      </w:r>
      <w:r>
        <w:rPr>
          <w:rFonts w:hint="eastAsia" w:ascii="仿宋_GB2312" w:hAnsi="仿宋_GB2312" w:eastAsia="仿宋_GB2312" w:cs="仿宋_GB2312"/>
          <w:bCs/>
          <w:sz w:val="32"/>
          <w:szCs w:val="32"/>
          <w:lang w:eastAsia="zh-CN"/>
        </w:rPr>
        <w:t>费用</w:t>
      </w:r>
      <w:r>
        <w:rPr>
          <w:rFonts w:hint="eastAsia" w:ascii="仿宋_GB2312" w:hAnsi="仿宋_GB2312" w:eastAsia="仿宋_GB2312" w:cs="仿宋_GB2312"/>
          <w:bCs/>
          <w:sz w:val="32"/>
          <w:szCs w:val="32"/>
          <w:lang w:val="en-US" w:eastAsia="zh-CN"/>
        </w:rPr>
        <w:t>预算与实际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均为</w:t>
      </w:r>
      <w:r>
        <w:rPr>
          <w:rFonts w:hint="eastAsia" w:ascii="仿宋_GB2312" w:hAnsi="仿宋_GB2312" w:eastAsia="仿宋_GB2312" w:cs="仿宋_GB2312"/>
          <w:bCs/>
          <w:sz w:val="32"/>
          <w:szCs w:val="32"/>
        </w:rPr>
        <w:t>0万元</w:t>
      </w:r>
      <w:r>
        <w:rPr>
          <w:rFonts w:hint="eastAsia" w:ascii="仿宋_GB2312" w:hAnsi="仿宋_GB2312" w:eastAsia="仿宋_GB2312" w:cs="仿宋_GB2312"/>
          <w:bCs/>
          <w:sz w:val="32"/>
          <w:szCs w:val="32"/>
          <w:lang w:eastAsia="zh-CN"/>
        </w:rPr>
        <w:t>，“三公经费”支出</w:t>
      </w:r>
      <w:r>
        <w:rPr>
          <w:rFonts w:hint="eastAsia" w:ascii="仿宋_GB2312" w:hAnsi="仿宋_GB2312" w:eastAsia="仿宋_GB2312" w:cs="仿宋_GB2312"/>
          <w:bCs/>
          <w:sz w:val="32"/>
          <w:szCs w:val="32"/>
          <w:lang w:val="en-US" w:eastAsia="zh-CN"/>
        </w:rPr>
        <w:t>总金额为31.21万元，</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pPr>
        <w:pStyle w:val="12"/>
        <w:keepNext w:val="0"/>
        <w:keepLines w:val="0"/>
        <w:pageBreakBefore w:val="0"/>
        <w:widowControl/>
        <w:numPr>
          <w:ilvl w:val="0"/>
          <w:numId w:val="2"/>
        </w:numPr>
        <w:kinsoku/>
        <w:wordWrap/>
        <w:overflowPunct/>
        <w:topLinePunct w:val="0"/>
        <w:autoSpaceDE/>
        <w:autoSpaceDN/>
        <w:bidi w:val="0"/>
        <w:adjustRightInd/>
        <w:snapToGrid/>
        <w:spacing w:line="580" w:lineRule="exact"/>
        <w:ind w:left="-83" w:leftChars="0" w:firstLine="643" w:firstLineChars="0"/>
        <w:jc w:val="both"/>
        <w:textAlignment w:val="auto"/>
        <w:rPr>
          <w:rFonts w:hint="eastAsia" w:ascii="楷体_GB2312" w:hAnsi="楷体_GB2312" w:eastAsia="楷体_GB2312" w:cs="楷体_GB2312"/>
          <w:b/>
          <w:sz w:val="32"/>
          <w:szCs w:val="32"/>
        </w:rPr>
      </w:pPr>
      <w:r>
        <w:rPr>
          <w:rFonts w:hint="eastAsia" w:ascii="楷体_GB2312" w:hAnsi="楷体_GB2312" w:eastAsia="楷体_GB2312" w:cs="楷体_GB2312"/>
          <w:b/>
          <w:sz w:val="32"/>
          <w:szCs w:val="32"/>
        </w:rPr>
        <w:t>项目支出情况</w:t>
      </w:r>
    </w:p>
    <w:p>
      <w:pPr>
        <w:pStyle w:val="12"/>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度</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color w:val="auto"/>
          <w:sz w:val="32"/>
          <w:szCs w:val="32"/>
        </w:rPr>
        <w:t>项目资金</w:t>
      </w:r>
      <w:r>
        <w:rPr>
          <w:rFonts w:hint="eastAsia" w:ascii="仿宋_GB2312" w:hAnsi="仿宋_GB2312" w:eastAsia="仿宋_GB2312" w:cs="仿宋_GB2312"/>
          <w:bCs/>
          <w:color w:val="auto"/>
          <w:sz w:val="32"/>
          <w:szCs w:val="32"/>
          <w:lang w:val="en-US" w:eastAsia="zh-CN"/>
        </w:rPr>
        <w:t>年初</w:t>
      </w:r>
      <w:r>
        <w:rPr>
          <w:rFonts w:hint="eastAsia" w:ascii="仿宋_GB2312" w:hAnsi="仿宋_GB2312" w:eastAsia="仿宋_GB2312" w:cs="仿宋_GB2312"/>
          <w:color w:val="auto"/>
          <w:sz w:val="32"/>
          <w:szCs w:val="32"/>
        </w:rPr>
        <w:t>一般公共</w:t>
      </w:r>
      <w:r>
        <w:rPr>
          <w:rFonts w:hint="eastAsia" w:ascii="仿宋_GB2312" w:hAnsi="仿宋_GB2312" w:eastAsia="仿宋_GB2312" w:cs="仿宋_GB2312"/>
          <w:bCs/>
          <w:color w:val="auto"/>
          <w:sz w:val="32"/>
          <w:szCs w:val="32"/>
        </w:rPr>
        <w:t>预算</w:t>
      </w:r>
      <w:r>
        <w:rPr>
          <w:rFonts w:hint="eastAsia" w:ascii="仿宋_GB2312" w:hAnsi="仿宋_GB2312" w:eastAsia="仿宋_GB2312" w:cs="仿宋_GB2312"/>
          <w:bCs/>
          <w:color w:val="auto"/>
          <w:sz w:val="32"/>
          <w:szCs w:val="32"/>
          <w:lang w:eastAsia="zh-CN"/>
        </w:rPr>
        <w:t>金额为</w:t>
      </w:r>
      <w:r>
        <w:rPr>
          <w:rFonts w:hint="eastAsia" w:ascii="仿宋_GB2312" w:hAnsi="仿宋_GB2312" w:eastAsia="仿宋_GB2312" w:cs="仿宋_GB2312"/>
          <w:bCs/>
          <w:color w:val="auto"/>
          <w:sz w:val="32"/>
          <w:szCs w:val="32"/>
          <w:lang w:val="en-US" w:eastAsia="zh-CN"/>
        </w:rPr>
        <w:t>3619.98</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含上年结转资金78.98万元）</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eastAsia="zh-CN"/>
        </w:rPr>
        <w:t>年中预算调整后预算金额</w:t>
      </w:r>
      <w:r>
        <w:rPr>
          <w:rFonts w:hint="eastAsia" w:ascii="仿宋_GB2312" w:hAnsi="仿宋_GB2312" w:eastAsia="仿宋_GB2312" w:cs="仿宋_GB2312"/>
          <w:bCs/>
          <w:sz w:val="32"/>
          <w:szCs w:val="32"/>
          <w:lang w:eastAsia="zh-CN"/>
        </w:rPr>
        <w:t>为</w:t>
      </w:r>
      <w:r>
        <w:rPr>
          <w:rFonts w:hint="eastAsia" w:ascii="仿宋_GB2312" w:hAnsi="仿宋_GB2312" w:eastAsia="仿宋_GB2312" w:cs="仿宋_GB2312"/>
          <w:bCs/>
          <w:color w:val="auto"/>
          <w:sz w:val="32"/>
          <w:szCs w:val="32"/>
          <w:lang w:val="en-US" w:eastAsia="zh-CN"/>
        </w:rPr>
        <w:t>3665.83</w:t>
      </w:r>
      <w:r>
        <w:rPr>
          <w:rFonts w:hint="eastAsia" w:ascii="仿宋_GB2312" w:hAnsi="仿宋_GB2312" w:eastAsia="仿宋_GB2312" w:cs="仿宋_GB2312"/>
          <w:bCs/>
          <w:sz w:val="32"/>
          <w:szCs w:val="32"/>
          <w:lang w:val="en-US" w:eastAsia="zh-CN"/>
        </w:rPr>
        <w:t>万元，实际</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总金额为3588.80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其中：</w:t>
      </w:r>
      <w:r>
        <w:rPr>
          <w:rFonts w:hint="eastAsia" w:ascii="仿宋_GB2312" w:hAnsi="仿宋_GB2312" w:eastAsia="仿宋_GB2312" w:cs="仿宋_GB2312"/>
          <w:sz w:val="32"/>
          <w:szCs w:val="32"/>
          <w:lang w:eastAsia="zh-CN"/>
        </w:rPr>
        <w:t>路灯及公用亮化设施维护经费</w:t>
      </w:r>
      <w:r>
        <w:rPr>
          <w:rFonts w:hint="eastAsia" w:ascii="仿宋_GB2312" w:hAnsi="仿宋_GB2312" w:eastAsia="仿宋_GB2312" w:cs="仿宋_GB2312"/>
          <w:sz w:val="32"/>
          <w:szCs w:val="32"/>
          <w:lang w:val="en-US" w:eastAsia="zh-CN"/>
        </w:rPr>
        <w:t>支出1046.25万元、</w:t>
      </w:r>
      <w:r>
        <w:rPr>
          <w:rFonts w:hint="eastAsia" w:ascii="仿宋_GB2312" w:hAnsi="仿宋_GB2312" w:eastAsia="仿宋_GB2312" w:cs="仿宋_GB2312"/>
          <w:sz w:val="32"/>
          <w:szCs w:val="32"/>
          <w:lang w:eastAsia="zh-CN"/>
        </w:rPr>
        <w:t>路灯及公用亮化设施电费</w:t>
      </w:r>
      <w:r>
        <w:rPr>
          <w:rFonts w:hint="eastAsia" w:ascii="仿宋_GB2312" w:hAnsi="仿宋_GB2312" w:eastAsia="仿宋_GB2312" w:cs="仿宋_GB2312"/>
          <w:sz w:val="32"/>
          <w:szCs w:val="32"/>
          <w:lang w:val="en-US" w:eastAsia="zh-CN"/>
        </w:rPr>
        <w:t>支出1719.00万元、中心城区景观亮化大修经费支出197.81万元、亮化管理计量工作经费支出54.05万元、城区路灯大修经费支出35.00万元、全城临街楼宇亮化设施电费支出395.16万元、非税收入征管经费80.90万元、按项目核算的其他运转类经费支出60.63万元（综合绩效奖和平安岳阳建设奖），主要用于</w:t>
      </w:r>
      <w:r>
        <w:rPr>
          <w:rFonts w:hint="eastAsia" w:ascii="仿宋_GB2312" w:hAnsi="仿宋_GB2312" w:eastAsia="仿宋_GB2312" w:cs="仿宋_GB2312"/>
          <w:color w:val="000000"/>
          <w:sz w:val="32"/>
          <w:szCs w:val="32"/>
        </w:rPr>
        <w:t>城区主次干道及小街巷路灯和公用亮化设施</w:t>
      </w:r>
      <w:r>
        <w:rPr>
          <w:rFonts w:hint="eastAsia" w:ascii="仿宋_GB2312" w:hAnsi="仿宋_GB2312" w:eastAsia="仿宋_GB2312" w:cs="仿宋_GB2312"/>
          <w:color w:val="000000"/>
          <w:sz w:val="32"/>
          <w:szCs w:val="32"/>
          <w:lang w:val="en-US" w:eastAsia="zh-CN"/>
        </w:rPr>
        <w:t>维护及</w:t>
      </w:r>
      <w:r>
        <w:rPr>
          <w:rFonts w:hint="eastAsia" w:ascii="仿宋_GB2312" w:hAnsi="仿宋_GB2312" w:eastAsia="仿宋_GB2312" w:cs="仿宋_GB2312"/>
          <w:color w:val="000000"/>
          <w:sz w:val="32"/>
          <w:szCs w:val="32"/>
        </w:rPr>
        <w:t>运行</w:t>
      </w:r>
      <w:r>
        <w:rPr>
          <w:rFonts w:hint="eastAsia" w:ascii="仿宋_GB2312" w:hAnsi="仿宋_GB2312" w:eastAsia="仿宋_GB2312" w:cs="仿宋_GB2312"/>
          <w:color w:val="000000"/>
          <w:sz w:val="32"/>
          <w:szCs w:val="32"/>
          <w:lang w:val="en-US" w:eastAsia="zh-CN"/>
        </w:rPr>
        <w:t>电费，</w:t>
      </w:r>
      <w:r>
        <w:rPr>
          <w:rFonts w:hint="eastAsia" w:ascii="仿宋_GB2312" w:hAnsi="仿宋_GB2312" w:eastAsia="仿宋_GB2312" w:cs="仿宋_GB2312"/>
          <w:color w:val="000000"/>
          <w:sz w:val="32"/>
          <w:szCs w:val="32"/>
        </w:rPr>
        <w:t>城区使用年限较长的变压器、配电箱以及高杆灯大修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城区</w:t>
      </w:r>
      <w:r>
        <w:rPr>
          <w:rFonts w:hint="eastAsia" w:ascii="仿宋_GB2312" w:hAnsi="仿宋_GB2312" w:eastAsia="仿宋_GB2312" w:cs="仿宋_GB2312"/>
          <w:color w:val="000000"/>
          <w:sz w:val="32"/>
          <w:szCs w:val="32"/>
        </w:rPr>
        <w:t>景观亮化项目大修</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rPr>
        <w:t>全城临街楼宇亮化设施电费</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维护费</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亮化电费进行计量</w:t>
      </w:r>
      <w:r>
        <w:rPr>
          <w:rFonts w:hint="eastAsia" w:ascii="仿宋_GB2312" w:hAnsi="仿宋_GB2312" w:eastAsia="仿宋_GB2312" w:cs="仿宋_GB2312"/>
          <w:color w:val="000000"/>
          <w:sz w:val="32"/>
          <w:szCs w:val="32"/>
          <w:lang w:val="en-US" w:eastAsia="zh-CN"/>
        </w:rPr>
        <w:t>和路灯节能改造等支出。</w:t>
      </w:r>
    </w:p>
    <w:p>
      <w:pPr>
        <w:pStyle w:val="12"/>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三、</w:t>
      </w:r>
      <w:r>
        <w:rPr>
          <w:rFonts w:hint="default" w:ascii="Times New Roman" w:hAnsi="Times New Roman" w:eastAsia="黑体" w:cs="Times New Roman"/>
          <w:sz w:val="32"/>
          <w:szCs w:val="32"/>
        </w:rPr>
        <w:t>政府性基金预算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国有资本经营预算</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社会保险基金预算支出情况</w:t>
      </w:r>
    </w:p>
    <w:p>
      <w:pPr>
        <w:pStyle w:val="12"/>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政府性基金预算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国有资本经营预算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val="en-US" w:eastAsia="zh-CN"/>
        </w:rPr>
        <w:t>。</w:t>
      </w:r>
    </w:p>
    <w:p>
      <w:pPr>
        <w:keepNext w:val="0"/>
        <w:keepLines w:val="0"/>
        <w:pageBreakBefore w:val="0"/>
        <w:widowControl/>
        <w:numPr>
          <w:ilvl w:val="0"/>
          <w:numId w:val="3"/>
        </w:numPr>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部门整体支出绩效情况</w:t>
      </w:r>
    </w:p>
    <w:p>
      <w:pPr>
        <w:pStyle w:val="4"/>
        <w:keepNext w:val="0"/>
        <w:keepLines w:val="0"/>
        <w:pageBreakBefore w:val="0"/>
        <w:widowControl w:val="0"/>
        <w:kinsoku/>
        <w:wordWrap/>
        <w:overflowPunct/>
        <w:topLinePunct w:val="0"/>
        <w:autoSpaceDE/>
        <w:autoSpaceDN/>
        <w:bidi w:val="0"/>
        <w:adjustRightInd/>
        <w:snapToGrid/>
        <w:spacing w:line="580" w:lineRule="exact"/>
        <w:ind w:left="0" w:leftChars="0" w:firstLine="643" w:firstLineChars="200"/>
        <w:jc w:val="both"/>
        <w:textAlignment w:val="auto"/>
        <w:rPr>
          <w:rFonts w:hint="eastAsia" w:ascii="楷体_GB2312" w:hAnsi="楷体_GB2312" w:eastAsia="楷体_GB2312" w:cs="楷体_GB2312"/>
          <w:b/>
          <w:bCs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highlight w:val="none"/>
          <w:lang w:val="en-US" w:eastAsia="zh-CN" w:bidi="ar-SA"/>
        </w:rPr>
        <w:t>（一）年度绩效目标及完成情况</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目标1：</w:t>
      </w:r>
      <w:r>
        <w:rPr>
          <w:rFonts w:hint="eastAsia" w:ascii="仿宋_GB2312" w:hAnsi="仿宋_GB2312" w:eastAsia="仿宋_GB2312" w:cs="仿宋_GB2312"/>
          <w:color w:val="000000"/>
          <w:sz w:val="32"/>
          <w:szCs w:val="32"/>
          <w:highlight w:val="none"/>
        </w:rPr>
        <w:t>不断提高维护管养水平和公共服务意识，保障城区主次干道路灯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0664</w:t>
      </w:r>
      <w:r>
        <w:rPr>
          <w:rFonts w:hint="eastAsia" w:ascii="仿宋_GB2312" w:hAnsi="仿宋_GB2312" w:eastAsia="仿宋_GB2312" w:cs="仿宋_GB2312"/>
          <w:color w:val="000000"/>
          <w:sz w:val="32"/>
          <w:szCs w:val="32"/>
          <w:highlight w:val="none"/>
        </w:rPr>
        <w:t>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及小街巷路灯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4229</w:t>
      </w:r>
      <w:r>
        <w:rPr>
          <w:rFonts w:hint="eastAsia" w:ascii="仿宋_GB2312" w:hAnsi="仿宋_GB2312" w:eastAsia="仿宋_GB2312" w:cs="仿宋_GB2312"/>
          <w:color w:val="000000"/>
          <w:sz w:val="32"/>
          <w:szCs w:val="32"/>
          <w:highlight w:val="none"/>
        </w:rPr>
        <w:t>盏</w:t>
      </w:r>
      <w:r>
        <w:rPr>
          <w:rFonts w:hint="eastAsia" w:ascii="仿宋_GB2312" w:hAnsi="仿宋_GB2312" w:eastAsia="仿宋_GB2312" w:cs="仿宋_GB2312"/>
          <w:color w:val="000000"/>
          <w:sz w:val="32"/>
          <w:szCs w:val="32"/>
          <w:highlight w:val="none"/>
          <w:lang w:eastAsia="zh-CN"/>
        </w:rPr>
        <w:t>）和公用亮化设施（功率</w:t>
      </w:r>
      <w:r>
        <w:rPr>
          <w:rFonts w:hint="eastAsia" w:ascii="仿宋_GB2312" w:hAnsi="仿宋_GB2312" w:eastAsia="仿宋_GB2312" w:cs="仿宋_GB2312"/>
          <w:color w:val="000000"/>
          <w:sz w:val="32"/>
          <w:szCs w:val="32"/>
          <w:highlight w:val="none"/>
        </w:rPr>
        <w:t>4008.2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KW</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正常运行；</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目标2：</w:t>
      </w:r>
      <w:r>
        <w:rPr>
          <w:rFonts w:hint="eastAsia" w:ascii="仿宋_GB2312" w:hAnsi="仿宋_GB2312" w:eastAsia="仿宋_GB2312" w:cs="仿宋_GB2312"/>
          <w:color w:val="000000"/>
          <w:sz w:val="32"/>
          <w:szCs w:val="32"/>
          <w:highlight w:val="none"/>
        </w:rPr>
        <w:t>美化、亮化城市，提升岳阳城市形象，方便市民夜间出行，保障夜间道路安全；</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lang w:val="en-US" w:eastAsia="zh-CN"/>
        </w:rPr>
        <w:t>目标3：</w:t>
      </w:r>
      <w:r>
        <w:rPr>
          <w:rFonts w:hint="eastAsia" w:ascii="仿宋_GB2312" w:hAnsi="仿宋_GB2312" w:eastAsia="仿宋_GB2312" w:cs="仿宋_GB2312"/>
          <w:color w:val="000000"/>
          <w:sz w:val="32"/>
          <w:szCs w:val="32"/>
          <w:highlight w:val="none"/>
        </w:rPr>
        <w:t>指导中心城区夜景亮化方案的设计，新建楼宇亮化方案审批及亮化单位用电量计量管理，协助城区夜景亮化工程的施工检查、竣工验收；</w:t>
      </w:r>
    </w:p>
    <w:p>
      <w:pPr>
        <w:pStyle w:val="3"/>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lang w:val="en-US" w:eastAsia="zh-CN"/>
        </w:rPr>
        <w:t>目标4：</w:t>
      </w:r>
      <w:r>
        <w:rPr>
          <w:rFonts w:hint="eastAsia" w:ascii="仿宋_GB2312" w:hAnsi="仿宋_GB2312" w:eastAsia="仿宋_GB2312" w:cs="仿宋_GB2312"/>
          <w:color w:val="000000"/>
          <w:sz w:val="32"/>
          <w:szCs w:val="32"/>
          <w:highlight w:val="none"/>
        </w:rPr>
        <w:t>实施中心城区路灯节能改造，达到节约电力资源，建设生态绿色城市的目标</w:t>
      </w:r>
      <w:r>
        <w:rPr>
          <w:rFonts w:hint="eastAsia" w:ascii="仿宋_GB2312" w:hAnsi="仿宋_GB2312" w:eastAsia="仿宋_GB2312" w:cs="仿宋_GB2312"/>
          <w:color w:val="000000"/>
          <w:sz w:val="32"/>
          <w:szCs w:val="32"/>
          <w:highlight w:val="none"/>
          <w:lang w:eastAsia="zh-CN"/>
        </w:rPr>
        <w:t>。</w:t>
      </w:r>
    </w:p>
    <w:p>
      <w:pPr>
        <w:pStyle w:val="4"/>
        <w:rPr>
          <w:rFonts w:hint="eastAsia"/>
          <w:lang w:eastAsia="zh-CN"/>
        </w:rPr>
      </w:pPr>
    </w:p>
    <w:p>
      <w:pPr>
        <w:keepNext w:val="0"/>
        <w:keepLines w:val="0"/>
        <w:pageBreakBefore w:val="0"/>
        <w:widowControl/>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color w:val="000000"/>
          <w:sz w:val="32"/>
          <w:szCs w:val="32"/>
          <w:lang w:eastAsia="zh-CN"/>
        </w:rPr>
      </w:pPr>
      <w:r>
        <w:rPr>
          <w:rFonts w:hint="eastAsia" w:ascii="黑体" w:hAnsi="黑体" w:eastAsia="黑体" w:cs="黑体"/>
          <w:sz w:val="32"/>
          <w:szCs w:val="32"/>
          <w:highlight w:val="none"/>
          <w:lang w:val="en-US" w:eastAsia="zh-CN"/>
        </w:rPr>
        <w:t xml:space="preserve">    </w:t>
      </w:r>
      <w:r>
        <w:rPr>
          <w:rFonts w:hint="eastAsia" w:ascii="仿宋_GB2312" w:hAnsi="仿宋_GB2312" w:eastAsia="仿宋_GB2312" w:cs="仿宋_GB2312"/>
          <w:color w:val="000000"/>
          <w:sz w:val="32"/>
          <w:szCs w:val="32"/>
          <w:lang w:val="en-US" w:eastAsia="zh-CN"/>
        </w:rPr>
        <w:t>目标1完成情况：路灯</w:t>
      </w:r>
      <w:r>
        <w:rPr>
          <w:rFonts w:hint="eastAsia" w:ascii="仿宋_GB2312" w:hAnsi="仿宋_GB2312" w:eastAsia="仿宋_GB2312" w:cs="仿宋_GB2312"/>
          <w:color w:val="000000"/>
          <w:sz w:val="32"/>
          <w:szCs w:val="32"/>
          <w:lang w:eastAsia="zh-CN"/>
        </w:rPr>
        <w:t>维护管养水平和公共服务意识不断提高，保障</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城区主次干道</w:t>
      </w:r>
      <w:r>
        <w:rPr>
          <w:rFonts w:hint="eastAsia" w:ascii="仿宋_GB2312" w:hAnsi="仿宋_GB2312" w:eastAsia="仿宋_GB2312" w:cs="仿宋_GB2312"/>
          <w:color w:val="000000"/>
          <w:sz w:val="32"/>
          <w:szCs w:val="32"/>
          <w:highlight w:val="none"/>
        </w:rPr>
        <w:t>路灯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0664</w:t>
      </w:r>
      <w:r>
        <w:rPr>
          <w:rFonts w:hint="eastAsia" w:ascii="仿宋_GB2312" w:hAnsi="仿宋_GB2312" w:eastAsia="仿宋_GB2312" w:cs="仿宋_GB2312"/>
          <w:color w:val="000000"/>
          <w:sz w:val="32"/>
          <w:szCs w:val="32"/>
          <w:highlight w:val="none"/>
        </w:rPr>
        <w:t>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及小街巷路灯</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4229</w:t>
      </w:r>
      <w:r>
        <w:rPr>
          <w:rFonts w:hint="eastAsia" w:ascii="仿宋_GB2312" w:hAnsi="仿宋_GB2312" w:eastAsia="仿宋_GB2312" w:cs="仿宋_GB2312"/>
          <w:color w:val="000000"/>
          <w:sz w:val="32"/>
          <w:szCs w:val="32"/>
          <w:highlight w:val="none"/>
        </w:rPr>
        <w:t>盏</w:t>
      </w:r>
      <w:r>
        <w:rPr>
          <w:rFonts w:hint="eastAsia" w:ascii="仿宋_GB2312" w:hAnsi="仿宋_GB2312" w:eastAsia="仿宋_GB2312" w:cs="仿宋_GB2312"/>
          <w:color w:val="000000"/>
          <w:sz w:val="32"/>
          <w:szCs w:val="32"/>
          <w:highlight w:val="none"/>
          <w:lang w:eastAsia="zh-CN"/>
        </w:rPr>
        <w:t>）和公用亮化设施（功率</w:t>
      </w:r>
      <w:r>
        <w:rPr>
          <w:rFonts w:hint="eastAsia" w:ascii="仿宋_GB2312" w:hAnsi="仿宋_GB2312" w:eastAsia="仿宋_GB2312" w:cs="仿宋_GB2312"/>
          <w:color w:val="000000"/>
          <w:sz w:val="32"/>
          <w:szCs w:val="32"/>
          <w:highlight w:val="none"/>
        </w:rPr>
        <w:t>4008.2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KW</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正常运行</w:t>
      </w:r>
      <w:r>
        <w:rPr>
          <w:rFonts w:hint="eastAsia" w:ascii="仿宋_GB2312" w:hAnsi="仿宋_GB2312" w:eastAsia="仿宋_GB2312" w:cs="仿宋_GB2312"/>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目标2完成情况：加大了路灯及公用亮化设施的维护力度，</w:t>
      </w:r>
      <w:r>
        <w:rPr>
          <w:rFonts w:hint="eastAsia" w:ascii="仿宋_GB2312" w:hAnsi="仿宋_GB2312" w:eastAsia="仿宋_GB2312" w:cs="仿宋_GB2312"/>
          <w:color w:val="000000"/>
          <w:sz w:val="32"/>
          <w:szCs w:val="32"/>
          <w:lang w:eastAsia="zh-CN"/>
        </w:rPr>
        <w:t>美化、亮化</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城市</w:t>
      </w:r>
      <w:r>
        <w:rPr>
          <w:rFonts w:hint="eastAsia" w:ascii="仿宋_GB2312" w:hAnsi="仿宋_GB2312" w:eastAsia="仿宋_GB2312" w:cs="仿宋_GB2312"/>
          <w:color w:val="000000"/>
          <w:sz w:val="32"/>
          <w:szCs w:val="32"/>
          <w:lang w:val="en-US" w:eastAsia="zh-CN"/>
        </w:rPr>
        <w:t>夜间环境</w:t>
      </w:r>
      <w:r>
        <w:rPr>
          <w:rFonts w:hint="eastAsia" w:ascii="仿宋_GB2312" w:hAnsi="仿宋_GB2312" w:eastAsia="仿宋_GB2312" w:cs="仿宋_GB2312"/>
          <w:color w:val="000000"/>
          <w:sz w:val="32"/>
          <w:szCs w:val="32"/>
          <w:lang w:eastAsia="zh-CN"/>
        </w:rPr>
        <w:t>，提升</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岳阳</w:t>
      </w:r>
      <w:r>
        <w:rPr>
          <w:rFonts w:hint="eastAsia" w:ascii="仿宋_GB2312" w:hAnsi="仿宋_GB2312" w:eastAsia="仿宋_GB2312" w:cs="仿宋_GB2312"/>
          <w:color w:val="000000"/>
          <w:sz w:val="32"/>
          <w:szCs w:val="32"/>
          <w:lang w:val="en-US" w:eastAsia="zh-CN"/>
        </w:rPr>
        <w:t>城市整体</w:t>
      </w:r>
      <w:r>
        <w:rPr>
          <w:rFonts w:hint="eastAsia" w:ascii="仿宋_GB2312" w:hAnsi="仿宋_GB2312" w:eastAsia="仿宋_GB2312" w:cs="仿宋_GB2312"/>
          <w:color w:val="000000"/>
          <w:sz w:val="32"/>
          <w:szCs w:val="32"/>
          <w:lang w:eastAsia="zh-CN"/>
        </w:rPr>
        <w:t>形象，方便</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市民夜间出行，保障夜间道路安全；</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目标3完成情况：</w:t>
      </w:r>
      <w:r>
        <w:rPr>
          <w:rFonts w:hint="eastAsia" w:ascii="仿宋_GB2312" w:hAnsi="仿宋_GB2312" w:eastAsia="仿宋_GB2312" w:cs="仿宋_GB2312"/>
          <w:color w:val="000000"/>
          <w:sz w:val="32"/>
          <w:szCs w:val="32"/>
          <w:lang w:eastAsia="zh-CN"/>
        </w:rPr>
        <w:t>为中心城区夜景亮化方案的设计提出了建设性意见，</w:t>
      </w:r>
      <w:r>
        <w:rPr>
          <w:rFonts w:hint="eastAsia" w:ascii="仿宋_GB2312" w:hAnsi="仿宋_GB2312" w:eastAsia="仿宋_GB2312" w:cs="仿宋_GB2312"/>
          <w:color w:val="000000"/>
          <w:sz w:val="32"/>
          <w:szCs w:val="32"/>
          <w:lang w:val="en-US" w:eastAsia="zh-CN"/>
        </w:rPr>
        <w:t>完成了</w:t>
      </w:r>
      <w:r>
        <w:rPr>
          <w:rFonts w:hint="eastAsia" w:ascii="仿宋_GB2312" w:hAnsi="仿宋_GB2312" w:eastAsia="仿宋_GB2312" w:cs="仿宋_GB2312"/>
          <w:color w:val="000000"/>
          <w:sz w:val="32"/>
          <w:szCs w:val="32"/>
          <w:lang w:eastAsia="zh-CN"/>
        </w:rPr>
        <w:t>新建楼宇亮化方案审批及亮化单位用电量计量管理，</w:t>
      </w:r>
      <w:r>
        <w:rPr>
          <w:rFonts w:hint="eastAsia" w:ascii="仿宋_GB2312" w:hAnsi="仿宋_GB2312" w:eastAsia="仿宋_GB2312" w:cs="仿宋_GB2312"/>
          <w:color w:val="000000"/>
          <w:sz w:val="32"/>
          <w:szCs w:val="32"/>
          <w:lang w:val="en-US" w:eastAsia="zh-CN"/>
        </w:rPr>
        <w:t>并</w:t>
      </w:r>
      <w:r>
        <w:rPr>
          <w:rFonts w:hint="eastAsia" w:ascii="仿宋_GB2312" w:hAnsi="仿宋_GB2312" w:eastAsia="仿宋_GB2312" w:cs="仿宋_GB2312"/>
          <w:color w:val="000000"/>
          <w:sz w:val="32"/>
          <w:szCs w:val="32"/>
          <w:lang w:eastAsia="zh-CN"/>
        </w:rPr>
        <w:t>协助</w:t>
      </w:r>
      <w:r>
        <w:rPr>
          <w:rFonts w:hint="eastAsia" w:ascii="仿宋_GB2312" w:hAnsi="仿宋_GB2312" w:eastAsia="仿宋_GB2312" w:cs="仿宋_GB2312"/>
          <w:color w:val="000000"/>
          <w:sz w:val="32"/>
          <w:szCs w:val="32"/>
          <w:lang w:val="en-US" w:eastAsia="zh-CN"/>
        </w:rPr>
        <w:t>完成了</w:t>
      </w:r>
      <w:r>
        <w:rPr>
          <w:rFonts w:hint="eastAsia" w:ascii="仿宋_GB2312" w:hAnsi="仿宋_GB2312" w:eastAsia="仿宋_GB2312" w:cs="仿宋_GB2312"/>
          <w:color w:val="000000"/>
          <w:sz w:val="32"/>
          <w:szCs w:val="32"/>
          <w:lang w:eastAsia="zh-CN"/>
        </w:rPr>
        <w:t>城区夜景亮化工程的施工检查、竣工验收</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lang w:eastAsia="zh-CN"/>
        </w:rPr>
        <w:t>；</w:t>
      </w:r>
    </w:p>
    <w:p>
      <w:pPr>
        <w:pStyle w:val="3"/>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lang w:val="en-US" w:eastAsia="zh-CN"/>
        </w:rPr>
      </w:pPr>
      <w:r>
        <w:rPr>
          <w:rFonts w:hint="eastAsia" w:ascii="仿宋_GB2312" w:hAnsi="仿宋_GB2312" w:eastAsia="仿宋_GB2312" w:cs="仿宋_GB2312"/>
          <w:color w:val="000000"/>
          <w:sz w:val="32"/>
          <w:szCs w:val="32"/>
          <w:lang w:val="en-US" w:eastAsia="zh-CN"/>
        </w:rPr>
        <w:t>目标4完成情况：</w:t>
      </w:r>
      <w:r>
        <w:rPr>
          <w:rFonts w:hint="eastAsia" w:ascii="仿宋_GB2312" w:hAnsi="仿宋_GB2312" w:eastAsia="仿宋_GB2312" w:cs="仿宋_GB2312"/>
          <w:color w:val="000000"/>
          <w:sz w:val="32"/>
          <w:szCs w:val="32"/>
          <w:lang w:eastAsia="zh-CN"/>
        </w:rPr>
        <w:t>中心城区路灯节能改造</w:t>
      </w:r>
      <w:r>
        <w:rPr>
          <w:rFonts w:hint="eastAsia" w:ascii="仿宋_GB2312" w:hAnsi="仿宋_GB2312" w:eastAsia="仿宋_GB2312" w:cs="仿宋_GB2312"/>
          <w:color w:val="000000"/>
          <w:sz w:val="32"/>
          <w:szCs w:val="32"/>
          <w:lang w:val="en-US" w:eastAsia="zh-CN"/>
        </w:rPr>
        <w:t>工作有序推进</w:t>
      </w:r>
      <w:r>
        <w:rPr>
          <w:rFonts w:hint="eastAsia" w:ascii="仿宋_GB2312" w:hAnsi="仿宋_GB2312" w:eastAsia="仿宋_GB2312" w:cs="仿宋_GB2312"/>
          <w:color w:val="000000"/>
          <w:sz w:val="32"/>
          <w:szCs w:val="32"/>
          <w:lang w:eastAsia="zh-CN"/>
        </w:rPr>
        <w:t>，节约</w:t>
      </w:r>
      <w:r>
        <w:rPr>
          <w:rFonts w:hint="eastAsia" w:ascii="仿宋_GB2312" w:hAnsi="仿宋_GB2312" w:eastAsia="仿宋_GB2312" w:cs="仿宋_GB2312"/>
          <w:color w:val="000000"/>
          <w:sz w:val="32"/>
          <w:szCs w:val="32"/>
          <w:lang w:val="en-US" w:eastAsia="zh-CN"/>
        </w:rPr>
        <w:t>了</w:t>
      </w:r>
      <w:r>
        <w:rPr>
          <w:rFonts w:hint="eastAsia" w:ascii="仿宋_GB2312" w:hAnsi="仿宋_GB2312" w:eastAsia="仿宋_GB2312" w:cs="仿宋_GB2312"/>
          <w:color w:val="000000"/>
          <w:sz w:val="32"/>
          <w:szCs w:val="32"/>
          <w:lang w:eastAsia="zh-CN"/>
        </w:rPr>
        <w:t>电力资源，</w:t>
      </w:r>
      <w:r>
        <w:rPr>
          <w:rFonts w:hint="eastAsia" w:ascii="仿宋_GB2312" w:hAnsi="仿宋_GB2312" w:eastAsia="仿宋_GB2312" w:cs="仿宋_GB2312"/>
          <w:color w:val="000000"/>
          <w:sz w:val="32"/>
          <w:szCs w:val="32"/>
          <w:lang w:val="en-US" w:eastAsia="zh-CN"/>
        </w:rPr>
        <w:t>城市照明事业发展向着</w:t>
      </w:r>
      <w:r>
        <w:rPr>
          <w:rFonts w:hint="eastAsia" w:ascii="仿宋_GB2312" w:hAnsi="仿宋_GB2312" w:eastAsia="仿宋_GB2312" w:cs="仿宋_GB2312"/>
          <w:color w:val="000000"/>
          <w:sz w:val="32"/>
          <w:szCs w:val="32"/>
          <w:lang w:eastAsia="zh-CN"/>
        </w:rPr>
        <w:t>建设生态绿色城市的目标</w:t>
      </w:r>
      <w:r>
        <w:rPr>
          <w:rFonts w:hint="eastAsia" w:ascii="仿宋_GB2312" w:hAnsi="仿宋_GB2312" w:eastAsia="仿宋_GB2312" w:cs="仿宋_GB2312"/>
          <w:color w:val="000000"/>
          <w:sz w:val="32"/>
          <w:szCs w:val="32"/>
          <w:lang w:val="en-US" w:eastAsia="zh-CN"/>
        </w:rPr>
        <w:t>奋进</w:t>
      </w:r>
      <w:r>
        <w:rPr>
          <w:rFonts w:hint="eastAsia" w:ascii="仿宋_GB2312" w:hAnsi="仿宋_GB2312" w:eastAsia="仿宋_GB2312" w:cs="仿宋_GB2312"/>
          <w:color w:val="000000"/>
          <w:sz w:val="32"/>
          <w:szCs w:val="32"/>
          <w:lang w:eastAsia="zh-CN"/>
        </w:rPr>
        <w:t>。</w:t>
      </w:r>
    </w:p>
    <w:p>
      <w:pPr>
        <w:pStyle w:val="12"/>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3" w:firstLineChars="200"/>
        <w:jc w:val="both"/>
        <w:textAlignment w:val="auto"/>
        <w:rPr>
          <w:rFonts w:hint="eastAsia" w:ascii="楷体_GB2312" w:hAnsi="楷体_GB2312" w:eastAsia="楷体_GB2312" w:cs="楷体_GB2312"/>
          <w:b/>
          <w:bCs/>
          <w:color w:val="auto"/>
          <w:kern w:val="0"/>
          <w:sz w:val="32"/>
          <w:szCs w:val="32"/>
          <w:lang w:val="en-US" w:eastAsia="zh-CN"/>
        </w:rPr>
      </w:pPr>
      <w:r>
        <w:rPr>
          <w:rFonts w:hint="eastAsia" w:ascii="楷体_GB2312" w:hAnsi="楷体_GB2312" w:eastAsia="楷体_GB2312" w:cs="楷体_GB2312"/>
          <w:b/>
          <w:bCs/>
          <w:color w:val="auto"/>
          <w:kern w:val="0"/>
          <w:sz w:val="32"/>
          <w:szCs w:val="32"/>
          <w:lang w:val="en-US" w:eastAsia="zh-CN"/>
        </w:rPr>
        <w:t>(二）实现产出和取得效益情况</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kern w:val="0"/>
          <w:sz w:val="32"/>
          <w:szCs w:val="32"/>
          <w:lang w:val="en-US" w:eastAsia="zh-CN"/>
        </w:rPr>
      </w:pPr>
      <w:r>
        <w:rPr>
          <w:rFonts w:hint="eastAsia" w:ascii="CESI仿宋-GB2312" w:hAnsi="CESI仿宋-GB2312" w:eastAsia="CESI仿宋-GB2312" w:cs="CESI仿宋-GB2312"/>
          <w:b/>
          <w:bCs/>
          <w:sz w:val="32"/>
          <w:szCs w:val="32"/>
          <w:lang w:val="en"/>
        </w:rPr>
        <w:t>1</w:t>
      </w:r>
      <w:r>
        <w:rPr>
          <w:rFonts w:hint="eastAsia" w:ascii="CESI仿宋-GB2312" w:hAnsi="CESI仿宋-GB2312" w:eastAsia="CESI仿宋-GB2312" w:cs="CESI仿宋-GB2312"/>
          <w:b/>
          <w:bCs/>
          <w:sz w:val="32"/>
          <w:szCs w:val="32"/>
          <w:lang w:val="en" w:eastAsia="zh-CN"/>
        </w:rPr>
        <w:t>、</w:t>
      </w:r>
      <w:r>
        <w:rPr>
          <w:rFonts w:hint="eastAsia" w:ascii="CESI仿宋-GB2312" w:hAnsi="CESI仿宋-GB2312" w:eastAsia="CESI仿宋-GB2312" w:cs="CESI仿宋-GB2312"/>
          <w:b/>
          <w:bCs/>
          <w:sz w:val="32"/>
          <w:szCs w:val="32"/>
        </w:rPr>
        <w:t>精细管理抓落实，照明工作做出新贡献。</w:t>
      </w:r>
      <w:r>
        <w:rPr>
          <w:rFonts w:hint="eastAsia" w:ascii="CESI仿宋-GB2312" w:hAnsi="CESI仿宋-GB2312" w:eastAsia="CESI仿宋-GB2312" w:cs="CESI仿宋-GB2312"/>
          <w:kern w:val="0"/>
          <w:sz w:val="32"/>
          <w:szCs w:val="32"/>
          <w:lang w:val="en-US" w:eastAsia="zh-CN"/>
        </w:rPr>
        <w:t>中心坚持“六大城管”的发展思想，聚焦管理维护提水平、景观亮化提品质、节日出行提氛围，为市民营造安全、靓丽、温馨的城市环境。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CESI仿宋-GB2312" w:hAnsi="CESI仿宋-GB2312" w:eastAsia="CESI仿宋-GB2312" w:cs="CESI仿宋-GB2312"/>
          <w:color w:val="FF0000"/>
          <w:kern w:val="0"/>
          <w:sz w:val="32"/>
          <w:szCs w:val="32"/>
        </w:rPr>
      </w:pPr>
      <w:r>
        <w:rPr>
          <w:rFonts w:hint="eastAsia" w:ascii="CESI仿宋-GB2312" w:hAnsi="CESI仿宋-GB2312" w:eastAsia="CESI仿宋-GB2312" w:cs="CESI仿宋-GB2312"/>
          <w:b/>
          <w:bCs/>
          <w:sz w:val="32"/>
          <w:szCs w:val="32"/>
          <w:lang w:val="en-US" w:eastAsia="zh-CN"/>
        </w:rPr>
        <w:t>（1）</w:t>
      </w:r>
      <w:r>
        <w:rPr>
          <w:rFonts w:hint="eastAsia" w:ascii="CESI仿宋-GB2312" w:hAnsi="CESI仿宋-GB2312" w:eastAsia="CESI仿宋-GB2312" w:cs="CESI仿宋-GB2312"/>
          <w:b/>
          <w:bCs/>
          <w:kern w:val="0"/>
          <w:sz w:val="32"/>
          <w:szCs w:val="32"/>
        </w:rPr>
        <w:t>紧盯</w:t>
      </w:r>
      <w:r>
        <w:rPr>
          <w:rFonts w:hint="eastAsia" w:ascii="CESI仿宋-GB2312" w:hAnsi="CESI仿宋-GB2312" w:eastAsia="CESI仿宋-GB2312" w:cs="CESI仿宋-GB2312"/>
          <w:b/>
          <w:bCs/>
          <w:kern w:val="0"/>
          <w:sz w:val="32"/>
          <w:szCs w:val="32"/>
          <w:lang w:eastAsia="zh-CN"/>
        </w:rPr>
        <w:t>目</w:t>
      </w:r>
      <w:r>
        <w:rPr>
          <w:rFonts w:hint="eastAsia" w:ascii="CESI仿宋-GB2312" w:hAnsi="CESI仿宋-GB2312" w:eastAsia="CESI仿宋-GB2312" w:cs="CESI仿宋-GB2312"/>
          <w:b/>
          <w:bCs/>
          <w:kern w:val="0"/>
          <w:sz w:val="32"/>
          <w:szCs w:val="32"/>
        </w:rPr>
        <w:t>标，擦亮擦新“城市照明”</w:t>
      </w:r>
      <w:r>
        <w:rPr>
          <w:rFonts w:hint="eastAsia" w:ascii="CESI仿宋-GB2312" w:hAnsi="CESI仿宋-GB2312" w:eastAsia="CESI仿宋-GB2312" w:cs="CESI仿宋-GB2312"/>
          <w:b/>
          <w:bCs/>
          <w:sz w:val="32"/>
          <w:szCs w:val="32"/>
        </w:rPr>
        <w:t>。</w:t>
      </w:r>
      <w:r>
        <w:rPr>
          <w:rFonts w:hint="eastAsia" w:ascii="CESI仿宋-GB2312" w:hAnsi="CESI仿宋-GB2312" w:eastAsia="CESI仿宋-GB2312" w:cs="CESI仿宋-GB2312"/>
          <w:color w:val="auto"/>
          <w:kern w:val="0"/>
          <w:sz w:val="32"/>
          <w:szCs w:val="32"/>
        </w:rPr>
        <w:t>锚定“中心城区</w:t>
      </w:r>
      <w:r>
        <w:rPr>
          <w:rFonts w:hint="eastAsia" w:ascii="CESI仿宋-GB2312" w:hAnsi="CESI仿宋-GB2312" w:eastAsia="CESI仿宋-GB2312" w:cs="CESI仿宋-GB2312"/>
          <w:color w:val="auto"/>
          <w:kern w:val="2"/>
          <w:sz w:val="32"/>
          <w:szCs w:val="32"/>
          <w:lang w:val="en-US" w:eastAsia="zh-CN" w:bidi="ar"/>
        </w:rPr>
        <w:t>装灯率达100</w:t>
      </w:r>
      <w:r>
        <w:rPr>
          <w:rFonts w:hint="eastAsia" w:ascii="CESI仿宋-GB2312" w:hAnsi="CESI仿宋-GB2312" w:eastAsia="CESI仿宋-GB2312" w:cs="CESI仿宋-GB2312"/>
          <w:color w:val="auto"/>
          <w:kern w:val="0"/>
          <w:sz w:val="32"/>
          <w:szCs w:val="32"/>
        </w:rPr>
        <w:t>%</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color w:val="auto"/>
          <w:kern w:val="0"/>
          <w:sz w:val="32"/>
          <w:szCs w:val="32"/>
        </w:rPr>
        <w:t>中心城区亮灯率、设施完好率98%以上，重大活动、重要节日期间达到99%以上”目标</w:t>
      </w:r>
      <w:r>
        <w:rPr>
          <w:rFonts w:hint="eastAsia" w:ascii="CESI仿宋-GB2312" w:hAnsi="CESI仿宋-GB2312" w:eastAsia="CESI仿宋-GB2312" w:cs="CESI仿宋-GB2312"/>
          <w:kern w:val="0"/>
          <w:sz w:val="32"/>
          <w:szCs w:val="32"/>
        </w:rPr>
        <w:t>，实行“清单管理、挂号销号、当日办结”机制，实现问题高效闭环处置。全年</w:t>
      </w:r>
      <w:r>
        <w:rPr>
          <w:rFonts w:hint="eastAsia" w:ascii="CESI仿宋-GB2312" w:hAnsi="CESI仿宋-GB2312" w:eastAsia="CESI仿宋-GB2312" w:cs="CESI仿宋-GB2312"/>
          <w:kern w:val="0"/>
          <w:sz w:val="32"/>
          <w:szCs w:val="32"/>
          <w:lang w:eastAsia="zh-CN"/>
        </w:rPr>
        <w:t>维修</w:t>
      </w:r>
      <w:r>
        <w:rPr>
          <w:rFonts w:hint="eastAsia" w:ascii="CESI仿宋-GB2312" w:hAnsi="CESI仿宋-GB2312" w:eastAsia="CESI仿宋-GB2312" w:cs="CESI仿宋-GB2312"/>
          <w:kern w:val="0"/>
          <w:sz w:val="32"/>
          <w:szCs w:val="32"/>
        </w:rPr>
        <w:t>出车1454次（</w:t>
      </w:r>
      <w:r>
        <w:rPr>
          <w:rFonts w:hint="eastAsia" w:ascii="CESI仿宋-GB2312" w:hAnsi="CESI仿宋-GB2312" w:eastAsia="CESI仿宋-GB2312" w:cs="CESI仿宋-GB2312"/>
          <w:kern w:val="0"/>
          <w:sz w:val="32"/>
          <w:szCs w:val="32"/>
          <w:lang w:eastAsia="zh-CN"/>
        </w:rPr>
        <w:t>其中，</w:t>
      </w:r>
      <w:r>
        <w:rPr>
          <w:rFonts w:hint="eastAsia" w:ascii="CESI仿宋-GB2312" w:hAnsi="CESI仿宋-GB2312" w:eastAsia="CESI仿宋-GB2312" w:cs="CESI仿宋-GB2312"/>
          <w:kern w:val="0"/>
          <w:sz w:val="32"/>
          <w:szCs w:val="32"/>
        </w:rPr>
        <w:t>夜间维修</w:t>
      </w:r>
      <w:r>
        <w:rPr>
          <w:rFonts w:hint="eastAsia" w:ascii="CESI仿宋-GB2312" w:hAnsi="CESI仿宋-GB2312" w:eastAsia="CESI仿宋-GB2312" w:cs="CESI仿宋-GB2312"/>
          <w:kern w:val="0"/>
          <w:sz w:val="32"/>
          <w:szCs w:val="32"/>
          <w:lang w:eastAsia="zh-CN"/>
        </w:rPr>
        <w:t>出车</w:t>
      </w:r>
      <w:r>
        <w:rPr>
          <w:rFonts w:hint="eastAsia" w:ascii="CESI仿宋-GB2312" w:hAnsi="CESI仿宋-GB2312" w:eastAsia="CESI仿宋-GB2312" w:cs="CESI仿宋-GB2312"/>
          <w:kern w:val="0"/>
          <w:sz w:val="32"/>
          <w:szCs w:val="32"/>
          <w:lang w:val="en-US" w:eastAsia="zh-CN"/>
        </w:rPr>
        <w:t>156</w:t>
      </w:r>
      <w:r>
        <w:rPr>
          <w:rFonts w:hint="eastAsia" w:ascii="CESI仿宋-GB2312" w:hAnsi="CESI仿宋-GB2312" w:eastAsia="CESI仿宋-GB2312" w:cs="CESI仿宋-GB2312"/>
          <w:kern w:val="0"/>
          <w:sz w:val="32"/>
          <w:szCs w:val="32"/>
        </w:rPr>
        <w:t>次），处置</w:t>
      </w:r>
      <w:r>
        <w:rPr>
          <w:rFonts w:hint="eastAsia" w:ascii="CESI仿宋-GB2312" w:hAnsi="CESI仿宋-GB2312" w:eastAsia="CESI仿宋-GB2312" w:cs="CESI仿宋-GB2312"/>
          <w:kern w:val="0"/>
          <w:sz w:val="32"/>
          <w:szCs w:val="32"/>
          <w:lang w:eastAsia="zh-CN"/>
        </w:rPr>
        <w:t>政府热线等</w:t>
      </w:r>
      <w:r>
        <w:rPr>
          <w:rFonts w:hint="eastAsia" w:ascii="CESI仿宋-GB2312" w:hAnsi="CESI仿宋-GB2312" w:eastAsia="CESI仿宋-GB2312" w:cs="CESI仿宋-GB2312"/>
          <w:kern w:val="0"/>
          <w:sz w:val="32"/>
          <w:szCs w:val="32"/>
        </w:rPr>
        <w:t>各类来电来访件715件，</w:t>
      </w:r>
      <w:r>
        <w:rPr>
          <w:rFonts w:hint="eastAsia" w:ascii="CESI仿宋-GB2312" w:hAnsi="CESI仿宋-GB2312" w:eastAsia="CESI仿宋-GB2312" w:cs="CESI仿宋-GB2312"/>
          <w:color w:val="auto"/>
          <w:kern w:val="0"/>
          <w:sz w:val="32"/>
          <w:szCs w:val="32"/>
          <w:lang w:eastAsia="zh-CN"/>
        </w:rPr>
        <w:t>处置设施、配电故障</w:t>
      </w:r>
      <w:r>
        <w:rPr>
          <w:rFonts w:hint="eastAsia" w:ascii="CESI仿宋-GB2312" w:hAnsi="CESI仿宋-GB2312" w:eastAsia="CESI仿宋-GB2312" w:cs="CESI仿宋-GB2312"/>
          <w:color w:val="auto"/>
          <w:kern w:val="0"/>
          <w:sz w:val="32"/>
          <w:szCs w:val="32"/>
        </w:rPr>
        <w:t>484起</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color w:val="auto"/>
          <w:kern w:val="0"/>
          <w:sz w:val="32"/>
          <w:szCs w:val="32"/>
        </w:rPr>
        <w:t>累计更换故障路灯线缆29762米，新敷设管道982米，维修灯具2025套</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color w:val="auto"/>
          <w:kern w:val="0"/>
          <w:sz w:val="32"/>
          <w:szCs w:val="32"/>
        </w:rPr>
        <w:t>更换监控终端81台</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kern w:val="0"/>
          <w:sz w:val="32"/>
          <w:szCs w:val="32"/>
        </w:rPr>
        <w:t>配合市城管局接管九华山路等</w:t>
      </w:r>
      <w:r>
        <w:rPr>
          <w:rFonts w:hint="eastAsia" w:ascii="CESI仿宋-GB2312" w:hAnsi="CESI仿宋-GB2312" w:eastAsia="CESI仿宋-GB2312" w:cs="CESI仿宋-GB2312"/>
          <w:kern w:val="0"/>
          <w:sz w:val="32"/>
          <w:szCs w:val="32"/>
          <w:lang w:val="en-US" w:eastAsia="zh-CN"/>
        </w:rPr>
        <w:t>7条</w:t>
      </w:r>
      <w:r>
        <w:rPr>
          <w:rFonts w:hint="eastAsia" w:ascii="CESI仿宋-GB2312" w:hAnsi="CESI仿宋-GB2312" w:eastAsia="CESI仿宋-GB2312" w:cs="CESI仿宋-GB2312"/>
          <w:kern w:val="0"/>
          <w:sz w:val="32"/>
          <w:szCs w:val="32"/>
        </w:rPr>
        <w:t>道路路灯共203基641盏。特别是，中心</w:t>
      </w:r>
      <w:r>
        <w:rPr>
          <w:rFonts w:hint="eastAsia" w:ascii="CESI仿宋-GB2312" w:hAnsi="CESI仿宋-GB2312" w:eastAsia="CESI仿宋-GB2312" w:cs="CESI仿宋-GB2312"/>
          <w:kern w:val="0"/>
          <w:sz w:val="32"/>
          <w:szCs w:val="32"/>
          <w:lang w:val="en-US" w:eastAsia="zh-CN"/>
        </w:rPr>
        <w:t>支委会</w:t>
      </w:r>
      <w:r>
        <w:rPr>
          <w:rFonts w:hint="eastAsia" w:ascii="CESI仿宋-GB2312" w:hAnsi="CESI仿宋-GB2312" w:eastAsia="CESI仿宋-GB2312" w:cs="CESI仿宋-GB2312"/>
          <w:kern w:val="0"/>
          <w:sz w:val="32"/>
          <w:szCs w:val="32"/>
        </w:rPr>
        <w:t>提前出台雨雪冰冻天气应对预案，成立冰雪天气应急专班，及时恢复</w:t>
      </w:r>
      <w:r>
        <w:rPr>
          <w:rFonts w:hint="eastAsia" w:ascii="CESI仿宋-GB2312" w:hAnsi="CESI仿宋-GB2312" w:eastAsia="CESI仿宋-GB2312" w:cs="CESI仿宋-GB2312"/>
          <w:kern w:val="0"/>
          <w:sz w:val="32"/>
          <w:szCs w:val="32"/>
          <w:lang w:eastAsia="zh-CN"/>
        </w:rPr>
        <w:t>倒杆</w:t>
      </w:r>
      <w:r>
        <w:rPr>
          <w:rFonts w:hint="eastAsia" w:ascii="CESI仿宋-GB2312" w:hAnsi="CESI仿宋-GB2312" w:eastAsia="CESI仿宋-GB2312" w:cs="CESI仿宋-GB2312"/>
          <w:kern w:val="0"/>
          <w:sz w:val="32"/>
          <w:szCs w:val="32"/>
        </w:rPr>
        <w:t>路灯5基，拆换灯杆2基，更换赶山西路烧毁路灯专变1台；处理主城区路灯线路故障30起，景观照明故障10余起</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color w:val="auto"/>
          <w:kern w:val="0"/>
          <w:sz w:val="32"/>
          <w:szCs w:val="32"/>
        </w:rPr>
        <w:t>确保了全市照明“</w:t>
      </w:r>
      <w:r>
        <w:rPr>
          <w:rFonts w:hint="eastAsia" w:ascii="CESI仿宋-GB2312" w:hAnsi="CESI仿宋-GB2312" w:eastAsia="CESI仿宋-GB2312" w:cs="CESI仿宋-GB2312"/>
          <w:color w:val="auto"/>
          <w:kern w:val="0"/>
          <w:sz w:val="32"/>
          <w:szCs w:val="32"/>
          <w:lang w:eastAsia="zh-CN"/>
        </w:rPr>
        <w:t>三</w:t>
      </w:r>
      <w:r>
        <w:rPr>
          <w:rFonts w:hint="eastAsia" w:ascii="CESI仿宋-GB2312" w:hAnsi="CESI仿宋-GB2312" w:eastAsia="CESI仿宋-GB2312" w:cs="CESI仿宋-GB2312"/>
          <w:color w:val="auto"/>
          <w:kern w:val="0"/>
          <w:sz w:val="32"/>
          <w:szCs w:val="32"/>
        </w:rPr>
        <w:t>率”</w:t>
      </w:r>
      <w:r>
        <w:rPr>
          <w:rFonts w:hint="eastAsia" w:ascii="CESI仿宋-GB2312" w:hAnsi="CESI仿宋-GB2312" w:eastAsia="CESI仿宋-GB2312" w:cs="CESI仿宋-GB2312"/>
          <w:color w:val="auto"/>
          <w:kern w:val="0"/>
          <w:sz w:val="32"/>
          <w:szCs w:val="32"/>
          <w:lang w:eastAsia="zh-CN"/>
        </w:rPr>
        <w:t>全年</w:t>
      </w:r>
      <w:r>
        <w:rPr>
          <w:rFonts w:hint="eastAsia" w:ascii="CESI仿宋-GB2312" w:hAnsi="CESI仿宋-GB2312" w:eastAsia="CESI仿宋-GB2312" w:cs="CESI仿宋-GB2312"/>
          <w:color w:val="auto"/>
          <w:kern w:val="0"/>
          <w:sz w:val="32"/>
          <w:szCs w:val="32"/>
        </w:rPr>
        <w:t>达标</w:t>
      </w:r>
      <w:r>
        <w:rPr>
          <w:rFonts w:hint="eastAsia" w:ascii="CESI仿宋-GB2312" w:hAnsi="CESI仿宋-GB2312" w:eastAsia="CESI仿宋-GB2312" w:cs="CESI仿宋-GB2312"/>
          <w:color w:val="auto"/>
          <w:kern w:val="0"/>
          <w:sz w:val="32"/>
          <w:szCs w:val="32"/>
          <w:lang w:eastAsia="zh-CN"/>
        </w:rPr>
        <w:t>，为广大市民夜间出行提供了强有力的安全保障。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b/>
          <w:bCs/>
          <w:kern w:val="0"/>
          <w:sz w:val="32"/>
          <w:szCs w:val="32"/>
          <w:lang w:val="en-US" w:eastAsia="zh-CN"/>
        </w:rPr>
        <w:t>（2）</w:t>
      </w:r>
      <w:r>
        <w:rPr>
          <w:rFonts w:hint="eastAsia" w:ascii="CESI仿宋-GB2312" w:hAnsi="CESI仿宋-GB2312" w:eastAsia="CESI仿宋-GB2312" w:cs="CESI仿宋-GB2312"/>
          <w:b/>
          <w:bCs/>
          <w:sz w:val="32"/>
          <w:szCs w:val="32"/>
        </w:rPr>
        <w:t>立体推进</w:t>
      </w:r>
      <w:r>
        <w:rPr>
          <w:rFonts w:hint="eastAsia" w:ascii="CESI仿宋-GB2312" w:hAnsi="CESI仿宋-GB2312" w:eastAsia="CESI仿宋-GB2312" w:cs="CESI仿宋-GB2312"/>
          <w:b/>
          <w:bCs/>
          <w:kern w:val="0"/>
          <w:sz w:val="32"/>
          <w:szCs w:val="32"/>
        </w:rPr>
        <w:t>，</w:t>
      </w:r>
      <w:r>
        <w:rPr>
          <w:rFonts w:hint="eastAsia" w:ascii="CESI仿宋-GB2312" w:hAnsi="CESI仿宋-GB2312" w:eastAsia="CESI仿宋-GB2312" w:cs="CESI仿宋-GB2312"/>
          <w:b/>
          <w:bCs/>
          <w:sz w:val="32"/>
          <w:szCs w:val="32"/>
        </w:rPr>
        <w:t>扮靓扮美“城市客厅”</w:t>
      </w:r>
      <w:r>
        <w:rPr>
          <w:rFonts w:hint="eastAsia" w:ascii="CESI仿宋-GB2312" w:hAnsi="CESI仿宋-GB2312" w:eastAsia="CESI仿宋-GB2312" w:cs="CESI仿宋-GB2312"/>
          <w:kern w:val="0"/>
          <w:sz w:val="32"/>
          <w:szCs w:val="32"/>
        </w:rPr>
        <w:t>。按照年度亮化大修计划，同时为迎接2025年第四届省旅发大会，</w:t>
      </w:r>
      <w:r>
        <w:rPr>
          <w:rFonts w:hint="eastAsia" w:ascii="CESI仿宋-GB2312" w:hAnsi="CESI仿宋-GB2312" w:eastAsia="CESI仿宋-GB2312" w:cs="CESI仿宋-GB2312"/>
          <w:kern w:val="0"/>
          <w:sz w:val="32"/>
          <w:szCs w:val="32"/>
          <w:lang w:eastAsia="zh-CN"/>
        </w:rPr>
        <w:t>中心</w:t>
      </w:r>
      <w:r>
        <w:rPr>
          <w:rFonts w:hint="eastAsia" w:ascii="CESI仿宋-GB2312" w:hAnsi="CESI仿宋-GB2312" w:eastAsia="CESI仿宋-GB2312" w:cs="CESI仿宋-GB2312"/>
          <w:kern w:val="0"/>
          <w:sz w:val="32"/>
          <w:szCs w:val="32"/>
        </w:rPr>
        <w:t>对市教体局等16</w:t>
      </w:r>
      <w:r>
        <w:rPr>
          <w:rFonts w:hint="eastAsia" w:ascii="CESI仿宋-GB2312" w:hAnsi="CESI仿宋-GB2312" w:eastAsia="CESI仿宋-GB2312" w:cs="CESI仿宋-GB2312"/>
          <w:kern w:val="0"/>
          <w:sz w:val="32"/>
          <w:szCs w:val="32"/>
          <w:lang w:eastAsia="zh-CN"/>
        </w:rPr>
        <w:t>栋楼宇</w:t>
      </w:r>
      <w:r>
        <w:rPr>
          <w:rFonts w:hint="eastAsia" w:ascii="CESI仿宋-GB2312" w:hAnsi="CESI仿宋-GB2312" w:eastAsia="CESI仿宋-GB2312" w:cs="CESI仿宋-GB2312"/>
          <w:kern w:val="0"/>
          <w:sz w:val="32"/>
          <w:szCs w:val="32"/>
        </w:rPr>
        <w:t>进行亮化大修，共计安装投光灯、线条灯、点光源等</w:t>
      </w:r>
      <w:r>
        <w:rPr>
          <w:rFonts w:hint="eastAsia" w:ascii="CESI仿宋-GB2312" w:hAnsi="CESI仿宋-GB2312" w:eastAsia="CESI仿宋-GB2312" w:cs="CESI仿宋-GB2312"/>
          <w:kern w:val="0"/>
          <w:sz w:val="32"/>
          <w:szCs w:val="32"/>
          <w:lang w:eastAsia="zh-CN"/>
        </w:rPr>
        <w:t>各类</w:t>
      </w:r>
      <w:r>
        <w:rPr>
          <w:rFonts w:hint="eastAsia" w:ascii="CESI仿宋-GB2312" w:hAnsi="CESI仿宋-GB2312" w:eastAsia="CESI仿宋-GB2312" w:cs="CESI仿宋-GB2312"/>
          <w:kern w:val="0"/>
          <w:sz w:val="32"/>
          <w:szCs w:val="32"/>
        </w:rPr>
        <w:t>灯具25351套，庭院灯45基，敷设各类电缆8900米，确保城区景观照明的整体性、艺术性，形成了和谐、雅致、丰富的城市夜间景观。</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b/>
          <w:bCs/>
          <w:kern w:val="0"/>
          <w:sz w:val="32"/>
          <w:szCs w:val="32"/>
          <w:lang w:val="en-US" w:eastAsia="zh-CN"/>
        </w:rPr>
        <w:t>（3）</w:t>
      </w:r>
      <w:r>
        <w:rPr>
          <w:rFonts w:hint="eastAsia" w:ascii="CESI仿宋-GB2312" w:hAnsi="CESI仿宋-GB2312" w:eastAsia="CESI仿宋-GB2312" w:cs="CESI仿宋-GB2312"/>
          <w:b/>
          <w:bCs/>
          <w:kern w:val="0"/>
          <w:sz w:val="32"/>
          <w:szCs w:val="32"/>
        </w:rPr>
        <w:t>精心安排，加力加彩“城市新春”。</w:t>
      </w:r>
      <w:r>
        <w:rPr>
          <w:rFonts w:hint="eastAsia" w:ascii="CESI仿宋-GB2312" w:hAnsi="CESI仿宋-GB2312" w:eastAsia="CESI仿宋-GB2312" w:cs="CESI仿宋-GB2312"/>
          <w:kern w:val="0"/>
          <w:sz w:val="32"/>
          <w:szCs w:val="32"/>
        </w:rPr>
        <w:t>春节前夕，在南湖广场、巴陵广场、岳阳大道隔离带共设置9处大型景观亮化造型，邕园路、新路口等18处主要路口及广场入口悬挂火红大灯笼13800个，湘北大道安装“云起龙骧·腾飞跃升”路灯装饰造型356个，岳阳东站出口安装“回家过年·阖家团圆”灯笼造型480个，对岳阳大道、洞庭大道等路段路灯上原有的854个“中国结”造型进行维修和更换，为广大市民营造喜庆祥和、平安幸福的节日氛围。</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b/>
          <w:bCs/>
          <w:sz w:val="32"/>
          <w:szCs w:val="32"/>
          <w:lang w:val="en-US" w:eastAsia="zh-CN"/>
        </w:rPr>
        <w:t>2、</w:t>
      </w:r>
      <w:r>
        <w:rPr>
          <w:rFonts w:hint="eastAsia" w:ascii="CESI仿宋-GB2312" w:hAnsi="CESI仿宋-GB2312" w:eastAsia="CESI仿宋-GB2312" w:cs="CESI仿宋-GB2312"/>
          <w:b/>
          <w:bCs/>
          <w:sz w:val="32"/>
          <w:szCs w:val="32"/>
        </w:rPr>
        <w:t>科技赋能提质效，</w:t>
      </w:r>
      <w:r>
        <w:rPr>
          <w:rFonts w:hint="eastAsia" w:ascii="CESI仿宋-GB2312" w:hAnsi="CESI仿宋-GB2312" w:eastAsia="CESI仿宋-GB2312" w:cs="CESI仿宋-GB2312"/>
          <w:b/>
          <w:bCs/>
          <w:sz w:val="32"/>
          <w:szCs w:val="32"/>
          <w:lang w:eastAsia="zh-CN"/>
        </w:rPr>
        <w:t>工程建设</w:t>
      </w:r>
      <w:r>
        <w:rPr>
          <w:rFonts w:hint="eastAsia" w:ascii="CESI仿宋-GB2312" w:hAnsi="CESI仿宋-GB2312" w:eastAsia="CESI仿宋-GB2312" w:cs="CESI仿宋-GB2312"/>
          <w:b/>
          <w:bCs/>
          <w:sz w:val="32"/>
          <w:szCs w:val="32"/>
        </w:rPr>
        <w:t>筑实新底座。</w:t>
      </w:r>
      <w:r>
        <w:rPr>
          <w:rFonts w:hint="eastAsia" w:ascii="CESI仿宋-GB2312" w:hAnsi="CESI仿宋-GB2312" w:eastAsia="CESI仿宋-GB2312" w:cs="CESI仿宋-GB2312"/>
          <w:kern w:val="0"/>
          <w:sz w:val="32"/>
          <w:szCs w:val="32"/>
        </w:rPr>
        <w:t>坚持科技赋能，推动绿色</w:t>
      </w:r>
      <w:r>
        <w:rPr>
          <w:rFonts w:hint="eastAsia" w:ascii="CESI仿宋-GB2312" w:hAnsi="CESI仿宋-GB2312" w:eastAsia="CESI仿宋-GB2312" w:cs="CESI仿宋-GB2312"/>
          <w:kern w:val="0"/>
          <w:sz w:val="32"/>
          <w:szCs w:val="32"/>
          <w:lang w:eastAsia="zh-CN"/>
        </w:rPr>
        <w:t>改造</w:t>
      </w:r>
      <w:r>
        <w:rPr>
          <w:rFonts w:hint="eastAsia" w:ascii="CESI仿宋-GB2312" w:hAnsi="CESI仿宋-GB2312" w:eastAsia="CESI仿宋-GB2312" w:cs="CESI仿宋-GB2312"/>
          <w:kern w:val="0"/>
          <w:sz w:val="32"/>
          <w:szCs w:val="32"/>
        </w:rPr>
        <w:t>、科技节能、</w:t>
      </w:r>
      <w:r>
        <w:rPr>
          <w:rFonts w:hint="eastAsia" w:ascii="CESI仿宋-GB2312" w:hAnsi="CESI仿宋-GB2312" w:eastAsia="CESI仿宋-GB2312" w:cs="CESI仿宋-GB2312"/>
          <w:kern w:val="0"/>
          <w:sz w:val="32"/>
          <w:szCs w:val="32"/>
          <w:lang w:eastAsia="zh-CN"/>
        </w:rPr>
        <w:t>网络</w:t>
      </w:r>
      <w:r>
        <w:rPr>
          <w:rFonts w:hint="eastAsia" w:ascii="CESI仿宋-GB2312" w:hAnsi="CESI仿宋-GB2312" w:eastAsia="CESI仿宋-GB2312" w:cs="CESI仿宋-GB2312"/>
          <w:kern w:val="0"/>
          <w:sz w:val="32"/>
          <w:szCs w:val="32"/>
        </w:rPr>
        <w:t>安全在城市照明工作中落地生根、开花结果。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kern w:val="0"/>
          <w:sz w:val="32"/>
          <w:szCs w:val="32"/>
          <w:lang w:val="en-US" w:eastAsia="zh-CN"/>
        </w:rPr>
        <w:t>（1）</w:t>
      </w:r>
      <w:r>
        <w:rPr>
          <w:rFonts w:hint="eastAsia" w:ascii="CESI仿宋-GB2312" w:hAnsi="CESI仿宋-GB2312" w:eastAsia="CESI仿宋-GB2312" w:cs="CESI仿宋-GB2312"/>
          <w:b/>
          <w:bCs/>
          <w:sz w:val="32"/>
          <w:szCs w:val="32"/>
        </w:rPr>
        <w:t>规划引领提质照明工程。</w:t>
      </w:r>
      <w:r>
        <w:rPr>
          <w:rFonts w:hint="eastAsia" w:ascii="CESI仿宋-GB2312" w:hAnsi="CESI仿宋-GB2312" w:eastAsia="CESI仿宋-GB2312" w:cs="CESI仿宋-GB2312"/>
          <w:sz w:val="32"/>
          <w:szCs w:val="32"/>
        </w:rPr>
        <w:t>按照住建部节能改造和</w:t>
      </w:r>
      <w:r>
        <w:rPr>
          <w:rFonts w:hint="eastAsia" w:ascii="CESI仿宋-GB2312" w:hAnsi="CESI仿宋-GB2312" w:eastAsia="CESI仿宋-GB2312" w:cs="CESI仿宋-GB2312"/>
          <w:kern w:val="0"/>
          <w:sz w:val="32"/>
          <w:szCs w:val="32"/>
          <w:lang w:val="en-US" w:eastAsia="zh-CN" w:bidi="ar-SA"/>
        </w:rPr>
        <w:t>《岳阳市主城区城市照明专项规划（2021-2035）》</w:t>
      </w:r>
      <w:r>
        <w:rPr>
          <w:rFonts w:hint="eastAsia" w:ascii="CESI仿宋-GB2312" w:hAnsi="CESI仿宋-GB2312" w:eastAsia="CESI仿宋-GB2312" w:cs="CESI仿宋-GB2312"/>
          <w:sz w:val="32"/>
          <w:szCs w:val="32"/>
        </w:rPr>
        <w:t>相关要求</w:t>
      </w:r>
      <w:r>
        <w:rPr>
          <w:rFonts w:hint="eastAsia" w:ascii="CESI仿宋-GB2312" w:hAnsi="CESI仿宋-GB2312" w:eastAsia="CESI仿宋-GB2312" w:cs="CESI仿宋-GB2312"/>
          <w:kern w:val="0"/>
          <w:sz w:val="32"/>
          <w:szCs w:val="32"/>
          <w:lang w:val="en-US" w:eastAsia="zh-CN" w:bidi="ar-SA"/>
        </w:rPr>
        <w:t>，</w:t>
      </w:r>
      <w:r>
        <w:rPr>
          <w:rFonts w:hint="eastAsia" w:ascii="CESI仿宋-GB2312" w:hAnsi="CESI仿宋-GB2312" w:eastAsia="CESI仿宋-GB2312" w:cs="CESI仿宋-GB2312"/>
          <w:sz w:val="32"/>
          <w:szCs w:val="32"/>
        </w:rPr>
        <w:t>完成金凤桥北路、海关路、建湘南路等30条主次干道绿色照明改造，共计更换LED灯具4248盏，LED投光灯265套</w:t>
      </w:r>
      <w:r>
        <w:rPr>
          <w:rFonts w:hint="eastAsia" w:ascii="CESI仿宋-GB2312" w:hAnsi="CESI仿宋-GB2312" w:eastAsia="CESI仿宋-GB2312" w:cs="CESI仿宋-GB2312"/>
          <w:sz w:val="32"/>
          <w:szCs w:val="32"/>
          <w:lang w:eastAsia="zh-CN"/>
        </w:rPr>
        <w:t>，改造完成后的灯更亮了、路更明了、电更省了</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b/>
          <w:bCs/>
          <w:sz w:val="32"/>
          <w:szCs w:val="32"/>
          <w:lang w:val="en-US" w:eastAsia="zh-CN"/>
        </w:rPr>
        <w:t>（2）</w:t>
      </w:r>
      <w:r>
        <w:rPr>
          <w:rFonts w:hint="eastAsia" w:ascii="CESI仿宋-GB2312" w:hAnsi="CESI仿宋-GB2312" w:eastAsia="CESI仿宋-GB2312" w:cs="CESI仿宋-GB2312"/>
          <w:b/>
          <w:bCs/>
          <w:sz w:val="32"/>
          <w:szCs w:val="32"/>
          <w:lang w:eastAsia="zh-CN"/>
        </w:rPr>
        <w:t>单灯控制提质节能减排。</w:t>
      </w:r>
      <w:r>
        <w:rPr>
          <w:rFonts w:hint="eastAsia" w:ascii="CESI仿宋-GB2312" w:hAnsi="CESI仿宋-GB2312" w:eastAsia="CESI仿宋-GB2312" w:cs="CESI仿宋-GB2312"/>
          <w:sz w:val="32"/>
          <w:szCs w:val="32"/>
        </w:rPr>
        <w:t>根据“十四五”全国城市基础设施建设规划要求，中心持续开展城市照明节能改造，</w:t>
      </w:r>
      <w:r>
        <w:rPr>
          <w:rFonts w:hint="eastAsia" w:ascii="CESI仿宋-GB2312" w:hAnsi="CESI仿宋-GB2312" w:eastAsia="CESI仿宋-GB2312" w:cs="CESI仿宋-GB2312"/>
          <w:kern w:val="0"/>
          <w:sz w:val="32"/>
          <w:szCs w:val="32"/>
        </w:rPr>
        <w:t>积极推行路灯单灯控制，</w:t>
      </w:r>
      <w:r>
        <w:rPr>
          <w:rFonts w:hint="eastAsia" w:ascii="CESI仿宋-GB2312" w:hAnsi="CESI仿宋-GB2312" w:eastAsia="CESI仿宋-GB2312" w:cs="CESI仿宋-GB2312"/>
          <w:sz w:val="32"/>
          <w:szCs w:val="32"/>
        </w:rPr>
        <w:t>完成岳阳大道、洞庭大道、奇康路等10余条道路4052套单灯控制器的安装</w:t>
      </w:r>
      <w:r>
        <w:rPr>
          <w:rFonts w:hint="eastAsia" w:ascii="CESI仿宋-GB2312" w:hAnsi="CESI仿宋-GB2312" w:eastAsia="CESI仿宋-GB2312" w:cs="CESI仿宋-GB2312"/>
          <w:kern w:val="0"/>
          <w:sz w:val="32"/>
          <w:szCs w:val="32"/>
        </w:rPr>
        <w:t>，实现精细化按需照明。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color w:val="FF0000"/>
          <w:kern w:val="0"/>
          <w:sz w:val="32"/>
          <w:szCs w:val="32"/>
          <w:lang w:eastAsia="zh-CN"/>
        </w:rPr>
      </w:pPr>
      <w:r>
        <w:rPr>
          <w:rFonts w:hint="eastAsia" w:ascii="CESI仿宋-GB2312" w:hAnsi="CESI仿宋-GB2312" w:eastAsia="CESI仿宋-GB2312" w:cs="CESI仿宋-GB2312"/>
          <w:b/>
          <w:bCs/>
          <w:kern w:val="0"/>
          <w:sz w:val="32"/>
          <w:szCs w:val="32"/>
          <w:lang w:val="en-US" w:eastAsia="zh-CN"/>
        </w:rPr>
        <w:t>（3）</w:t>
      </w:r>
      <w:r>
        <w:rPr>
          <w:rFonts w:hint="eastAsia" w:ascii="CESI仿宋-GB2312" w:hAnsi="CESI仿宋-GB2312" w:eastAsia="CESI仿宋-GB2312" w:cs="CESI仿宋-GB2312"/>
          <w:b/>
          <w:bCs/>
          <w:kern w:val="0"/>
          <w:sz w:val="32"/>
          <w:szCs w:val="32"/>
        </w:rPr>
        <w:t>科技助力守住</w:t>
      </w:r>
      <w:r>
        <w:rPr>
          <w:rFonts w:hint="eastAsia" w:ascii="CESI仿宋-GB2312" w:hAnsi="CESI仿宋-GB2312" w:eastAsia="CESI仿宋-GB2312" w:cs="CESI仿宋-GB2312"/>
          <w:b/>
          <w:bCs/>
          <w:kern w:val="0"/>
          <w:sz w:val="32"/>
          <w:szCs w:val="32"/>
          <w:lang w:eastAsia="zh-CN"/>
        </w:rPr>
        <w:t>网络安全</w:t>
      </w:r>
      <w:r>
        <w:rPr>
          <w:rFonts w:hint="eastAsia" w:ascii="CESI仿宋-GB2312" w:hAnsi="CESI仿宋-GB2312" w:eastAsia="CESI仿宋-GB2312" w:cs="CESI仿宋-GB2312"/>
          <w:b/>
          <w:bCs/>
          <w:kern w:val="0"/>
          <w:sz w:val="32"/>
          <w:szCs w:val="32"/>
        </w:rPr>
        <w:t>。</w:t>
      </w:r>
      <w:r>
        <w:rPr>
          <w:rFonts w:hint="eastAsia" w:ascii="CESI仿宋-GB2312" w:hAnsi="CESI仿宋-GB2312" w:eastAsia="CESI仿宋-GB2312" w:cs="CESI仿宋-GB2312"/>
          <w:b w:val="0"/>
          <w:bCs w:val="0"/>
          <w:kern w:val="0"/>
          <w:sz w:val="32"/>
          <w:szCs w:val="32"/>
          <w:lang w:val="en-US" w:eastAsia="zh-CN" w:bidi="ar"/>
        </w:rPr>
        <w:t>全面落实网络信息安全主体责任，提高网络信息安全防护能力</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邀请广东南方信息安全研究院对</w:t>
      </w:r>
      <w:r>
        <w:rPr>
          <w:rFonts w:hint="eastAsia" w:ascii="CESI仿宋-GB2312" w:hAnsi="CESI仿宋-GB2312" w:eastAsia="CESI仿宋-GB2312" w:cs="CESI仿宋-GB2312"/>
          <w:sz w:val="32"/>
          <w:szCs w:val="32"/>
          <w:lang w:eastAsia="zh-CN"/>
        </w:rPr>
        <w:t>城市</w:t>
      </w:r>
      <w:r>
        <w:rPr>
          <w:rFonts w:hint="eastAsia" w:ascii="CESI仿宋-GB2312" w:hAnsi="CESI仿宋-GB2312" w:eastAsia="CESI仿宋-GB2312" w:cs="CESI仿宋-GB2312"/>
          <w:sz w:val="32"/>
          <w:szCs w:val="32"/>
        </w:rPr>
        <w:t>照明管理平台</w:t>
      </w:r>
      <w:r>
        <w:rPr>
          <w:rFonts w:hint="eastAsia" w:ascii="CESI仿宋-GB2312" w:hAnsi="CESI仿宋-GB2312" w:eastAsia="CESI仿宋-GB2312" w:cs="CESI仿宋-GB2312"/>
          <w:sz w:val="32"/>
          <w:szCs w:val="32"/>
          <w:lang w:eastAsia="zh-CN"/>
        </w:rPr>
        <w:t>进行</w:t>
      </w:r>
      <w:r>
        <w:rPr>
          <w:rFonts w:hint="eastAsia" w:ascii="CESI仿宋-GB2312" w:hAnsi="CESI仿宋-GB2312" w:eastAsia="CESI仿宋-GB2312" w:cs="CESI仿宋-GB2312"/>
          <w:sz w:val="32"/>
          <w:szCs w:val="32"/>
        </w:rPr>
        <w:t>全面</w:t>
      </w:r>
      <w:r>
        <w:rPr>
          <w:rFonts w:hint="eastAsia" w:ascii="CESI仿宋-GB2312" w:hAnsi="CESI仿宋-GB2312" w:eastAsia="CESI仿宋-GB2312" w:cs="CESI仿宋-GB2312"/>
          <w:sz w:val="32"/>
          <w:szCs w:val="32"/>
          <w:lang w:eastAsia="zh-CN"/>
        </w:rPr>
        <w:t>的</w:t>
      </w:r>
      <w:r>
        <w:rPr>
          <w:rFonts w:hint="eastAsia" w:ascii="CESI仿宋-GB2312" w:hAnsi="CESI仿宋-GB2312" w:eastAsia="CESI仿宋-GB2312" w:cs="CESI仿宋-GB2312"/>
          <w:sz w:val="32"/>
          <w:szCs w:val="32"/>
        </w:rPr>
        <w:t>测评</w:t>
      </w:r>
      <w:r>
        <w:rPr>
          <w:rFonts w:hint="eastAsia" w:ascii="CESI仿宋-GB2312" w:hAnsi="CESI仿宋-GB2312" w:eastAsia="CESI仿宋-GB2312" w:cs="CESI仿宋-GB2312"/>
          <w:sz w:val="32"/>
          <w:szCs w:val="32"/>
          <w:lang w:eastAsia="zh-CN"/>
        </w:rPr>
        <w:t>、升级、改造，</w:t>
      </w:r>
      <w:r>
        <w:rPr>
          <w:rFonts w:hint="eastAsia" w:ascii="CESI仿宋-GB2312" w:hAnsi="CESI仿宋-GB2312" w:eastAsia="CESI仿宋-GB2312" w:cs="CESI仿宋-GB2312"/>
          <w:sz w:val="32"/>
          <w:szCs w:val="32"/>
        </w:rPr>
        <w:t>分类落实软件升级，完善安全管理制度，更新核心设备，新设物理防火墙、日志审计系统等，构建起网络安全边界清晰、防范技术过硬，管理机构合理的防护照明网络，</w:t>
      </w:r>
      <w:r>
        <w:rPr>
          <w:rFonts w:hint="eastAsia" w:ascii="CESI仿宋-GB2312" w:hAnsi="CESI仿宋-GB2312" w:eastAsia="CESI仿宋-GB2312" w:cs="CESI仿宋-GB2312"/>
          <w:kern w:val="0"/>
          <w:sz w:val="32"/>
          <w:szCs w:val="32"/>
        </w:rPr>
        <w:t>网络信息安全防护能力有效提升</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color w:val="auto"/>
          <w:kern w:val="0"/>
          <w:sz w:val="32"/>
          <w:szCs w:val="32"/>
          <w:lang w:eastAsia="zh-CN"/>
        </w:rPr>
        <w:t>为城市照明信息化管理构建安全屏障。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b/>
          <w:bCs/>
          <w:sz w:val="32"/>
          <w:szCs w:val="32"/>
          <w:lang w:val="en-US" w:eastAsia="zh-CN"/>
        </w:rPr>
        <w:t>3、</w:t>
      </w:r>
      <w:r>
        <w:rPr>
          <w:rFonts w:hint="eastAsia" w:ascii="CESI仿宋-GB2312" w:hAnsi="CESI仿宋-GB2312" w:eastAsia="CESI仿宋-GB2312" w:cs="CESI仿宋-GB2312"/>
          <w:b/>
          <w:bCs/>
          <w:sz w:val="32"/>
          <w:szCs w:val="32"/>
          <w:lang w:eastAsia="zh-CN"/>
        </w:rPr>
        <w:t>指示引领促发展</w:t>
      </w:r>
      <w:r>
        <w:rPr>
          <w:rFonts w:hint="eastAsia" w:ascii="CESI仿宋-GB2312" w:hAnsi="CESI仿宋-GB2312" w:eastAsia="CESI仿宋-GB2312" w:cs="CESI仿宋-GB2312"/>
          <w:b/>
          <w:bCs/>
          <w:sz w:val="32"/>
          <w:szCs w:val="32"/>
        </w:rPr>
        <w:t>，</w:t>
      </w:r>
      <w:r>
        <w:rPr>
          <w:rFonts w:hint="eastAsia" w:ascii="CESI仿宋-GB2312" w:hAnsi="CESI仿宋-GB2312" w:eastAsia="CESI仿宋-GB2312" w:cs="CESI仿宋-GB2312"/>
          <w:b/>
          <w:bCs/>
          <w:sz w:val="32"/>
          <w:szCs w:val="32"/>
          <w:lang w:eastAsia="zh-CN"/>
        </w:rPr>
        <w:t>三大工作开拓新局面</w:t>
      </w:r>
      <w:r>
        <w:rPr>
          <w:rFonts w:hint="eastAsia" w:ascii="CESI仿宋-GB2312" w:hAnsi="CESI仿宋-GB2312" w:eastAsia="CESI仿宋-GB2312" w:cs="CESI仿宋-GB2312"/>
          <w:b/>
          <w:bCs/>
          <w:sz w:val="32"/>
          <w:szCs w:val="32"/>
        </w:rPr>
        <w:t>。</w:t>
      </w:r>
      <w:r>
        <w:rPr>
          <w:rFonts w:hint="eastAsia" w:ascii="CESI仿宋-GB2312" w:hAnsi="CESI仿宋-GB2312" w:eastAsia="CESI仿宋-GB2312" w:cs="CESI仿宋-GB2312"/>
          <w:sz w:val="32"/>
          <w:szCs w:val="32"/>
          <w:lang w:val="en-US" w:eastAsia="zh-CN"/>
        </w:rPr>
        <w:t>严格做好督导考核工作，完善单位管理体制机制，夯实安全生产防线，促进各项工作高质量发展。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b w:val="0"/>
          <w:bCs w:val="0"/>
          <w:kern w:val="2"/>
          <w:sz w:val="32"/>
          <w:szCs w:val="32"/>
          <w:lang w:val="en-US" w:eastAsia="zh-CN" w:bidi="ar"/>
        </w:rPr>
      </w:pPr>
      <w:r>
        <w:rPr>
          <w:rFonts w:hint="eastAsia" w:ascii="CESI仿宋-GB2312" w:hAnsi="CESI仿宋-GB2312" w:eastAsia="CESI仿宋-GB2312" w:cs="CESI仿宋-GB2312"/>
          <w:b/>
          <w:bCs/>
          <w:sz w:val="32"/>
          <w:szCs w:val="32"/>
          <w:lang w:val="en-US" w:eastAsia="zh-CN"/>
        </w:rPr>
        <w:t>（1）</w:t>
      </w:r>
      <w:r>
        <w:rPr>
          <w:rFonts w:hint="eastAsia" w:ascii="CESI仿宋-GB2312" w:hAnsi="CESI仿宋-GB2312" w:eastAsia="CESI仿宋-GB2312" w:cs="CESI仿宋-GB2312"/>
          <w:b/>
          <w:bCs/>
          <w:kern w:val="0"/>
          <w:sz w:val="32"/>
          <w:szCs w:val="32"/>
          <w:lang w:val="en-US" w:eastAsia="zh-CN"/>
        </w:rPr>
        <w:t>认真做好督导考核工作。</w:t>
      </w:r>
      <w:r>
        <w:rPr>
          <w:rFonts w:hint="eastAsia" w:ascii="CESI仿宋-GB2312" w:hAnsi="CESI仿宋-GB2312" w:eastAsia="CESI仿宋-GB2312" w:cs="CESI仿宋-GB2312"/>
          <w:b w:val="0"/>
          <w:bCs w:val="0"/>
          <w:kern w:val="0"/>
          <w:sz w:val="32"/>
          <w:szCs w:val="32"/>
          <w:lang w:val="en-US" w:eastAsia="zh-CN"/>
        </w:rPr>
        <w:t>一是</w:t>
      </w:r>
      <w:r>
        <w:rPr>
          <w:rFonts w:hint="eastAsia" w:ascii="CESI仿宋-GB2312" w:hAnsi="CESI仿宋-GB2312" w:eastAsia="CESI仿宋-GB2312" w:cs="CESI仿宋-GB2312"/>
          <w:sz w:val="32"/>
          <w:szCs w:val="32"/>
          <w:lang w:eastAsia="zh-CN"/>
        </w:rPr>
        <w:t>全面</w:t>
      </w:r>
      <w:r>
        <w:rPr>
          <w:rFonts w:hint="eastAsia" w:ascii="CESI仿宋-GB2312" w:hAnsi="CESI仿宋-GB2312" w:eastAsia="CESI仿宋-GB2312" w:cs="CESI仿宋-GB2312"/>
          <w:sz w:val="32"/>
          <w:szCs w:val="32"/>
        </w:rPr>
        <w:t>贯彻落实市</w:t>
      </w:r>
      <w:r>
        <w:rPr>
          <w:rFonts w:hint="eastAsia" w:ascii="CESI仿宋-GB2312" w:hAnsi="CESI仿宋-GB2312" w:eastAsia="CESI仿宋-GB2312" w:cs="CESI仿宋-GB2312"/>
          <w:sz w:val="32"/>
          <w:szCs w:val="32"/>
          <w:lang w:val="en-US" w:eastAsia="zh-CN"/>
        </w:rPr>
        <w:t>城管</w:t>
      </w:r>
      <w:r>
        <w:rPr>
          <w:rFonts w:hint="eastAsia" w:ascii="CESI仿宋-GB2312" w:hAnsi="CESI仿宋-GB2312" w:eastAsia="CESI仿宋-GB2312" w:cs="CESI仿宋-GB2312"/>
          <w:sz w:val="32"/>
          <w:szCs w:val="32"/>
        </w:rPr>
        <w:t>局“精兵强示范”部署要求，</w:t>
      </w:r>
      <w:r>
        <w:rPr>
          <w:rFonts w:hint="eastAsia" w:ascii="CESI仿宋-GB2312" w:hAnsi="CESI仿宋-GB2312" w:eastAsia="CESI仿宋-GB2312" w:cs="CESI仿宋-GB2312"/>
          <w:sz w:val="32"/>
          <w:szCs w:val="32"/>
          <w:lang w:eastAsia="zh-CN"/>
        </w:rPr>
        <w:t>对</w:t>
      </w:r>
      <w:r>
        <w:rPr>
          <w:rFonts w:hint="eastAsia" w:ascii="CESI仿宋-GB2312" w:hAnsi="CESI仿宋-GB2312" w:eastAsia="CESI仿宋-GB2312" w:cs="CESI仿宋-GB2312"/>
          <w:sz w:val="32"/>
          <w:szCs w:val="32"/>
          <w:lang w:val="en-US" w:eastAsia="zh-CN"/>
        </w:rPr>
        <w:t>中心城区20条主干道的城市照明、市容环境卫生、市容秩序等9个方面进行精细化督导。</w:t>
      </w:r>
      <w:r>
        <w:rPr>
          <w:rFonts w:hint="eastAsia" w:ascii="CESI仿宋-GB2312" w:hAnsi="CESI仿宋-GB2312" w:eastAsia="CESI仿宋-GB2312" w:cs="CESI仿宋-GB2312"/>
          <w:b w:val="0"/>
          <w:bCs w:val="0"/>
          <w:kern w:val="2"/>
          <w:sz w:val="32"/>
          <w:szCs w:val="32"/>
          <w:lang w:val="en-US" w:eastAsia="zh-CN" w:bidi="ar"/>
        </w:rPr>
        <w:t>全年共督导48次，</w:t>
      </w:r>
      <w:r>
        <w:rPr>
          <w:rFonts w:hint="eastAsia" w:ascii="CESI仿宋-GB2312" w:hAnsi="CESI仿宋-GB2312" w:eastAsia="CESI仿宋-GB2312" w:cs="CESI仿宋-GB2312"/>
          <w:b w:val="0"/>
          <w:bCs w:val="0"/>
          <w:color w:val="auto"/>
          <w:kern w:val="2"/>
          <w:sz w:val="32"/>
          <w:szCs w:val="32"/>
          <w:lang w:val="en-US" w:eastAsia="zh-CN" w:bidi="ar"/>
        </w:rPr>
        <w:t>累计出动1296人次，督导发现各类大小问题共3661个，</w:t>
      </w:r>
      <w:r>
        <w:rPr>
          <w:rFonts w:hint="eastAsia" w:ascii="CESI仿宋-GB2312" w:hAnsi="CESI仿宋-GB2312" w:eastAsia="CESI仿宋-GB2312" w:cs="CESI仿宋-GB2312"/>
          <w:b w:val="0"/>
          <w:bCs w:val="0"/>
          <w:kern w:val="2"/>
          <w:sz w:val="32"/>
          <w:szCs w:val="32"/>
          <w:lang w:val="en-US" w:eastAsia="zh-CN" w:bidi="ar"/>
        </w:rPr>
        <w:t>为</w:t>
      </w:r>
      <w:r>
        <w:rPr>
          <w:rFonts w:hint="eastAsia" w:ascii="CESI仿宋-GB2312" w:hAnsi="CESI仿宋-GB2312" w:eastAsia="CESI仿宋-GB2312" w:cs="CESI仿宋-GB2312"/>
          <w:sz w:val="32"/>
          <w:szCs w:val="32"/>
          <w:lang w:eastAsia="zh-CN"/>
        </w:rPr>
        <w:t>强化示范引领作用提供了有力支撑。</w:t>
      </w:r>
      <w:r>
        <w:rPr>
          <w:rFonts w:hint="eastAsia" w:ascii="CESI仿宋-GB2312" w:hAnsi="CESI仿宋-GB2312" w:eastAsia="CESI仿宋-GB2312" w:cs="CESI仿宋-GB2312"/>
          <w:b w:val="0"/>
          <w:bCs w:val="0"/>
          <w:color w:val="auto"/>
          <w:kern w:val="2"/>
          <w:sz w:val="32"/>
          <w:szCs w:val="32"/>
          <w:lang w:val="en-US" w:eastAsia="zh-CN" w:bidi="ar"/>
        </w:rPr>
        <w:t>二是</w:t>
      </w:r>
      <w:r>
        <w:rPr>
          <w:rFonts w:hint="eastAsia" w:ascii="CESI仿宋-GB2312" w:hAnsi="CESI仿宋-GB2312" w:eastAsia="CESI仿宋-GB2312" w:cs="CESI仿宋-GB2312"/>
          <w:b w:val="0"/>
          <w:bCs w:val="0"/>
          <w:kern w:val="2"/>
          <w:sz w:val="32"/>
          <w:szCs w:val="32"/>
          <w:lang w:val="en-US" w:eastAsia="zh-CN" w:bidi="ar"/>
        </w:rPr>
        <w:t>深化落实“六区”标准化考核要求，对“六区”的333条主次干道和小街小巷的照明设施完好率、亮灯率</w:t>
      </w:r>
      <w:r>
        <w:rPr>
          <w:rFonts w:hint="eastAsia" w:ascii="CESI仿宋-GB2312" w:hAnsi="CESI仿宋-GB2312" w:eastAsia="CESI仿宋-GB2312" w:cs="CESI仿宋-GB2312"/>
          <w:b w:val="0"/>
          <w:bCs w:val="0"/>
          <w:sz w:val="32"/>
          <w:szCs w:val="32"/>
          <w:lang w:val="en-US" w:eastAsia="zh-CN"/>
        </w:rPr>
        <w:t>考评24次</w:t>
      </w:r>
      <w:r>
        <w:rPr>
          <w:rFonts w:hint="eastAsia" w:ascii="CESI仿宋-GB2312" w:hAnsi="CESI仿宋-GB2312" w:eastAsia="CESI仿宋-GB2312" w:cs="CESI仿宋-GB2312"/>
          <w:b w:val="0"/>
          <w:bCs w:val="0"/>
          <w:kern w:val="2"/>
          <w:sz w:val="32"/>
          <w:szCs w:val="32"/>
          <w:lang w:val="en-US" w:eastAsia="zh-CN" w:bidi="ar"/>
        </w:rPr>
        <w:t>，累计发现问题320处</w:t>
      </w:r>
      <w:r>
        <w:rPr>
          <w:rFonts w:hint="eastAsia" w:ascii="CESI仿宋-GB2312" w:hAnsi="CESI仿宋-GB2312" w:eastAsia="CESI仿宋-GB2312" w:cs="CESI仿宋-GB2312"/>
          <w:b w:val="0"/>
          <w:bCs w:val="0"/>
          <w:sz w:val="32"/>
          <w:szCs w:val="32"/>
          <w:lang w:eastAsia="zh-CN"/>
        </w:rPr>
        <w:t>，为</w:t>
      </w:r>
      <w:r>
        <w:rPr>
          <w:rFonts w:hint="eastAsia" w:ascii="CESI仿宋-GB2312" w:hAnsi="CESI仿宋-GB2312" w:eastAsia="CESI仿宋-GB2312" w:cs="CESI仿宋-GB2312"/>
          <w:b w:val="0"/>
          <w:bCs w:val="0"/>
          <w:kern w:val="2"/>
          <w:sz w:val="32"/>
          <w:szCs w:val="32"/>
          <w:lang w:val="en-US" w:eastAsia="zh-CN" w:bidi="ar"/>
        </w:rPr>
        <w:t>高标准高质量做好城市管理提供了重要抓手。</w:t>
      </w:r>
    </w:p>
    <w:p>
      <w:pPr>
        <w:keepNext w:val="0"/>
        <w:keepLines w:val="0"/>
        <w:pageBreakBefore w:val="0"/>
        <w:wordWrap/>
        <w:overflowPunct/>
        <w:topLinePunct w:val="0"/>
        <w:bidi w:val="0"/>
        <w:spacing w:before="281" w:line="580" w:lineRule="exact"/>
        <w:ind w:right="146" w:firstLine="639"/>
        <w:jc w:val="both"/>
        <w:rPr>
          <w:rFonts w:hint="eastAsia" w:ascii="CESI仿宋-GB2312" w:hAnsi="CESI仿宋-GB2312" w:eastAsia="CESI仿宋-GB2312" w:cs="CESI仿宋-GB2312"/>
          <w:color w:val="FF0000"/>
          <w:sz w:val="32"/>
          <w:szCs w:val="32"/>
          <w:lang w:val="en-US" w:eastAsia="zh-CN"/>
        </w:rPr>
      </w:pPr>
      <w:r>
        <w:rPr>
          <w:rFonts w:hint="eastAsia" w:ascii="CESI仿宋-GB2312" w:hAnsi="CESI仿宋-GB2312" w:eastAsia="CESI仿宋-GB2312" w:cs="CESI仿宋-GB2312"/>
          <w:b/>
          <w:bCs/>
          <w:sz w:val="32"/>
          <w:szCs w:val="32"/>
          <w:lang w:val="en-US" w:eastAsia="zh-CN"/>
        </w:rPr>
        <w:t>（2）完善单位管理体制机制。</w:t>
      </w:r>
      <w:r>
        <w:rPr>
          <w:rFonts w:hint="eastAsia" w:ascii="CESI仿宋-GB2312" w:hAnsi="CESI仿宋-GB2312" w:eastAsia="CESI仿宋-GB2312" w:cs="CESI仿宋-GB2312"/>
          <w:b w:val="0"/>
          <w:bCs w:val="0"/>
          <w:sz w:val="32"/>
          <w:szCs w:val="32"/>
          <w:lang w:val="en-US" w:eastAsia="zh-CN"/>
        </w:rPr>
        <w:t>一是依规纳统，确保改革落地。</w:t>
      </w:r>
      <w:r>
        <w:rPr>
          <w:rFonts w:hint="eastAsia" w:ascii="CESI仿宋-GB2312" w:hAnsi="CESI仿宋-GB2312" w:eastAsia="CESI仿宋-GB2312" w:cs="CESI仿宋-GB2312"/>
          <w:sz w:val="32"/>
          <w:szCs w:val="32"/>
        </w:rPr>
        <w:t>根据市委关于深化经开区管理体制改革的统一部署</w:t>
      </w:r>
      <w:r>
        <w:rPr>
          <w:rFonts w:hint="eastAsia" w:ascii="CESI仿宋-GB2312" w:hAnsi="CESI仿宋-GB2312" w:eastAsia="CESI仿宋-GB2312" w:cs="CESI仿宋-GB2312"/>
          <w:color w:val="auto"/>
          <w:sz w:val="32"/>
          <w:szCs w:val="32"/>
        </w:rPr>
        <w:t>，中心</w:t>
      </w:r>
      <w:r>
        <w:rPr>
          <w:rFonts w:hint="eastAsia" w:ascii="CESI仿宋-GB2312" w:hAnsi="CESI仿宋-GB2312" w:eastAsia="CESI仿宋-GB2312" w:cs="CESI仿宋-GB2312"/>
          <w:color w:val="auto"/>
          <w:sz w:val="32"/>
          <w:szCs w:val="32"/>
          <w:lang w:eastAsia="zh-CN"/>
        </w:rPr>
        <w:t>整体接收</w:t>
      </w:r>
      <w:r>
        <w:rPr>
          <w:rFonts w:hint="eastAsia" w:ascii="CESI仿宋-GB2312" w:hAnsi="CESI仿宋-GB2312" w:eastAsia="CESI仿宋-GB2312" w:cs="CESI仿宋-GB2312"/>
          <w:color w:val="auto"/>
          <w:sz w:val="32"/>
          <w:szCs w:val="32"/>
        </w:rPr>
        <w:t>经开区</w:t>
      </w:r>
      <w:r>
        <w:rPr>
          <w:rFonts w:hint="eastAsia" w:ascii="CESI仿宋-GB2312" w:hAnsi="CESI仿宋-GB2312" w:eastAsia="CESI仿宋-GB2312" w:cs="CESI仿宋-GB2312"/>
          <w:color w:val="auto"/>
          <w:sz w:val="32"/>
          <w:szCs w:val="32"/>
          <w:lang w:eastAsia="zh-CN"/>
        </w:rPr>
        <w:t>路灯管理所</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完成</w:t>
      </w:r>
      <w:r>
        <w:rPr>
          <w:rFonts w:hint="eastAsia" w:ascii="CESI仿宋-GB2312" w:hAnsi="CESI仿宋-GB2312" w:eastAsia="CESI仿宋-GB2312" w:cs="CESI仿宋-GB2312"/>
          <w:color w:val="auto"/>
          <w:sz w:val="32"/>
          <w:szCs w:val="32"/>
        </w:rPr>
        <w:t>人员</w:t>
      </w:r>
      <w:r>
        <w:rPr>
          <w:rFonts w:hint="eastAsia" w:ascii="CESI仿宋-GB2312" w:hAnsi="CESI仿宋-GB2312" w:eastAsia="CESI仿宋-GB2312" w:cs="CESI仿宋-GB2312"/>
          <w:color w:val="auto"/>
          <w:sz w:val="32"/>
          <w:szCs w:val="32"/>
          <w:lang w:eastAsia="zh-CN"/>
        </w:rPr>
        <w:t>转隶</w:t>
      </w:r>
      <w:r>
        <w:rPr>
          <w:rFonts w:hint="eastAsia" w:ascii="CESI仿宋-GB2312" w:hAnsi="CESI仿宋-GB2312" w:eastAsia="CESI仿宋-GB2312" w:cs="CESI仿宋-GB2312"/>
          <w:color w:val="auto"/>
          <w:sz w:val="32"/>
          <w:szCs w:val="32"/>
        </w:rPr>
        <w:t>，经开区的桐子岭路等73条道路</w:t>
      </w:r>
      <w:r>
        <w:rPr>
          <w:rFonts w:hint="eastAsia" w:ascii="CESI仿宋-GB2312" w:hAnsi="CESI仿宋-GB2312" w:eastAsia="CESI仿宋-GB2312" w:cs="CESI仿宋-GB2312"/>
          <w:color w:val="auto"/>
          <w:sz w:val="32"/>
          <w:szCs w:val="32"/>
          <w:lang w:eastAsia="zh-CN"/>
        </w:rPr>
        <w:t>接管</w:t>
      </w:r>
      <w:r>
        <w:rPr>
          <w:rFonts w:hint="eastAsia" w:ascii="CESI仿宋-GB2312" w:hAnsi="CESI仿宋-GB2312" w:eastAsia="CESI仿宋-GB2312" w:cs="CESI仿宋-GB2312"/>
          <w:color w:val="auto"/>
          <w:sz w:val="32"/>
          <w:szCs w:val="32"/>
        </w:rPr>
        <w:t>，39套监控终端设备升级并入</w:t>
      </w:r>
      <w:r>
        <w:rPr>
          <w:rFonts w:hint="eastAsia" w:ascii="CESI仿宋-GB2312" w:hAnsi="CESI仿宋-GB2312" w:eastAsia="CESI仿宋-GB2312" w:cs="CESI仿宋-GB2312"/>
          <w:color w:val="auto"/>
          <w:sz w:val="32"/>
          <w:szCs w:val="32"/>
          <w:lang w:eastAsia="zh-CN"/>
        </w:rPr>
        <w:t>城市</w:t>
      </w:r>
      <w:r>
        <w:rPr>
          <w:rFonts w:hint="eastAsia" w:ascii="CESI仿宋-GB2312" w:hAnsi="CESI仿宋-GB2312" w:eastAsia="CESI仿宋-GB2312" w:cs="CESI仿宋-GB2312"/>
          <w:color w:val="auto"/>
          <w:sz w:val="32"/>
          <w:szCs w:val="32"/>
        </w:rPr>
        <w:t>照明管理平台</w:t>
      </w:r>
      <w:r>
        <w:rPr>
          <w:rFonts w:hint="eastAsia" w:ascii="CESI仿宋-GB2312" w:hAnsi="CESI仿宋-GB2312" w:eastAsia="CESI仿宋-GB2312" w:cs="CESI仿宋-GB2312"/>
          <w:color w:val="auto"/>
          <w:sz w:val="32"/>
          <w:szCs w:val="32"/>
          <w:lang w:eastAsia="zh-CN"/>
        </w:rPr>
        <w:t>等工作。通过改革整合，消除了管理差异和协同障碍，为实现中心城区城市照明的统一规范管理奠定了坚实的基础。</w:t>
      </w:r>
      <w:r>
        <w:rPr>
          <w:rFonts w:hint="eastAsia" w:ascii="CESI仿宋-GB2312" w:hAnsi="CESI仿宋-GB2312" w:eastAsia="CESI仿宋-GB2312" w:cs="CESI仿宋-GB2312"/>
          <w:b w:val="0"/>
          <w:bCs w:val="0"/>
          <w:sz w:val="32"/>
          <w:szCs w:val="32"/>
          <w:lang w:eastAsia="zh-CN"/>
        </w:rPr>
        <w:t>二是</w:t>
      </w:r>
      <w:r>
        <w:rPr>
          <w:rFonts w:hint="eastAsia" w:ascii="CESI仿宋-GB2312" w:hAnsi="CESI仿宋-GB2312" w:eastAsia="CESI仿宋-GB2312" w:cs="CESI仿宋-GB2312"/>
          <w:b w:val="0"/>
          <w:bCs w:val="0"/>
          <w:sz w:val="32"/>
          <w:szCs w:val="32"/>
          <w:lang w:val="en-US" w:eastAsia="zh-CN"/>
        </w:rPr>
        <w:t>认真细致，开展资产清查。</w:t>
      </w:r>
      <w:r>
        <w:rPr>
          <w:rFonts w:hint="eastAsia" w:ascii="CESI仿宋-GB2312" w:hAnsi="CESI仿宋-GB2312" w:eastAsia="CESI仿宋-GB2312" w:cs="CESI仿宋-GB2312"/>
          <w:sz w:val="32"/>
          <w:szCs w:val="32"/>
          <w:lang w:val="en-US" w:eastAsia="zh-CN"/>
        </w:rPr>
        <w:t>根据《岳阳市市直行政事业单位国有资产清查工作方案》要求，按照“逐项核实、逐账核对”原则，对办公设备、电子设备等资产张贴办公资标识卡，做到账实相符、物账对应、台台有标签、件件有身份。确保了资产完整性和正确性，提升了资产使用效率。</w:t>
      </w:r>
      <w:r>
        <w:rPr>
          <w:rFonts w:hint="eastAsia" w:ascii="CESI仿宋-GB2312" w:hAnsi="CESI仿宋-GB2312" w:eastAsia="CESI仿宋-GB2312" w:cs="CESI仿宋-GB2312"/>
          <w:b w:val="0"/>
          <w:bCs w:val="0"/>
          <w:sz w:val="32"/>
          <w:szCs w:val="32"/>
          <w:lang w:val="en-US" w:eastAsia="zh-CN"/>
        </w:rPr>
        <w:t>三是</w:t>
      </w:r>
      <w:r>
        <w:rPr>
          <w:rFonts w:hint="eastAsia" w:ascii="CESI仿宋-GB2312" w:hAnsi="CESI仿宋-GB2312" w:eastAsia="CESI仿宋-GB2312" w:cs="CESI仿宋-GB2312"/>
          <w:b w:val="0"/>
          <w:bCs w:val="0"/>
          <w:color w:val="auto"/>
          <w:sz w:val="32"/>
          <w:szCs w:val="32"/>
          <w:lang w:val="en-US" w:eastAsia="zh-CN"/>
        </w:rPr>
        <w:t>扎实有效，推进材料管理。</w:t>
      </w:r>
      <w:r>
        <w:rPr>
          <w:rFonts w:hint="eastAsia" w:ascii="CESI仿宋-GB2312" w:hAnsi="CESI仿宋-GB2312" w:eastAsia="CESI仿宋-GB2312" w:cs="CESI仿宋-GB2312"/>
          <w:sz w:val="32"/>
          <w:szCs w:val="32"/>
          <w:lang w:val="en-US" w:eastAsia="zh-CN"/>
        </w:rPr>
        <w:t>为解决仓库手工记录和管理，容易出现效率低下且易出现冗余错误的问题。财务部对</w:t>
      </w:r>
      <w:r>
        <w:rPr>
          <w:rFonts w:hint="eastAsia" w:ascii="CESI仿宋-GB2312" w:hAnsi="CESI仿宋-GB2312" w:eastAsia="CESI仿宋-GB2312" w:cs="CESI仿宋-GB2312"/>
          <w:b w:val="0"/>
          <w:bCs w:val="0"/>
          <w:color w:val="auto"/>
          <w:sz w:val="32"/>
          <w:szCs w:val="32"/>
          <w:lang w:val="en-US" w:eastAsia="zh-CN"/>
        </w:rPr>
        <w:t>仓库进行两次盘底，对778种材料分类分区上架，选定软件服务提供商，采购必要软硬件设备，完成所有材料基本信息核对、录入、贴条码工作，组织人员实操培训等，有效规范材料流转，实现动态管控，提高工作效率</w:t>
      </w:r>
      <w:r>
        <w:rPr>
          <w:rFonts w:hint="eastAsia" w:ascii="CESI仿宋-GB2312" w:hAnsi="CESI仿宋-GB2312" w:eastAsia="CESI仿宋-GB2312" w:cs="CESI仿宋-GB2312"/>
          <w:color w:val="auto"/>
          <w:sz w:val="32"/>
          <w:szCs w:val="32"/>
          <w:lang w:val="en-US" w:eastAsia="zh-CN"/>
        </w:rPr>
        <w:t>。</w:t>
      </w:r>
    </w:p>
    <w:p>
      <w:pPr>
        <w:pStyle w:val="5"/>
        <w:keepNext w:val="0"/>
        <w:keepLines w:val="0"/>
        <w:pageBreakBefore w:val="0"/>
        <w:wordWrap/>
        <w:overflowPunct/>
        <w:topLinePunct w:val="0"/>
        <w:bidi w:val="0"/>
        <w:spacing w:line="580" w:lineRule="exact"/>
        <w:ind w:firstLine="643" w:firstLineChars="200"/>
        <w:rPr>
          <w:rFonts w:hint="eastAsia" w:ascii="CESI仿宋-GB2312" w:hAnsi="CESI仿宋-GB2312" w:eastAsia="CESI仿宋-GB2312" w:cs="CESI仿宋-GB2312"/>
          <w:color w:val="FF0000"/>
          <w:sz w:val="32"/>
          <w:szCs w:val="32"/>
          <w:lang w:val="en-US" w:eastAsia="zh-CN"/>
        </w:rPr>
      </w:pPr>
      <w:r>
        <w:rPr>
          <w:rFonts w:hint="eastAsia" w:ascii="CESI仿宋-GB2312" w:hAnsi="CESI仿宋-GB2312" w:eastAsia="CESI仿宋-GB2312" w:cs="CESI仿宋-GB2312"/>
          <w:b/>
          <w:bCs/>
          <w:sz w:val="32"/>
          <w:szCs w:val="32"/>
          <w:lang w:val="en-US" w:eastAsia="zh-CN"/>
        </w:rPr>
        <w:t>（3）</w:t>
      </w:r>
      <w:r>
        <w:rPr>
          <w:rFonts w:hint="eastAsia" w:ascii="CESI仿宋-GB2312" w:hAnsi="CESI仿宋-GB2312" w:eastAsia="CESI仿宋-GB2312" w:cs="CESI仿宋-GB2312"/>
          <w:b/>
          <w:bCs/>
          <w:kern w:val="0"/>
          <w:sz w:val="32"/>
          <w:szCs w:val="32"/>
        </w:rPr>
        <w:t>真</w:t>
      </w:r>
      <w:r>
        <w:rPr>
          <w:rFonts w:hint="eastAsia" w:ascii="CESI仿宋-GB2312" w:hAnsi="CESI仿宋-GB2312" w:eastAsia="CESI仿宋-GB2312" w:cs="CESI仿宋-GB2312"/>
          <w:b/>
          <w:bCs/>
          <w:kern w:val="0"/>
          <w:sz w:val="32"/>
          <w:szCs w:val="32"/>
          <w:lang w:eastAsia="zh-CN"/>
        </w:rPr>
        <w:t>抓细干筑牢安全防线。</w:t>
      </w:r>
      <w:r>
        <w:rPr>
          <w:rFonts w:hint="eastAsia" w:ascii="CESI仿宋-GB2312" w:hAnsi="CESI仿宋-GB2312" w:eastAsia="CESI仿宋-GB2312" w:cs="CESI仿宋-GB2312"/>
          <w:kern w:val="0"/>
          <w:sz w:val="32"/>
          <w:szCs w:val="32"/>
        </w:rPr>
        <w:t>贯彻落实上级安全生产的重要指示和部署要求</w:t>
      </w:r>
      <w:r>
        <w:rPr>
          <w:rFonts w:hint="eastAsia" w:ascii="CESI仿宋-GB2312" w:hAnsi="CESI仿宋-GB2312" w:eastAsia="CESI仿宋-GB2312" w:cs="CESI仿宋-GB2312"/>
          <w:kern w:val="0"/>
          <w:sz w:val="32"/>
          <w:szCs w:val="32"/>
          <w:lang w:eastAsia="zh-CN"/>
        </w:rPr>
        <w:t>，抓好安全生产管理。压实安全生产责任，落实人员培训制度，</w:t>
      </w:r>
      <w:r>
        <w:rPr>
          <w:rFonts w:hint="eastAsia" w:ascii="CESI仿宋-GB2312" w:hAnsi="CESI仿宋-GB2312" w:eastAsia="CESI仿宋-GB2312" w:cs="CESI仿宋-GB2312"/>
          <w:kern w:val="0"/>
          <w:sz w:val="32"/>
          <w:szCs w:val="32"/>
        </w:rPr>
        <w:t>强化现场监督管理</w:t>
      </w:r>
      <w:r>
        <w:rPr>
          <w:rFonts w:hint="eastAsia" w:ascii="CESI仿宋-GB2312" w:hAnsi="CESI仿宋-GB2312" w:eastAsia="CESI仿宋-GB2312" w:cs="CESI仿宋-GB2312"/>
          <w:kern w:val="0"/>
          <w:sz w:val="32"/>
          <w:szCs w:val="32"/>
          <w:lang w:eastAsia="zh-CN"/>
        </w:rPr>
        <w:t>，</w:t>
      </w:r>
      <w:r>
        <w:rPr>
          <w:rFonts w:hint="eastAsia" w:ascii="CESI仿宋-GB2312" w:hAnsi="CESI仿宋-GB2312" w:eastAsia="CESI仿宋-GB2312" w:cs="CESI仿宋-GB2312"/>
          <w:kern w:val="0"/>
          <w:sz w:val="32"/>
          <w:szCs w:val="32"/>
        </w:rPr>
        <w:t>深化</w:t>
      </w:r>
      <w:r>
        <w:rPr>
          <w:rFonts w:hint="eastAsia" w:ascii="CESI仿宋-GB2312" w:hAnsi="CESI仿宋-GB2312" w:eastAsia="CESI仿宋-GB2312" w:cs="CESI仿宋-GB2312"/>
          <w:kern w:val="0"/>
          <w:sz w:val="32"/>
          <w:szCs w:val="32"/>
          <w:lang w:eastAsia="zh-CN"/>
        </w:rPr>
        <w:t>隐患</w:t>
      </w:r>
      <w:r>
        <w:rPr>
          <w:rFonts w:hint="eastAsia" w:ascii="CESI仿宋-GB2312" w:hAnsi="CESI仿宋-GB2312" w:eastAsia="CESI仿宋-GB2312" w:cs="CESI仿宋-GB2312"/>
          <w:kern w:val="0"/>
          <w:sz w:val="32"/>
          <w:szCs w:val="32"/>
        </w:rPr>
        <w:t>排查</w:t>
      </w:r>
      <w:r>
        <w:rPr>
          <w:rFonts w:hint="eastAsia" w:ascii="CESI仿宋-GB2312" w:hAnsi="CESI仿宋-GB2312" w:eastAsia="CESI仿宋-GB2312" w:cs="CESI仿宋-GB2312"/>
          <w:kern w:val="0"/>
          <w:sz w:val="32"/>
          <w:szCs w:val="32"/>
          <w:lang w:eastAsia="zh-CN"/>
        </w:rPr>
        <w:t>治理</w:t>
      </w:r>
      <w:r>
        <w:rPr>
          <w:rFonts w:hint="eastAsia" w:ascii="CESI仿宋-GB2312" w:hAnsi="CESI仿宋-GB2312" w:eastAsia="CESI仿宋-GB2312" w:cs="CESI仿宋-GB2312"/>
          <w:color w:val="auto"/>
          <w:kern w:val="0"/>
          <w:sz w:val="32"/>
          <w:szCs w:val="32"/>
        </w:rPr>
        <w:t>。</w:t>
      </w:r>
      <w:r>
        <w:rPr>
          <w:rFonts w:hint="eastAsia" w:ascii="CESI仿宋-GB2312" w:hAnsi="CESI仿宋-GB2312" w:eastAsia="CESI仿宋-GB2312" w:cs="CESI仿宋-GB2312"/>
          <w:b w:val="0"/>
          <w:bCs w:val="0"/>
          <w:color w:val="auto"/>
          <w:kern w:val="0"/>
          <w:sz w:val="32"/>
          <w:szCs w:val="32"/>
          <w:lang w:eastAsia="zh-CN"/>
        </w:rPr>
        <w:t>一是及</w:t>
      </w:r>
      <w:r>
        <w:rPr>
          <w:rFonts w:hint="eastAsia" w:ascii="CESI仿宋-GB2312" w:hAnsi="CESI仿宋-GB2312" w:eastAsia="CESI仿宋-GB2312" w:cs="CESI仿宋-GB2312"/>
          <w:color w:val="auto"/>
          <w:kern w:val="0"/>
          <w:sz w:val="32"/>
          <w:szCs w:val="32"/>
          <w:lang w:eastAsia="zh-CN"/>
        </w:rPr>
        <w:t>时调整安全生产工作领导小组，一把手</w:t>
      </w:r>
      <w:r>
        <w:rPr>
          <w:rFonts w:hint="eastAsia" w:ascii="CESI仿宋-GB2312" w:hAnsi="CESI仿宋-GB2312" w:eastAsia="CESI仿宋-GB2312" w:cs="CESI仿宋-GB2312"/>
          <w:color w:val="auto"/>
          <w:kern w:val="0"/>
          <w:sz w:val="32"/>
          <w:szCs w:val="32"/>
        </w:rPr>
        <w:t>与各部门</w:t>
      </w:r>
      <w:r>
        <w:rPr>
          <w:rFonts w:hint="eastAsia" w:ascii="CESI仿宋-GB2312" w:hAnsi="CESI仿宋-GB2312" w:eastAsia="CESI仿宋-GB2312" w:cs="CESI仿宋-GB2312"/>
          <w:color w:val="auto"/>
          <w:kern w:val="0"/>
          <w:sz w:val="32"/>
          <w:szCs w:val="32"/>
          <w:lang w:eastAsia="zh-CN"/>
        </w:rPr>
        <w:t>负责人</w:t>
      </w:r>
      <w:r>
        <w:rPr>
          <w:rFonts w:hint="eastAsia" w:ascii="CESI仿宋-GB2312" w:hAnsi="CESI仿宋-GB2312" w:eastAsia="CESI仿宋-GB2312" w:cs="CESI仿宋-GB2312"/>
          <w:color w:val="auto"/>
          <w:kern w:val="0"/>
          <w:sz w:val="32"/>
          <w:szCs w:val="32"/>
        </w:rPr>
        <w:t>签订安全生产责任状，</w:t>
      </w:r>
      <w:r>
        <w:rPr>
          <w:rFonts w:hint="eastAsia" w:ascii="CESI仿宋-GB2312" w:hAnsi="CESI仿宋-GB2312" w:eastAsia="CESI仿宋-GB2312" w:cs="CESI仿宋-GB2312"/>
          <w:color w:val="auto"/>
          <w:kern w:val="0"/>
          <w:sz w:val="32"/>
          <w:szCs w:val="32"/>
          <w:lang w:eastAsia="zh-CN"/>
        </w:rPr>
        <w:t>层层</w:t>
      </w:r>
      <w:r>
        <w:rPr>
          <w:rFonts w:hint="eastAsia" w:ascii="CESI仿宋-GB2312" w:hAnsi="CESI仿宋-GB2312" w:eastAsia="CESI仿宋-GB2312" w:cs="CESI仿宋-GB2312"/>
          <w:color w:val="auto"/>
          <w:kern w:val="0"/>
          <w:sz w:val="32"/>
          <w:szCs w:val="32"/>
        </w:rPr>
        <w:t>压实</w:t>
      </w:r>
      <w:r>
        <w:rPr>
          <w:rFonts w:hint="eastAsia" w:ascii="CESI仿宋-GB2312" w:hAnsi="CESI仿宋-GB2312" w:eastAsia="CESI仿宋-GB2312" w:cs="CESI仿宋-GB2312"/>
          <w:color w:val="auto"/>
          <w:kern w:val="0"/>
          <w:sz w:val="32"/>
          <w:szCs w:val="32"/>
          <w:lang w:eastAsia="zh-CN"/>
        </w:rPr>
        <w:t>安全</w:t>
      </w:r>
      <w:r>
        <w:rPr>
          <w:rFonts w:hint="eastAsia" w:ascii="CESI仿宋-GB2312" w:hAnsi="CESI仿宋-GB2312" w:eastAsia="CESI仿宋-GB2312" w:cs="CESI仿宋-GB2312"/>
          <w:color w:val="auto"/>
          <w:kern w:val="0"/>
          <w:sz w:val="32"/>
          <w:szCs w:val="32"/>
        </w:rPr>
        <w:t>责任</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b w:val="0"/>
          <w:bCs w:val="0"/>
          <w:color w:val="auto"/>
          <w:kern w:val="0"/>
          <w:sz w:val="32"/>
          <w:szCs w:val="32"/>
          <w:lang w:eastAsia="zh-CN"/>
        </w:rPr>
        <w:t>二是</w:t>
      </w:r>
      <w:r>
        <w:rPr>
          <w:rFonts w:hint="eastAsia" w:ascii="CESI仿宋-GB2312" w:hAnsi="CESI仿宋-GB2312" w:eastAsia="CESI仿宋-GB2312" w:cs="CESI仿宋-GB2312"/>
          <w:color w:val="auto"/>
          <w:kern w:val="0"/>
          <w:sz w:val="32"/>
          <w:szCs w:val="32"/>
          <w:lang w:eastAsia="zh-CN"/>
        </w:rPr>
        <w:t>全年</w:t>
      </w:r>
      <w:r>
        <w:rPr>
          <w:rFonts w:hint="eastAsia" w:ascii="CESI仿宋-GB2312" w:hAnsi="CESI仿宋-GB2312" w:eastAsia="CESI仿宋-GB2312" w:cs="CESI仿宋-GB2312"/>
          <w:color w:val="auto"/>
          <w:kern w:val="0"/>
          <w:sz w:val="32"/>
          <w:szCs w:val="32"/>
        </w:rPr>
        <w:t>开展安全教育座谈</w:t>
      </w:r>
      <w:r>
        <w:rPr>
          <w:rFonts w:hint="eastAsia" w:ascii="CESI仿宋-GB2312" w:hAnsi="CESI仿宋-GB2312" w:eastAsia="CESI仿宋-GB2312" w:cs="CESI仿宋-GB2312"/>
          <w:color w:val="auto"/>
          <w:kern w:val="0"/>
          <w:sz w:val="32"/>
          <w:szCs w:val="32"/>
          <w:lang w:val="en-US" w:eastAsia="zh-CN"/>
        </w:rPr>
        <w:t>4</w:t>
      </w:r>
      <w:r>
        <w:rPr>
          <w:rFonts w:hint="eastAsia" w:ascii="CESI仿宋-GB2312" w:hAnsi="CESI仿宋-GB2312" w:eastAsia="CESI仿宋-GB2312" w:cs="CESI仿宋-GB2312"/>
          <w:color w:val="auto"/>
          <w:kern w:val="0"/>
          <w:sz w:val="32"/>
          <w:szCs w:val="32"/>
        </w:rPr>
        <w:t>次</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b w:val="0"/>
          <w:bCs w:val="0"/>
          <w:color w:val="auto"/>
          <w:kern w:val="0"/>
          <w:sz w:val="32"/>
          <w:szCs w:val="32"/>
          <w:lang w:eastAsia="zh-CN"/>
        </w:rPr>
        <w:t>组织车队</w:t>
      </w:r>
      <w:r>
        <w:rPr>
          <w:rFonts w:hint="eastAsia" w:ascii="CESI仿宋-GB2312" w:hAnsi="CESI仿宋-GB2312" w:eastAsia="CESI仿宋-GB2312" w:cs="CESI仿宋-GB2312"/>
          <w:b w:val="0"/>
          <w:bCs w:val="0"/>
          <w:color w:val="auto"/>
          <w:kern w:val="0"/>
          <w:sz w:val="32"/>
          <w:szCs w:val="32"/>
          <w:lang w:val="en-US" w:eastAsia="zh-CN"/>
        </w:rPr>
        <w:t>4名驾驶员进行高空作业车操作培训和考试，全员获得建设机械施工上机操作证</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b w:val="0"/>
          <w:bCs w:val="0"/>
          <w:color w:val="auto"/>
          <w:kern w:val="0"/>
          <w:sz w:val="32"/>
          <w:szCs w:val="32"/>
          <w:lang w:eastAsia="zh-CN"/>
        </w:rPr>
        <w:t>三是</w:t>
      </w:r>
      <w:r>
        <w:rPr>
          <w:rFonts w:hint="eastAsia" w:ascii="CESI仿宋-GB2312" w:hAnsi="CESI仿宋-GB2312" w:eastAsia="CESI仿宋-GB2312" w:cs="CESI仿宋-GB2312"/>
          <w:color w:val="auto"/>
          <w:kern w:val="0"/>
          <w:sz w:val="32"/>
          <w:szCs w:val="32"/>
          <w:lang w:eastAsia="zh-CN"/>
        </w:rPr>
        <w:t>全年</w:t>
      </w:r>
      <w:r>
        <w:rPr>
          <w:rFonts w:hint="eastAsia" w:ascii="CESI仿宋-GB2312" w:hAnsi="CESI仿宋-GB2312" w:eastAsia="CESI仿宋-GB2312" w:cs="CESI仿宋-GB2312"/>
          <w:color w:val="auto"/>
          <w:kern w:val="0"/>
          <w:sz w:val="32"/>
          <w:szCs w:val="32"/>
        </w:rPr>
        <w:t>安全生产工作监督组</w:t>
      </w:r>
      <w:r>
        <w:rPr>
          <w:rFonts w:hint="eastAsia" w:ascii="CESI仿宋-GB2312" w:hAnsi="CESI仿宋-GB2312" w:eastAsia="CESI仿宋-GB2312" w:cs="CESI仿宋-GB2312"/>
          <w:color w:val="auto"/>
          <w:kern w:val="0"/>
          <w:sz w:val="32"/>
          <w:szCs w:val="32"/>
          <w:lang w:eastAsia="zh-CN"/>
        </w:rPr>
        <w:t>对维修、施工工地进行不定期抽检，</w:t>
      </w:r>
      <w:r>
        <w:rPr>
          <w:rFonts w:hint="eastAsia" w:ascii="CESI仿宋-GB2312" w:hAnsi="CESI仿宋-GB2312" w:eastAsia="CESI仿宋-GB2312" w:cs="CESI仿宋-GB2312"/>
          <w:color w:val="auto"/>
          <w:kern w:val="0"/>
          <w:sz w:val="32"/>
          <w:szCs w:val="32"/>
          <w:lang w:val="en-US" w:eastAsia="zh-CN"/>
        </w:rPr>
        <w:t>发现问题22个并及时进行了处置</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b w:val="0"/>
          <w:bCs w:val="0"/>
          <w:color w:val="auto"/>
          <w:kern w:val="0"/>
          <w:sz w:val="32"/>
          <w:szCs w:val="32"/>
          <w:lang w:eastAsia="zh-CN"/>
        </w:rPr>
        <w:t>四是</w:t>
      </w:r>
      <w:r>
        <w:rPr>
          <w:rFonts w:hint="eastAsia" w:ascii="CESI仿宋-GB2312" w:hAnsi="CESI仿宋-GB2312" w:eastAsia="CESI仿宋-GB2312" w:cs="CESI仿宋-GB2312"/>
          <w:color w:val="auto"/>
          <w:kern w:val="0"/>
          <w:sz w:val="32"/>
          <w:szCs w:val="32"/>
          <w:lang w:eastAsia="zh-CN"/>
        </w:rPr>
        <w:t>及时排除了车辆技术隐患</w:t>
      </w:r>
      <w:r>
        <w:rPr>
          <w:rFonts w:hint="eastAsia" w:ascii="CESI仿宋-GB2312" w:hAnsi="CESI仿宋-GB2312" w:eastAsia="CESI仿宋-GB2312" w:cs="CESI仿宋-GB2312"/>
          <w:color w:val="auto"/>
          <w:kern w:val="0"/>
          <w:sz w:val="32"/>
          <w:szCs w:val="32"/>
          <w:lang w:val="en-US" w:eastAsia="zh-CN"/>
        </w:rPr>
        <w:t>4起，</w:t>
      </w:r>
      <w:r>
        <w:rPr>
          <w:rFonts w:hint="eastAsia" w:ascii="CESI仿宋-GB2312" w:hAnsi="CESI仿宋-GB2312" w:eastAsia="CESI仿宋-GB2312" w:cs="CESI仿宋-GB2312"/>
          <w:b w:val="0"/>
          <w:bCs w:val="0"/>
          <w:color w:val="auto"/>
          <w:kern w:val="0"/>
          <w:sz w:val="32"/>
          <w:szCs w:val="32"/>
          <w:lang w:eastAsia="zh-CN"/>
        </w:rPr>
        <w:t>及时</w:t>
      </w:r>
      <w:r>
        <w:rPr>
          <w:rFonts w:hint="eastAsia" w:ascii="CESI仿宋-GB2312" w:hAnsi="CESI仿宋-GB2312" w:eastAsia="CESI仿宋-GB2312" w:cs="CESI仿宋-GB2312"/>
          <w:color w:val="auto"/>
          <w:kern w:val="0"/>
          <w:sz w:val="32"/>
          <w:szCs w:val="32"/>
          <w:lang w:eastAsia="zh-CN"/>
        </w:rPr>
        <w:t>更</w:t>
      </w:r>
      <w:r>
        <w:rPr>
          <w:rFonts w:hint="eastAsia" w:ascii="CESI仿宋-GB2312" w:hAnsi="CESI仿宋-GB2312" w:eastAsia="CESI仿宋-GB2312" w:cs="CESI仿宋-GB2312"/>
          <w:color w:val="auto"/>
          <w:kern w:val="0"/>
          <w:sz w:val="32"/>
          <w:szCs w:val="32"/>
        </w:rPr>
        <w:t>换</w:t>
      </w:r>
      <w:r>
        <w:rPr>
          <w:rFonts w:hint="eastAsia" w:ascii="CESI仿宋-GB2312" w:hAnsi="CESI仿宋-GB2312" w:eastAsia="CESI仿宋-GB2312" w:cs="CESI仿宋-GB2312"/>
          <w:color w:val="auto"/>
          <w:sz w:val="32"/>
          <w:szCs w:val="32"/>
        </w:rPr>
        <w:t>湖东路玉兰灯安装灯罩防护片1482片，更换路灯井盖196块</w:t>
      </w:r>
      <w:r>
        <w:rPr>
          <w:rFonts w:hint="eastAsia" w:ascii="CESI仿宋-GB2312" w:hAnsi="CESI仿宋-GB2312" w:eastAsia="CESI仿宋-GB2312" w:cs="CESI仿宋-GB2312"/>
          <w:color w:val="auto"/>
          <w:sz w:val="32"/>
          <w:szCs w:val="32"/>
          <w:lang w:eastAsia="zh-CN"/>
        </w:rPr>
        <w:t>；及时</w:t>
      </w:r>
      <w:r>
        <w:rPr>
          <w:rFonts w:hint="eastAsia" w:ascii="CESI仿宋-GB2312" w:hAnsi="CESI仿宋-GB2312" w:eastAsia="CESI仿宋-GB2312" w:cs="CESI仿宋-GB2312"/>
          <w:color w:val="auto"/>
          <w:sz w:val="32"/>
          <w:szCs w:val="32"/>
        </w:rPr>
        <w:t>处置长康路等</w:t>
      </w:r>
      <w:r>
        <w:rPr>
          <w:rFonts w:hint="eastAsia" w:ascii="CESI仿宋-GB2312" w:hAnsi="CESI仿宋-GB2312" w:eastAsia="CESI仿宋-GB2312" w:cs="CESI仿宋-GB2312"/>
          <w:color w:val="auto"/>
          <w:sz w:val="32"/>
          <w:szCs w:val="32"/>
          <w:lang w:val="en-US" w:eastAsia="zh-CN"/>
        </w:rPr>
        <w:t>6个</w:t>
      </w:r>
      <w:r>
        <w:rPr>
          <w:rFonts w:hint="eastAsia" w:ascii="CESI仿宋-GB2312" w:hAnsi="CESI仿宋-GB2312" w:eastAsia="CESI仿宋-GB2312" w:cs="CESI仿宋-GB2312"/>
          <w:color w:val="auto"/>
          <w:sz w:val="32"/>
          <w:szCs w:val="32"/>
        </w:rPr>
        <w:t>路段被撞灯杆</w:t>
      </w:r>
      <w:r>
        <w:rPr>
          <w:rFonts w:hint="eastAsia" w:ascii="CESI仿宋-GB2312" w:hAnsi="CESI仿宋-GB2312" w:eastAsia="CESI仿宋-GB2312" w:cs="CESI仿宋-GB2312"/>
          <w:color w:val="auto"/>
          <w:sz w:val="32"/>
          <w:szCs w:val="32"/>
          <w:lang w:eastAsia="zh-CN"/>
        </w:rPr>
        <w:t>事故</w:t>
      </w:r>
      <w:r>
        <w:rPr>
          <w:rFonts w:hint="eastAsia" w:ascii="CESI仿宋-GB2312" w:hAnsi="CESI仿宋-GB2312" w:eastAsia="CESI仿宋-GB2312" w:cs="CESI仿宋-GB2312"/>
          <w:color w:val="auto"/>
          <w:sz w:val="32"/>
          <w:szCs w:val="32"/>
          <w:lang w:val="en-US" w:eastAsia="zh-CN"/>
        </w:rPr>
        <w:t>11</w:t>
      </w:r>
      <w:r>
        <w:rPr>
          <w:rFonts w:hint="eastAsia" w:ascii="CESI仿宋-GB2312" w:hAnsi="CESI仿宋-GB2312" w:eastAsia="CESI仿宋-GB2312" w:cs="CESI仿宋-GB2312"/>
          <w:color w:val="auto"/>
          <w:sz w:val="32"/>
          <w:szCs w:val="32"/>
        </w:rPr>
        <w:t>次。</w:t>
      </w:r>
      <w:r>
        <w:rPr>
          <w:rFonts w:hint="eastAsia" w:ascii="CESI仿宋-GB2312" w:hAnsi="CESI仿宋-GB2312" w:eastAsia="CESI仿宋-GB2312" w:cs="CESI仿宋-GB2312"/>
          <w:color w:val="auto"/>
          <w:kern w:val="0"/>
          <w:sz w:val="32"/>
          <w:szCs w:val="32"/>
          <w:lang w:eastAsia="zh-CN"/>
        </w:rPr>
        <w:t>通过以上措施，推动了安全工作走深走实，提升安全生产水平。</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CESI仿宋-GB2312" w:hAnsi="CESI仿宋-GB2312" w:eastAsia="CESI仿宋-GB2312" w:cs="CESI仿宋-GB2312"/>
          <w:b/>
          <w:bCs/>
          <w:color w:val="FF0000"/>
          <w:sz w:val="32"/>
          <w:szCs w:val="32"/>
        </w:rPr>
      </w:pPr>
      <w:r>
        <w:rPr>
          <w:rFonts w:hint="eastAsia" w:ascii="CESI仿宋-GB2312" w:hAnsi="CESI仿宋-GB2312" w:eastAsia="CESI仿宋-GB2312" w:cs="CESI仿宋-GB2312"/>
          <w:b/>
          <w:bCs/>
          <w:sz w:val="32"/>
          <w:szCs w:val="32"/>
          <w:lang w:val="en-US" w:eastAsia="zh-CN"/>
        </w:rPr>
        <w:t>4、</w:t>
      </w:r>
      <w:r>
        <w:rPr>
          <w:rFonts w:hint="eastAsia" w:ascii="CESI仿宋-GB2312" w:hAnsi="CESI仿宋-GB2312" w:eastAsia="CESI仿宋-GB2312" w:cs="CESI仿宋-GB2312"/>
          <w:b/>
          <w:bCs/>
          <w:sz w:val="32"/>
          <w:szCs w:val="32"/>
        </w:rPr>
        <w:t>党建引领强队伍，作风建设彰显新成效。</w:t>
      </w:r>
      <w:r>
        <w:rPr>
          <w:rFonts w:hint="eastAsia" w:ascii="CESI仿宋-GB2312" w:hAnsi="CESI仿宋-GB2312" w:eastAsia="CESI仿宋-GB2312" w:cs="CESI仿宋-GB2312"/>
          <w:sz w:val="32"/>
          <w:szCs w:val="32"/>
        </w:rPr>
        <w:t>深入学习贯彻宣传党的创新理论，擦亮“党建+中心业务”品牌，在党建工作和业务工作的深度融合中，锻强新时代照明铁军。</w:t>
      </w:r>
      <w:r>
        <w:rPr>
          <w:rFonts w:hint="eastAsia" w:ascii="CESI仿宋-GB2312" w:hAnsi="CESI仿宋-GB2312" w:eastAsia="CESI仿宋-GB2312" w:cs="CESI仿宋-GB2312"/>
          <w:b w:val="0"/>
          <w:bCs w:val="0"/>
          <w:sz w:val="32"/>
          <w:szCs w:val="32"/>
        </w:rPr>
        <w:t>一是深抓思想树人，锤炼忠诚品质。</w:t>
      </w:r>
      <w:r>
        <w:rPr>
          <w:rFonts w:hint="eastAsia" w:ascii="CESI仿宋-GB2312" w:hAnsi="CESI仿宋-GB2312" w:eastAsia="CESI仿宋-GB2312" w:cs="CESI仿宋-GB2312"/>
          <w:sz w:val="32"/>
          <w:szCs w:val="32"/>
        </w:rPr>
        <w:t>将学习习近平新时代中国特色社会主义思想作为首要政治任务，严格落实“第一议题”制度，以“学思践悟新思想，扬帆起航谱新篇”特色党建主题教育活动为抓手，</w:t>
      </w:r>
      <w:r>
        <w:rPr>
          <w:rFonts w:hint="eastAsia" w:ascii="CESI仿宋-GB2312" w:hAnsi="CESI仿宋-GB2312" w:eastAsia="CESI仿宋-GB2312" w:cs="CESI仿宋-GB2312"/>
          <w:sz w:val="32"/>
          <w:szCs w:val="32"/>
          <w:lang w:eastAsia="zh-CN"/>
        </w:rPr>
        <w:t>开展“党课唤初心”讲党课活动</w:t>
      </w:r>
      <w:r>
        <w:rPr>
          <w:rFonts w:hint="eastAsia" w:ascii="CESI仿宋-GB2312" w:hAnsi="CESI仿宋-GB2312" w:eastAsia="CESI仿宋-GB2312" w:cs="CESI仿宋-GB2312"/>
          <w:sz w:val="32"/>
          <w:szCs w:val="32"/>
          <w:lang w:val="en-US" w:eastAsia="zh-CN"/>
        </w:rPr>
        <w:t>；邀请祈安律师事务所的法律专家讲了一堂题为《民法典》的“专家辅导”活动；结合《中国共产党纪律处分条例》学习，开展“清廉家风”故事分享活动，助力营造良好家风。</w:t>
      </w:r>
      <w:r>
        <w:rPr>
          <w:rFonts w:hint="eastAsia" w:ascii="CESI仿宋-GB2312" w:hAnsi="CESI仿宋-GB2312" w:eastAsia="CESI仿宋-GB2312" w:cs="CESI仿宋-GB2312"/>
          <w:b w:val="0"/>
          <w:bCs w:val="0"/>
          <w:sz w:val="32"/>
          <w:szCs w:val="32"/>
        </w:rPr>
        <w:t>二是紧抓基层党建，锻造一流团队。</w:t>
      </w:r>
      <w:r>
        <w:rPr>
          <w:rFonts w:hint="eastAsia" w:ascii="CESI仿宋-GB2312" w:hAnsi="CESI仿宋-GB2312" w:eastAsia="CESI仿宋-GB2312" w:cs="CESI仿宋-GB2312"/>
          <w:sz w:val="32"/>
          <w:szCs w:val="32"/>
        </w:rPr>
        <w:t>完善“城管党建+城市照明”工作模式，深入开展“四强”党支部创建，顺利完成中心党支部换届选举</w:t>
      </w:r>
      <w:r>
        <w:rPr>
          <w:rFonts w:hint="eastAsia" w:ascii="CESI仿宋-GB2312" w:hAnsi="CESI仿宋-GB2312" w:eastAsia="CESI仿宋-GB2312" w:cs="CESI仿宋-GB2312"/>
          <w:color w:val="auto"/>
          <w:sz w:val="32"/>
          <w:szCs w:val="32"/>
          <w:lang w:eastAsia="zh-CN"/>
        </w:rPr>
        <w:t>。</w:t>
      </w:r>
      <w:r>
        <w:rPr>
          <w:rFonts w:hint="eastAsia" w:ascii="CESI仿宋-GB2312" w:hAnsi="CESI仿宋-GB2312" w:eastAsia="CESI仿宋-GB2312" w:cs="CESI仿宋-GB2312"/>
          <w:b w:val="0"/>
          <w:bCs w:val="0"/>
          <w:color w:val="auto"/>
          <w:sz w:val="32"/>
          <w:szCs w:val="32"/>
        </w:rPr>
        <w:t>三是常抓</w:t>
      </w:r>
      <w:r>
        <w:rPr>
          <w:rFonts w:hint="eastAsia" w:ascii="CESI仿宋-GB2312" w:hAnsi="CESI仿宋-GB2312" w:eastAsia="CESI仿宋-GB2312" w:cs="CESI仿宋-GB2312"/>
          <w:b w:val="0"/>
          <w:bCs w:val="0"/>
          <w:sz w:val="32"/>
          <w:szCs w:val="32"/>
        </w:rPr>
        <w:t>群团建设，激发共进活力。</w:t>
      </w:r>
      <w:r>
        <w:rPr>
          <w:rFonts w:hint="eastAsia" w:ascii="CESI仿宋-GB2312" w:hAnsi="CESI仿宋-GB2312" w:eastAsia="CESI仿宋-GB2312" w:cs="CESI仿宋-GB2312"/>
          <w:sz w:val="32"/>
          <w:szCs w:val="32"/>
        </w:rPr>
        <w:t>激活“党建+群建”的带动效应，发挥工青妇等群团组织作用，充分发挥党员干部示范引领作用，全年共开展“我为群众办实事”“新时代文明实践活动”20余次，组织“文明劝导”196人次</w:t>
      </w:r>
      <w:r>
        <w:rPr>
          <w:rFonts w:hint="eastAsia" w:ascii="CESI仿宋-GB2312" w:hAnsi="CESI仿宋-GB2312" w:eastAsia="CESI仿宋-GB2312" w:cs="CESI仿宋-GB2312"/>
          <w:color w:val="auto"/>
          <w:kern w:val="0"/>
          <w:sz w:val="32"/>
          <w:szCs w:val="32"/>
          <w:lang w:eastAsia="zh-CN"/>
        </w:rPr>
        <w:t>，</w:t>
      </w:r>
      <w:r>
        <w:rPr>
          <w:rFonts w:hint="eastAsia" w:ascii="CESI仿宋-GB2312" w:hAnsi="CESI仿宋-GB2312" w:eastAsia="CESI仿宋-GB2312" w:cs="CESI仿宋-GB2312"/>
          <w:color w:val="auto"/>
          <w:sz w:val="32"/>
          <w:szCs w:val="32"/>
        </w:rPr>
        <w:t>选派20名骨干力量参与华容</w:t>
      </w:r>
      <w:r>
        <w:rPr>
          <w:rFonts w:hint="eastAsia" w:ascii="CESI仿宋-GB2312" w:hAnsi="CESI仿宋-GB2312" w:eastAsia="CESI仿宋-GB2312" w:cs="CESI仿宋-GB2312"/>
          <w:color w:val="auto"/>
          <w:sz w:val="32"/>
          <w:szCs w:val="32"/>
          <w:lang w:eastAsia="zh-CN"/>
        </w:rPr>
        <w:t>团洲院“防汛抗灾”</w:t>
      </w:r>
      <w:r>
        <w:rPr>
          <w:rFonts w:hint="eastAsia" w:ascii="CESI仿宋-GB2312" w:hAnsi="CESI仿宋-GB2312" w:eastAsia="CESI仿宋-GB2312" w:cs="CESI仿宋-GB2312"/>
          <w:color w:val="auto"/>
          <w:sz w:val="32"/>
          <w:szCs w:val="32"/>
        </w:rPr>
        <w:t>，</w:t>
      </w:r>
      <w:r>
        <w:rPr>
          <w:rFonts w:hint="eastAsia" w:ascii="CESI仿宋-GB2312" w:hAnsi="CESI仿宋-GB2312" w:eastAsia="CESI仿宋-GB2312" w:cs="CESI仿宋-GB2312"/>
          <w:color w:val="auto"/>
          <w:sz w:val="32"/>
          <w:szCs w:val="32"/>
          <w:lang w:eastAsia="zh-CN"/>
        </w:rPr>
        <w:t>组织中心干部职工</w:t>
      </w:r>
      <w:r>
        <w:rPr>
          <w:rFonts w:hint="eastAsia" w:ascii="CESI仿宋-GB2312" w:hAnsi="CESI仿宋-GB2312" w:eastAsia="CESI仿宋-GB2312" w:cs="CESI仿宋-GB2312"/>
          <w:color w:val="auto"/>
          <w:sz w:val="32"/>
          <w:szCs w:val="32"/>
        </w:rPr>
        <w:t>参加“慈善一日捐——灾后重建”募捐，助力我市洪涝灾后重建</w:t>
      </w:r>
      <w:r>
        <w:rPr>
          <w:rFonts w:hint="eastAsia" w:ascii="CESI仿宋-GB2312" w:hAnsi="CESI仿宋-GB2312" w:eastAsia="CESI仿宋-GB2312" w:cs="CESI仿宋-GB2312"/>
          <w:sz w:val="32"/>
          <w:szCs w:val="32"/>
          <w:lang w:eastAsia="zh-CN"/>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20" w:beforeLines="50" w:line="580" w:lineRule="exact"/>
        <w:ind w:right="11" w:rightChars="0" w:firstLine="667" w:firstLineChars="200"/>
        <w:jc w:val="both"/>
        <w:textAlignment w:val="baseline"/>
        <w:rPr>
          <w:rFonts w:hint="eastAsia" w:ascii="楷体_GB2312" w:hAnsi="楷体_GB2312" w:eastAsia="楷体_GB2312" w:cs="楷体_GB2312"/>
          <w:b/>
          <w:bCs/>
          <w:spacing w:val="6"/>
          <w:kern w:val="0"/>
          <w:sz w:val="32"/>
          <w:szCs w:val="32"/>
          <w:lang w:val="en-US" w:eastAsia="zh-CN"/>
        </w:rPr>
      </w:pPr>
      <w:r>
        <w:rPr>
          <w:rFonts w:hint="eastAsia" w:ascii="楷体_GB2312" w:hAnsi="楷体_GB2312" w:eastAsia="楷体_GB2312" w:cs="楷体_GB2312"/>
          <w:b/>
          <w:bCs/>
          <w:spacing w:val="6"/>
          <w:kern w:val="0"/>
          <w:sz w:val="32"/>
          <w:szCs w:val="32"/>
          <w:lang w:val="en-US" w:eastAsia="zh-CN"/>
        </w:rPr>
        <w:t>（三）预算管理情况</w:t>
      </w:r>
    </w:p>
    <w:p>
      <w:pPr>
        <w:pStyle w:val="3"/>
        <w:keepNext w:val="0"/>
        <w:keepLines w:val="0"/>
        <w:pageBreakBefore w:val="0"/>
        <w:numPr>
          <w:ilvl w:val="0"/>
          <w:numId w:val="0"/>
        </w:numPr>
        <w:wordWrap/>
        <w:overflowPunct/>
        <w:topLinePunct w:val="0"/>
        <w:bidi w:val="0"/>
        <w:spacing w:line="580" w:lineRule="exact"/>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宋体" w:eastAsia="仿宋_GB2312" w:cs="宋体"/>
          <w:color w:val="auto"/>
          <w:sz w:val="32"/>
          <w:szCs w:val="32"/>
          <w:highlight w:val="none"/>
        </w:rPr>
        <w:t>《中华人民共和国预算法》</w:t>
      </w:r>
      <w:r>
        <w:rPr>
          <w:rFonts w:hint="eastAsia" w:ascii="仿宋_GB2312" w:hAnsi="宋体" w:eastAsia="仿宋_GB2312" w:cs="宋体"/>
          <w:color w:val="auto"/>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《政府会计制度》</w:t>
      </w:r>
      <w:r>
        <w:rPr>
          <w:rFonts w:hint="eastAsia" w:ascii="仿宋_GB2312" w:hAnsi="宋体" w:eastAsia="仿宋_GB2312" w:cs="宋体"/>
          <w:color w:val="auto"/>
          <w:sz w:val="32"/>
          <w:szCs w:val="32"/>
          <w:highlight w:val="none"/>
          <w:lang w:val="en-US" w:eastAsia="zh-CN"/>
        </w:rPr>
        <w:t>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中共岳阳市委办公室 岳阳市人民政府办公室关于印发</w:t>
      </w:r>
      <w:r>
        <w:rPr>
          <w:rFonts w:hint="eastAsia" w:ascii="仿宋" w:hAnsi="仿宋" w:eastAsia="仿宋" w:cs="仿宋"/>
          <w:color w:val="auto"/>
          <w:sz w:val="32"/>
          <w:szCs w:val="32"/>
          <w:lang w:val="en-US" w:eastAsia="zh-CN"/>
        </w:rPr>
        <w:t>&lt;</w:t>
      </w:r>
      <w:r>
        <w:rPr>
          <w:rFonts w:hint="eastAsia" w:ascii="仿宋_GB2312" w:hAnsi="仿宋_GB2312" w:eastAsia="仿宋_GB2312" w:cs="仿宋_GB2312"/>
          <w:color w:val="auto"/>
          <w:sz w:val="32"/>
          <w:szCs w:val="32"/>
          <w:lang w:val="en-US" w:eastAsia="zh-CN"/>
        </w:rPr>
        <w:t>岳阳市</w:t>
      </w:r>
      <w:r>
        <w:rPr>
          <w:rFonts w:hint="eastAsia" w:ascii="仿宋_GB2312" w:hAnsi="仿宋_GB2312" w:eastAsia="仿宋_GB2312" w:cs="仿宋_GB2312"/>
          <w:color w:val="auto"/>
          <w:sz w:val="32"/>
          <w:szCs w:val="32"/>
        </w:rPr>
        <w:t>预算绩效管理</w:t>
      </w:r>
      <w:r>
        <w:rPr>
          <w:rFonts w:hint="eastAsia" w:ascii="仿宋_GB2312" w:hAnsi="仿宋_GB2312" w:eastAsia="仿宋_GB2312" w:cs="仿宋_GB2312"/>
          <w:color w:val="auto"/>
          <w:sz w:val="32"/>
          <w:szCs w:val="32"/>
          <w:lang w:val="en-US" w:eastAsia="zh-CN"/>
        </w:rPr>
        <w:t>实施办法&gt;</w:t>
      </w:r>
      <w:r>
        <w:rPr>
          <w:rFonts w:hint="eastAsia" w:ascii="仿宋_GB2312" w:hAnsi="仿宋_GB2312" w:eastAsia="仿宋_GB2312" w:cs="仿宋_GB2312"/>
          <w:color w:val="auto"/>
          <w:sz w:val="32"/>
          <w:szCs w:val="32"/>
        </w:rPr>
        <w:t>的通知》（岳办</w:t>
      </w:r>
      <w:r>
        <w:rPr>
          <w:rFonts w:hint="eastAsia" w:ascii="仿宋_GB2312" w:hAnsi="仿宋_GB2312" w:eastAsia="仿宋_GB2312" w:cs="仿宋_GB2312"/>
          <w:color w:val="auto"/>
          <w:sz w:val="32"/>
          <w:szCs w:val="32"/>
          <w:lang w:val="en-US" w:eastAsia="zh-CN"/>
        </w:rPr>
        <w:t>发</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号）</w:t>
      </w:r>
      <w:r>
        <w:rPr>
          <w:rFonts w:hint="eastAsia" w:ascii="仿宋_GB2312" w:hAnsi="仿宋_GB2312" w:eastAsia="仿宋_GB2312" w:cs="仿宋_GB2312"/>
          <w:color w:val="auto"/>
          <w:sz w:val="32"/>
          <w:szCs w:val="32"/>
          <w:lang w:val="en-US" w:eastAsia="zh-CN"/>
        </w:rPr>
        <w:t>及其他相关文件精神，</w:t>
      </w:r>
      <w:r>
        <w:rPr>
          <w:rFonts w:hint="eastAsia" w:ascii="仿宋_GB2312" w:hAnsi="仿宋_GB2312" w:eastAsia="仿宋_GB2312" w:cs="仿宋_GB2312"/>
          <w:sz w:val="32"/>
          <w:szCs w:val="32"/>
          <w:lang w:val="en-US" w:eastAsia="zh-CN"/>
        </w:rPr>
        <w:t>中心成立了绩效评价及监督小组，定期开展相关工作。</w:t>
      </w:r>
    </w:p>
    <w:p>
      <w:pPr>
        <w:pStyle w:val="4"/>
        <w:keepNext w:val="0"/>
        <w:keepLines w:val="0"/>
        <w:pageBreakBefore w:val="0"/>
        <w:wordWrap/>
        <w:overflowPunct/>
        <w:topLinePunct w:val="0"/>
        <w:bidi w:val="0"/>
        <w:spacing w:line="580" w:lineRule="exact"/>
        <w:ind w:left="0"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1、预算及绩效管理</w:t>
      </w:r>
    </w:p>
    <w:p>
      <w:pPr>
        <w:pStyle w:val="3"/>
        <w:keepNext w:val="0"/>
        <w:keepLines w:val="0"/>
        <w:pageBreakBefore w:val="0"/>
        <w:wordWrap/>
        <w:overflowPunct/>
        <w:topLinePunct w:val="0"/>
        <w:bidi w:val="0"/>
        <w:spacing w:line="580" w:lineRule="exact"/>
        <w:ind w:firstLine="664" w:firstLineChars="200"/>
        <w:rPr>
          <w:rFonts w:hint="eastAsia" w:ascii="CESI仿宋-GB2312" w:hAnsi="CESI仿宋-GB2312" w:eastAsia="CESI仿宋-GB2312" w:cs="CESI仿宋-GB2312"/>
          <w:color w:val="000000"/>
          <w:kern w:val="0"/>
          <w:sz w:val="32"/>
          <w:szCs w:val="32"/>
          <w:lang w:val="en-US" w:eastAsia="zh-CN" w:bidi="ar-SA"/>
        </w:rPr>
      </w:pPr>
      <w:r>
        <w:rPr>
          <w:rFonts w:hint="eastAsia" w:ascii="仿宋_GB2312" w:hAnsi="仿宋_GB2312" w:eastAsia="仿宋_GB2312" w:cs="仿宋_GB2312"/>
          <w:spacing w:val="6"/>
          <w:kern w:val="0"/>
          <w:sz w:val="32"/>
          <w:szCs w:val="32"/>
          <w:lang w:val="en-US" w:eastAsia="zh-CN"/>
        </w:rPr>
        <w:t>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做到了资金预算有目标，确保单位预算资金支出效益。预算执行过程中严格落实</w:t>
      </w:r>
      <w:r>
        <w:rPr>
          <w:rFonts w:hint="eastAsia" w:ascii="CESI仿宋-GB2312" w:hAnsi="CESI仿宋-GB2312" w:eastAsia="CESI仿宋-GB2312" w:cs="CESI仿宋-GB2312"/>
          <w:color w:val="000000"/>
          <w:kern w:val="0"/>
          <w:sz w:val="32"/>
          <w:szCs w:val="32"/>
          <w:lang w:val="en-US" w:eastAsia="zh-CN" w:bidi="ar-SA"/>
        </w:rPr>
        <w:t>岳阳市财政局《关于进一步规范专项资金使用流程的通知》（岳财发〔2024〕8号）文件精神，坚持专款专用，压减一般性支出，我中心资金使用合规，无截留、挪用资金等情况。</w:t>
      </w:r>
    </w:p>
    <w:p>
      <w:pPr>
        <w:pStyle w:val="3"/>
        <w:keepNext w:val="0"/>
        <w:keepLines w:val="0"/>
        <w:pageBreakBefore w:val="0"/>
        <w:wordWrap/>
        <w:overflowPunct/>
        <w:topLinePunct w:val="0"/>
        <w:bidi w:val="0"/>
        <w:spacing w:line="580" w:lineRule="exact"/>
        <w:ind w:firstLine="664" w:firstLineChars="200"/>
        <w:rPr>
          <w:rFonts w:hint="default" w:eastAsia="宋体"/>
          <w:sz w:val="32"/>
          <w:szCs w:val="32"/>
          <w:lang w:val="en-US" w:eastAsia="zh-CN"/>
        </w:rPr>
      </w:pPr>
      <w:r>
        <w:rPr>
          <w:rFonts w:hint="eastAsia" w:ascii="仿宋_GB2312" w:hAnsi="仿宋_GB2312" w:eastAsia="仿宋_GB2312" w:cs="仿宋_GB2312"/>
          <w:spacing w:val="6"/>
          <w:kern w:val="0"/>
          <w:sz w:val="32"/>
          <w:szCs w:val="32"/>
          <w:lang w:val="en-US" w:eastAsia="zh-CN"/>
        </w:rPr>
        <w:t>2024年11月初，组织开展了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工作，分析预算执行过程中的</w:t>
      </w:r>
      <w:r>
        <w:rPr>
          <w:rFonts w:hint="eastAsia" w:ascii="仿宋_GB2312" w:hAnsi="仿宋_GB2312" w:eastAsia="仿宋_GB2312" w:cs="仿宋_GB2312"/>
          <w:color w:val="000000"/>
          <w:sz w:val="32"/>
          <w:szCs w:val="32"/>
        </w:rPr>
        <w:t>偏差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并制定相应的整</w:t>
      </w:r>
      <w:r>
        <w:rPr>
          <w:rFonts w:hint="eastAsia" w:ascii="仿宋_GB2312" w:hAnsi="仿宋_GB2312" w:eastAsia="仿宋_GB2312" w:cs="仿宋_GB2312"/>
          <w:color w:val="000000"/>
          <w:sz w:val="32"/>
          <w:szCs w:val="32"/>
        </w:rPr>
        <w:t>改措施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kern w:val="0"/>
          <w:sz w:val="32"/>
          <w:szCs w:val="32"/>
          <w:lang w:val="en-US" w:eastAsia="zh-CN"/>
        </w:rPr>
        <w:t>2025年4 月底，开始组织对上年经费支出进行绩效自评工作，做到了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增强了单位管理人员预算意识和绩效意识</w:t>
      </w:r>
      <w:r>
        <w:rPr>
          <w:rFonts w:hint="eastAsia" w:ascii="仿宋_GB2312" w:hAnsi="仿宋_GB2312" w:eastAsia="仿宋_GB2312" w:cs="仿宋_GB2312"/>
          <w:spacing w:val="6"/>
          <w:kern w:val="0"/>
          <w:sz w:val="32"/>
          <w:szCs w:val="32"/>
          <w:lang w:eastAsia="zh-CN"/>
        </w:rPr>
        <w:t>，进一步</w:t>
      </w:r>
      <w:r>
        <w:rPr>
          <w:rFonts w:hint="eastAsia" w:ascii="仿宋_GB2312" w:hAnsi="仿宋_GB2312" w:eastAsia="仿宋_GB2312" w:cs="仿宋_GB2312"/>
          <w:spacing w:val="6"/>
          <w:kern w:val="0"/>
          <w:sz w:val="32"/>
          <w:szCs w:val="32"/>
          <w:lang w:val="en-US" w:eastAsia="zh-CN"/>
        </w:rPr>
        <w:t>提升了预算资金支出绩效。</w:t>
      </w:r>
    </w:p>
    <w:p>
      <w:pPr>
        <w:pStyle w:val="3"/>
        <w:keepNext w:val="0"/>
        <w:keepLines w:val="0"/>
        <w:pageBreakBefore w:val="0"/>
        <w:wordWrap/>
        <w:overflowPunct/>
        <w:topLinePunct w:val="0"/>
        <w:bidi w:val="0"/>
        <w:spacing w:line="580" w:lineRule="exact"/>
        <w:ind w:firstLine="664" w:firstLineChars="200"/>
        <w:jc w:val="both"/>
        <w:rPr>
          <w:rFonts w:hint="default"/>
          <w:sz w:val="32"/>
          <w:szCs w:val="32"/>
          <w:lang w:val="en-US" w:eastAsia="zh-CN"/>
        </w:rPr>
      </w:pPr>
      <w:r>
        <w:rPr>
          <w:rFonts w:hint="eastAsia" w:ascii="仿宋_GB2312" w:hAnsi="仿宋_GB2312" w:eastAsia="仿宋_GB2312" w:cs="仿宋_GB2312"/>
          <w:spacing w:val="6"/>
          <w:kern w:val="0"/>
          <w:sz w:val="32"/>
          <w:szCs w:val="32"/>
          <w:lang w:val="en-US" w:eastAsia="zh-CN"/>
        </w:rPr>
        <w:t>2、费用支出管理情况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中心根据内部控制管理风险评估情况，进一步优化了相关管理制度和流程，使经济业务各环节风险得到有效控制。费用支出严格审批程序，</w:t>
      </w:r>
      <w:r>
        <w:rPr>
          <w:rFonts w:hint="eastAsia" w:ascii="仿宋_GB2312" w:hAnsi="仿宋_GB2312" w:eastAsia="仿宋_GB2312" w:cs="仿宋_GB2312"/>
          <w:spacing w:val="6"/>
          <w:kern w:val="0"/>
          <w:sz w:val="32"/>
          <w:szCs w:val="32"/>
        </w:rPr>
        <w:t>重大事项经班子会</w:t>
      </w:r>
      <w:r>
        <w:rPr>
          <w:rFonts w:hint="eastAsia" w:ascii="仿宋_GB2312" w:hAnsi="仿宋_GB2312" w:eastAsia="仿宋_GB2312" w:cs="仿宋_GB2312"/>
          <w:spacing w:val="6"/>
          <w:kern w:val="0"/>
          <w:sz w:val="32"/>
          <w:szCs w:val="32"/>
          <w:lang w:val="en-US" w:eastAsia="zh-CN"/>
        </w:rPr>
        <w:t>议</w:t>
      </w:r>
      <w:r>
        <w:rPr>
          <w:rFonts w:hint="eastAsia" w:ascii="仿宋_GB2312" w:hAnsi="仿宋_GB2312" w:eastAsia="仿宋_GB2312" w:cs="仿宋_GB2312"/>
          <w:spacing w:val="6"/>
          <w:kern w:val="0"/>
          <w:sz w:val="32"/>
          <w:szCs w:val="32"/>
        </w:rPr>
        <w:t>集体决策，</w:t>
      </w:r>
      <w:r>
        <w:rPr>
          <w:rFonts w:hint="eastAsia" w:ascii="仿宋_GB2312" w:hAnsi="仿宋_GB2312" w:eastAsia="仿宋_GB2312" w:cs="仿宋_GB2312"/>
          <w:spacing w:val="6"/>
          <w:kern w:val="0"/>
          <w:sz w:val="32"/>
          <w:szCs w:val="32"/>
          <w:lang w:eastAsia="zh-CN"/>
        </w:rPr>
        <w:t>按照业务</w:t>
      </w:r>
      <w:r>
        <w:rPr>
          <w:rFonts w:hint="eastAsia" w:ascii="仿宋_GB2312" w:hAnsi="仿宋_GB2312" w:eastAsia="仿宋_GB2312" w:cs="仿宋_GB2312"/>
          <w:spacing w:val="6"/>
          <w:kern w:val="0"/>
          <w:sz w:val="32"/>
          <w:szCs w:val="32"/>
        </w:rPr>
        <w:t>归口管理，授权审批的</w:t>
      </w:r>
      <w:r>
        <w:rPr>
          <w:rFonts w:hint="eastAsia" w:ascii="仿宋_GB2312" w:hAnsi="仿宋_GB2312" w:eastAsia="仿宋_GB2312" w:cs="仿宋_GB2312"/>
          <w:spacing w:val="6"/>
          <w:kern w:val="0"/>
          <w:sz w:val="32"/>
          <w:szCs w:val="32"/>
          <w:lang w:eastAsia="zh-CN"/>
        </w:rPr>
        <w:t>方式进行管理</w:t>
      </w:r>
      <w:r>
        <w:rPr>
          <w:rFonts w:hint="eastAsia" w:ascii="仿宋_GB2312" w:hAnsi="仿宋_GB2312" w:eastAsia="仿宋_GB2312" w:cs="仿宋_GB2312"/>
          <w:spacing w:val="6"/>
          <w:kern w:val="0"/>
          <w:sz w:val="32"/>
          <w:szCs w:val="32"/>
        </w:rPr>
        <w:t>。</w:t>
      </w:r>
      <w:r>
        <w:rPr>
          <w:rFonts w:hint="eastAsia" w:ascii="仿宋_GB2312" w:hAnsi="仿宋_GB2312" w:eastAsia="仿宋_GB2312" w:cs="仿宋_GB2312"/>
          <w:spacing w:val="6"/>
          <w:kern w:val="0"/>
          <w:sz w:val="32"/>
          <w:szCs w:val="32"/>
          <w:lang w:val="en-US" w:eastAsia="zh-CN"/>
        </w:rPr>
        <w:t>费用支出</w:t>
      </w:r>
      <w:r>
        <w:rPr>
          <w:rFonts w:hint="eastAsia" w:ascii="仿宋_GB2312" w:hAnsi="仿宋_GB2312" w:eastAsia="仿宋_GB2312" w:cs="仿宋_GB2312"/>
          <w:bCs/>
          <w:sz w:val="32"/>
          <w:szCs w:val="32"/>
          <w:highlight w:val="none"/>
          <w:lang w:val="en-US" w:eastAsia="zh-CN"/>
        </w:rPr>
        <w:t>坚持“先报再审后用”的原则，由业务部门提出申请，部门分管领导签署意见，确认工程数量和预算资金额度，经财务部初审后，报分管财务领导审批后实施，工程完工后进行验收、并进行结算评审。</w:t>
      </w:r>
    </w:p>
    <w:p>
      <w:pPr>
        <w:pStyle w:val="3"/>
        <w:keepNext w:val="0"/>
        <w:keepLines w:val="0"/>
        <w:pageBreakBefore w:val="0"/>
        <w:wordWrap/>
        <w:overflowPunct/>
        <w:topLinePunct w:val="0"/>
        <w:bidi w:val="0"/>
        <w:spacing w:line="580" w:lineRule="exact"/>
        <w:ind w:firstLine="640" w:firstLineChars="200"/>
        <w:jc w:val="both"/>
        <w:rPr>
          <w:rFonts w:hint="default"/>
          <w:sz w:val="32"/>
          <w:szCs w:val="32"/>
          <w:lang w:val="en-US" w:eastAsia="zh-CN"/>
        </w:rPr>
      </w:pPr>
      <w:r>
        <w:rPr>
          <w:rFonts w:hint="eastAsia" w:ascii="仿宋_GB2312" w:hAnsi="仿宋_GB2312" w:eastAsia="仿宋_GB2312" w:cs="仿宋_GB2312"/>
          <w:bCs/>
          <w:sz w:val="32"/>
          <w:szCs w:val="32"/>
          <w:highlight w:val="none"/>
          <w:lang w:val="en-US" w:eastAsia="zh-CN"/>
        </w:rPr>
        <w:t>3.资产管理情况</w:t>
      </w:r>
    </w:p>
    <w:p>
      <w:pPr>
        <w:pStyle w:val="4"/>
        <w:keepNext w:val="0"/>
        <w:keepLines w:val="0"/>
        <w:pageBreakBefore w:val="0"/>
        <w:wordWrap/>
        <w:overflowPunct/>
        <w:topLinePunct w:val="0"/>
        <w:bidi w:val="0"/>
        <w:spacing w:line="580" w:lineRule="exact"/>
        <w:ind w:left="0" w:leftChars="0" w:firstLine="0" w:firstLineChars="0"/>
        <w:rPr>
          <w:rFonts w:hint="default"/>
          <w:sz w:val="32"/>
          <w:szCs w:val="32"/>
        </w:rPr>
      </w:pPr>
      <w:r>
        <w:rPr>
          <w:rFonts w:hint="eastAsia" w:ascii="仿宋_GB2312" w:hAnsi="仿宋_GB2312" w:eastAsia="仿宋_GB2312" w:cs="仿宋_GB2312"/>
          <w:bCs/>
          <w:sz w:val="32"/>
          <w:szCs w:val="32"/>
          <w:highlight w:val="none"/>
          <w:lang w:val="en-US" w:eastAsia="zh-CN"/>
        </w:rPr>
        <w:t xml:space="preserve">    中心结合单位工作特点，进一步优化了实物（材料）管理制度，加强实物管理，严格执行材料出入库管理制度，定期开展清查盘点工作。资产管理按照厉行节约、物尽其用的原则，采取统一建帐、统筹调配管理。对每件固定资产使用明确保管职责，闲置资产由办公室统一调整，合理流转，最大限度发挥其使用效益。固定资产配置和处置，均按规定程序办理，并严格按固定资产管理办法进行核算及管理。</w:t>
      </w:r>
    </w:p>
    <w:p>
      <w:pPr>
        <w:keepNext w:val="0"/>
        <w:keepLines w:val="0"/>
        <w:pageBreakBefore w:val="0"/>
        <w:wordWrap/>
        <w:overflowPunct/>
        <w:topLinePunct w:val="0"/>
        <w:bidi w:val="0"/>
        <w:spacing w:line="580" w:lineRule="exact"/>
        <w:rPr>
          <w:rFonts w:hint="eastAsia" w:ascii="仿宋_GB2312" w:hAnsi="仿宋_GB2312" w:eastAsia="仿宋_GB2312" w:cs="仿宋_GB2312"/>
          <w:color w:val="auto"/>
          <w:sz w:val="32"/>
          <w:szCs w:val="32"/>
          <w:lang w:val="en-US" w:eastAsia="zh-CN"/>
        </w:rPr>
      </w:pPr>
      <w:r>
        <w:rPr>
          <w:rFonts w:hint="eastAsia"/>
          <w:sz w:val="32"/>
          <w:szCs w:val="32"/>
          <w:lang w:val="en-US" w:eastAsia="zh-CN"/>
        </w:rPr>
        <w:t xml:space="preserve">  </w:t>
      </w:r>
      <w:r>
        <w:rPr>
          <w:rFonts w:hint="eastAsia"/>
          <w:color w:val="FF0000"/>
          <w:sz w:val="32"/>
          <w:szCs w:val="32"/>
          <w:lang w:val="en-US" w:eastAsia="zh-CN"/>
        </w:rPr>
        <w:t xml:space="preserve"> </w:t>
      </w:r>
      <w:r>
        <w:rPr>
          <w:rFonts w:hint="eastAsia" w:ascii="仿宋_GB2312" w:hAnsi="仿宋_GB2312" w:eastAsia="仿宋_GB2312" w:cs="仿宋_GB2312"/>
          <w:color w:val="auto"/>
          <w:sz w:val="32"/>
          <w:szCs w:val="32"/>
          <w:lang w:val="en-US" w:eastAsia="zh-CN"/>
        </w:rPr>
        <w:t>4.政府采购管理情况</w:t>
      </w:r>
    </w:p>
    <w:p>
      <w:pPr>
        <w:pStyle w:val="3"/>
        <w:keepNext w:val="0"/>
        <w:keepLines w:val="0"/>
        <w:pageBreakBefore w:val="0"/>
        <w:widowControl/>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2024年度，</w:t>
      </w:r>
      <w:r>
        <w:rPr>
          <w:rFonts w:hint="eastAsia" w:ascii="仿宋_GB2312" w:hAnsi="仿宋_GB2312" w:eastAsia="仿宋_GB2312" w:cs="仿宋_GB2312"/>
          <w:color w:val="auto"/>
          <w:sz w:val="32"/>
          <w:szCs w:val="32"/>
          <w:lang w:val="en-US" w:eastAsia="zh-CN"/>
        </w:rPr>
        <w:t>中心单灯控制器采购项目、湖滨大道等6条路绿色改造工程、中心城区岳阳教体局和云梦新城等16处亮化大修项目均</w:t>
      </w:r>
      <w:r>
        <w:rPr>
          <w:rFonts w:hint="eastAsia" w:ascii="仿宋_GB2312" w:hAnsi="仿宋_GB2312" w:eastAsia="仿宋_GB2312" w:cs="仿宋_GB2312"/>
          <w:sz w:val="32"/>
          <w:szCs w:val="32"/>
          <w:lang w:val="en-US" w:eastAsia="zh-CN"/>
        </w:rPr>
        <w:t>严格按照</w:t>
      </w:r>
      <w:r>
        <w:rPr>
          <w:rFonts w:hint="eastAsia" w:ascii="仿宋_GB2312" w:hAnsi="仿宋_GB2312" w:eastAsia="仿宋_GB2312" w:cs="仿宋_GB2312"/>
          <w:color w:val="auto"/>
          <w:sz w:val="32"/>
          <w:szCs w:val="32"/>
        </w:rPr>
        <w:t>《中华人民共和国政府采购法》</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sz w:val="32"/>
          <w:szCs w:val="32"/>
          <w:lang w:val="en-US" w:eastAsia="zh-CN"/>
        </w:rPr>
        <w:t>岳阳市财政局《关于印发&lt;岳阳市预算单位政府集中采购目录及标准指引（2022版）&gt;的通知》（岳财发〔2022〕2号）文件精神，以公开招标或竞争性磋商方式进行了采购，其他采购限额以下材料和服务采购项目均按</w:t>
      </w:r>
      <w:r>
        <w:rPr>
          <w:rFonts w:hint="eastAsia" w:ascii="仿宋_GB2312" w:hAnsi="仿宋_GB2312" w:eastAsia="仿宋_GB2312" w:cs="仿宋_GB2312"/>
          <w:sz w:val="32"/>
          <w:szCs w:val="32"/>
        </w:rPr>
        <w:t>湖南省财政厅印发的《湖南省政府采购电子卖场管理办法》（湘财购［2019]27号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文件规定的标准和程序进行了采购，全年累计政府采购交易额为1190.98万元。</w:t>
      </w:r>
    </w:p>
    <w:p>
      <w:pPr>
        <w:keepNext w:val="0"/>
        <w:keepLines w:val="0"/>
        <w:pageBreakBefore w:val="0"/>
        <w:numPr>
          <w:ilvl w:val="0"/>
          <w:numId w:val="0"/>
        </w:numPr>
        <w:wordWrap/>
        <w:overflowPunct/>
        <w:topLinePunct w:val="0"/>
        <w:bidi w:val="0"/>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5.资金管理情况</w:t>
      </w:r>
    </w:p>
    <w:p>
      <w:pPr>
        <w:keepNext w:val="0"/>
        <w:keepLines w:val="0"/>
        <w:pageBreakBefore w:val="0"/>
        <w:wordWrap/>
        <w:overflowPunct/>
        <w:topLinePunct w:val="0"/>
        <w:bidi w:val="0"/>
        <w:spacing w:line="580" w:lineRule="exact"/>
        <w:ind w:firstLine="640" w:firstLineChars="200"/>
        <w:jc w:val="both"/>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bCs/>
          <w:sz w:val="32"/>
          <w:szCs w:val="32"/>
        </w:rPr>
        <w:t>专项资金</w:t>
      </w:r>
      <w:r>
        <w:rPr>
          <w:rFonts w:hint="eastAsia" w:ascii="仿宋_GB2312" w:hAnsi="仿宋_GB2312" w:eastAsia="仿宋_GB2312" w:cs="仿宋_GB2312"/>
          <w:bCs/>
          <w:sz w:val="32"/>
          <w:szCs w:val="32"/>
          <w:lang w:eastAsia="zh-CN"/>
        </w:rPr>
        <w:t>管理严格</w:t>
      </w:r>
      <w:r>
        <w:rPr>
          <w:rFonts w:hint="eastAsia" w:ascii="仿宋_GB2312" w:hAnsi="仿宋_GB2312" w:eastAsia="仿宋_GB2312" w:cs="仿宋_GB2312"/>
          <w:bCs/>
          <w:sz w:val="32"/>
          <w:szCs w:val="32"/>
        </w:rPr>
        <w:t>按照</w:t>
      </w:r>
      <w:r>
        <w:rPr>
          <w:rFonts w:hint="eastAsia" w:ascii="CESI仿宋-GB2312" w:hAnsi="CESI仿宋-GB2312" w:eastAsia="CESI仿宋-GB2312" w:cs="CESI仿宋-GB2312"/>
          <w:color w:val="000000"/>
          <w:kern w:val="0"/>
          <w:sz w:val="32"/>
          <w:szCs w:val="32"/>
          <w:lang w:val="en-US" w:eastAsia="zh-CN" w:bidi="ar-SA"/>
        </w:rPr>
        <w:t>岳阳市财政局《关于进一步规范专项资金使用流程的通知》（岳财发〔2024〕8号）文件精神和中心财务管理制度执行，</w:t>
      </w:r>
      <w:r>
        <w:rPr>
          <w:rFonts w:hint="eastAsia" w:ascii="仿宋_GB2312" w:hAnsi="仿宋_GB2312" w:eastAsia="仿宋_GB2312" w:cs="仿宋_GB2312"/>
          <w:bCs/>
          <w:sz w:val="32"/>
          <w:szCs w:val="32"/>
        </w:rPr>
        <w:t>按</w:t>
      </w:r>
      <w:r>
        <w:rPr>
          <w:rFonts w:hint="eastAsia" w:ascii="仿宋_GB2312" w:hAnsi="仿宋_GB2312" w:eastAsia="仿宋_GB2312" w:cs="仿宋_GB2312"/>
          <w:bCs/>
          <w:sz w:val="32"/>
          <w:szCs w:val="32"/>
          <w:lang w:val="en-US" w:eastAsia="zh-CN"/>
        </w:rPr>
        <w:t>照</w:t>
      </w:r>
      <w:r>
        <w:rPr>
          <w:rFonts w:hint="eastAsia" w:ascii="仿宋_GB2312" w:hAnsi="仿宋_GB2312" w:eastAsia="仿宋_GB2312" w:cs="仿宋_GB2312"/>
          <w:bCs/>
          <w:sz w:val="32"/>
          <w:szCs w:val="32"/>
        </w:rPr>
        <w:t>专款专用，</w:t>
      </w:r>
      <w:r>
        <w:rPr>
          <w:rFonts w:hint="eastAsia" w:ascii="仿宋_GB2312" w:hAnsi="仿宋_GB2312" w:eastAsia="仿宋_GB2312" w:cs="仿宋_GB2312"/>
          <w:bCs/>
          <w:sz w:val="32"/>
          <w:szCs w:val="32"/>
          <w:lang w:val="en-US" w:eastAsia="zh-CN"/>
        </w:rPr>
        <w:t>分项核算进行管理，</w:t>
      </w:r>
      <w:r>
        <w:rPr>
          <w:rFonts w:hint="eastAsia" w:ascii="仿宋_GB2312" w:hAnsi="仿宋_GB2312" w:eastAsia="仿宋_GB2312" w:cs="仿宋_GB2312"/>
          <w:bCs/>
          <w:sz w:val="32"/>
          <w:szCs w:val="32"/>
        </w:rPr>
        <w:t>按照项目资金批准计划使用，不擅自调项、扩项、缩项，无拆借、挪用和挤占，对每笔专项资金的支付，严格执行财务制度，落实专项资金审核程序。对专项资金的使用流程进行监督，定</w:t>
      </w:r>
      <w:r>
        <w:rPr>
          <w:rFonts w:hint="eastAsia" w:ascii="仿宋_GB2312" w:hAnsi="仿宋_GB2312" w:eastAsia="仿宋_GB2312" w:cs="仿宋_GB2312"/>
          <w:bCs/>
          <w:sz w:val="32"/>
          <w:szCs w:val="32"/>
          <w:lang w:val="en-US" w:eastAsia="zh-CN"/>
        </w:rPr>
        <w:t>期</w:t>
      </w:r>
      <w:r>
        <w:rPr>
          <w:rFonts w:hint="eastAsia" w:ascii="仿宋_GB2312" w:hAnsi="仿宋_GB2312" w:eastAsia="仿宋_GB2312" w:cs="仿宋_GB2312"/>
          <w:bCs/>
          <w:sz w:val="32"/>
          <w:szCs w:val="32"/>
        </w:rPr>
        <w:t>查看财务报表检查专项资金使用情况。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6.运行成本和管理效率</w:t>
      </w:r>
    </w:p>
    <w:p>
      <w:pPr>
        <w:pStyle w:val="3"/>
        <w:keepNext w:val="0"/>
        <w:keepLines w:val="0"/>
        <w:pageBreakBefore w:val="0"/>
        <w:numPr>
          <w:ilvl w:val="0"/>
          <w:numId w:val="0"/>
        </w:numPr>
        <w:wordWrap/>
        <w:overflowPunct/>
        <w:topLinePunct w:val="0"/>
        <w:bidi w:val="0"/>
        <w:spacing w:line="58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中心全年预算金额为5483.07万元（其中一般公共预算金额为4743.62万元、其他资金预算金额为739.45万元），实际支出金额为5359.87万元，其中基本支出1031.73万元、项目支出4328.14万元（含其他资金支出739.34万元），年度预算执行率为97.75%，单位履职和事业发展运行成本控制在年度预算金额内，资金周转利用效率高。</w:t>
      </w:r>
    </w:p>
    <w:p>
      <w:pPr>
        <w:pStyle w:val="3"/>
        <w:keepNext w:val="0"/>
        <w:keepLines w:val="0"/>
        <w:pageBreakBefore w:val="0"/>
        <w:numPr>
          <w:ilvl w:val="0"/>
          <w:numId w:val="0"/>
        </w:numPr>
        <w:wordWrap/>
        <w:overflowPunct/>
        <w:topLinePunct w:val="0"/>
        <w:bidi w:val="0"/>
        <w:spacing w:line="580" w:lineRule="exact"/>
        <w:ind w:left="0" w:leftChars="0" w:firstLine="643" w:firstLineChars="200"/>
        <w:jc w:val="left"/>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pPr>
      <w:r>
        <w:rPr>
          <w:rFonts w:hint="eastAsia" w:ascii="楷体_GB2312" w:hAnsi="楷体_GB2312" w:eastAsia="楷体_GB2312" w:cs="楷体_GB2312"/>
          <w:b/>
          <w:bCs w:val="0"/>
          <w:color w:val="000000" w:themeColor="text1"/>
          <w:sz w:val="32"/>
          <w:szCs w:val="32"/>
          <w:highlight w:val="none"/>
          <w:lang w:val="en-US" w:eastAsia="zh-CN"/>
          <w14:textFill>
            <w14:solidFill>
              <w14:schemeClr w14:val="tx1"/>
            </w14:solidFill>
          </w14:textFill>
        </w:rPr>
        <w:t>（四）履职效能、社会效应、可持续发展能力和服务对象满意度等方面情况</w:t>
      </w:r>
    </w:p>
    <w:p>
      <w:pPr>
        <w:keepNext w:val="0"/>
        <w:keepLines w:val="0"/>
        <w:pageBreakBefore w:val="0"/>
        <w:wordWrap/>
        <w:overflowPunct/>
        <w:topLinePunct w:val="0"/>
        <w:bidi w:val="0"/>
        <w:spacing w:line="580" w:lineRule="exact"/>
        <w:ind w:firstLine="640" w:firstLineChars="200"/>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以习近平新时代中国特色社会主义思想为指导，坚持强化使命担当，紧贴民生需求，主动服务</w:t>
      </w:r>
      <w:r>
        <w:rPr>
          <w:rFonts w:hint="eastAsia" w:ascii="仿宋_GB2312" w:hAnsi="仿宋_GB2312" w:eastAsia="仿宋_GB2312" w:cs="仿宋_GB2312"/>
          <w:kern w:val="0"/>
          <w:sz w:val="32"/>
          <w:szCs w:val="32"/>
        </w:rPr>
        <w:t>城市管理</w:t>
      </w:r>
      <w:r>
        <w:rPr>
          <w:rFonts w:hint="eastAsia" w:ascii="仿宋_GB2312" w:hAnsi="仿宋_GB2312" w:eastAsia="仿宋_GB2312" w:cs="仿宋_GB2312"/>
          <w:sz w:val="32"/>
          <w:szCs w:val="32"/>
        </w:rPr>
        <w:t>大局，奋力谱写</w:t>
      </w:r>
      <w:r>
        <w:rPr>
          <w:rFonts w:hint="eastAsia" w:ascii="仿宋_GB2312" w:hAnsi="仿宋_GB2312" w:eastAsia="仿宋_GB2312" w:cs="仿宋_GB2312"/>
          <w:kern w:val="0"/>
          <w:sz w:val="32"/>
          <w:szCs w:val="32"/>
        </w:rPr>
        <w:t>全市照明工作高质量发展新篇章</w:t>
      </w:r>
      <w:r>
        <w:rPr>
          <w:rFonts w:hint="eastAsia" w:ascii="仿宋_GB2312" w:hAnsi="仿宋_GB2312" w:eastAsia="仿宋_GB2312" w:cs="仿宋_GB2312"/>
          <w:kern w:val="0"/>
          <w:sz w:val="32"/>
          <w:szCs w:val="32"/>
          <w:lang w:eastAsia="zh-CN"/>
        </w:rPr>
        <w:t>。</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坚持</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精细管理抓落实</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城区路灯和公用亮化设施的精细化、科学化管理，为我市打造了</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美观、节能的路灯和亮化系统</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提升了城区夜间环境的</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整体性</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和</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艺术性，形成了和谐、雅致、丰富的城市夜间景观</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扮靓扮美</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了</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“城市客厅”</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，为</w:t>
      </w:r>
      <w:r>
        <w:rPr>
          <w:rFonts w:hint="eastAsia" w:ascii="CESI仿宋-GB2312" w:hAnsi="CESI仿宋-GB2312" w:eastAsia="CESI仿宋-GB2312" w:cs="CESI仿宋-GB2312"/>
          <w:b w:val="0"/>
          <w:bCs w:val="0"/>
          <w:color w:val="000000" w:themeColor="text1"/>
          <w:kern w:val="0"/>
          <w:sz w:val="32"/>
          <w:szCs w:val="32"/>
          <w14:textFill>
            <w14:solidFill>
              <w14:schemeClr w14:val="tx1"/>
            </w14:solidFill>
          </w14:textFill>
        </w:rPr>
        <w:t>2025年第四届省旅发大会</w:t>
      </w:r>
      <w:r>
        <w:rPr>
          <w:rFonts w:hint="eastAsia" w:ascii="CESI仿宋-GB2312" w:hAnsi="CESI仿宋-GB2312" w:eastAsia="CESI仿宋-GB2312" w:cs="CESI仿宋-GB2312"/>
          <w:b w:val="0"/>
          <w:bCs w:val="0"/>
          <w:color w:val="000000" w:themeColor="text1"/>
          <w:kern w:val="0"/>
          <w:sz w:val="32"/>
          <w:szCs w:val="32"/>
          <w:lang w:eastAsia="zh-CN"/>
          <w14:textFill>
            <w14:solidFill>
              <w14:schemeClr w14:val="tx1"/>
            </w14:solidFill>
          </w14:textFill>
        </w:rPr>
        <w:t>召开打下了坚实基础。</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助推了城市旅游业发展，拓宽了市民夜间休闲空间，增强了市民的幸福感和获得感，得到了领导和市民的普遍赞誉</w:t>
      </w:r>
      <w:r>
        <w:rPr>
          <w:rFonts w:hint="eastAsia" w:ascii="CESI仿宋-GB2312" w:hAnsi="CESI仿宋-GB2312" w:eastAsia="CESI仿宋-GB2312" w:cs="CESI仿宋-GB2312"/>
          <w:sz w:val="32"/>
          <w:szCs w:val="32"/>
          <w:lang w:val="en-US" w:eastAsia="zh-CN"/>
        </w:rPr>
        <w:t>。</w:t>
      </w:r>
    </w:p>
    <w:p>
      <w:pPr>
        <w:pStyle w:val="3"/>
        <w:keepNext w:val="0"/>
        <w:keepLines w:val="0"/>
        <w:pageBreakBefore w:val="0"/>
        <w:numPr>
          <w:ilvl w:val="0"/>
          <w:numId w:val="4"/>
        </w:numPr>
        <w:wordWrap/>
        <w:overflowPunct/>
        <w:topLinePunct w:val="0"/>
        <w:bidi w:val="0"/>
        <w:spacing w:line="580" w:lineRule="exact"/>
        <w:ind w:left="640" w:leftChars="0" w:firstLine="0" w:firstLineChars="0"/>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评价结论</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color w:val="333333"/>
          <w:sz w:val="32"/>
          <w:szCs w:val="32"/>
          <w:u w:val="none"/>
          <w:shd w:val="clear" w:color="auto" w:fill="FFFFFF"/>
        </w:rPr>
        <w:t>评价小组</w:t>
      </w:r>
      <w:r>
        <w:rPr>
          <w:rFonts w:hint="eastAsia" w:ascii="CESI仿宋-GB2312" w:hAnsi="CESI仿宋-GB2312" w:eastAsia="CESI仿宋-GB2312" w:cs="CESI仿宋-GB2312"/>
          <w:sz w:val="32"/>
          <w:szCs w:val="32"/>
          <w:lang w:val="en-US" w:eastAsia="zh-CN"/>
        </w:rPr>
        <w:t>依</w:t>
      </w:r>
      <w:r>
        <w:rPr>
          <w:rFonts w:hint="eastAsia" w:ascii="CESI仿宋-GB2312" w:hAnsi="CESI仿宋-GB2312" w:eastAsia="CESI仿宋-GB2312" w:cs="CESI仿宋-GB2312"/>
          <w:sz w:val="32"/>
          <w:szCs w:val="32"/>
        </w:rPr>
        <w:t>据</w:t>
      </w:r>
      <w:r>
        <w:rPr>
          <w:rFonts w:hint="eastAsia" w:ascii="CESI仿宋-GB2312" w:hAnsi="CESI仿宋-GB2312" w:eastAsia="CESI仿宋-GB2312" w:cs="CESI仿宋-GB2312"/>
          <w:sz w:val="32"/>
          <w:szCs w:val="32"/>
          <w:lang w:val="en-US" w:eastAsia="zh-CN"/>
        </w:rPr>
        <w:t>岳阳市财政局《关于印发&lt;岳阳市市级预算部门绩效自评操作规程&gt;的通知》岳财函〔2022〕209号文件规定</w:t>
      </w:r>
      <w:r>
        <w:rPr>
          <w:rFonts w:hint="eastAsia" w:ascii="CESI仿宋-GB2312" w:hAnsi="CESI仿宋-GB2312" w:eastAsia="CESI仿宋-GB2312" w:cs="CESI仿宋-GB2312"/>
          <w:sz w:val="32"/>
          <w:szCs w:val="32"/>
        </w:rPr>
        <w:t>评价指标</w:t>
      </w:r>
      <w:r>
        <w:rPr>
          <w:rFonts w:hint="eastAsia" w:ascii="CESI仿宋-GB2312" w:hAnsi="CESI仿宋-GB2312" w:eastAsia="CESI仿宋-GB2312" w:cs="CESI仿宋-GB2312"/>
          <w:sz w:val="32"/>
          <w:szCs w:val="32"/>
          <w:lang w:val="en-US" w:eastAsia="zh-CN"/>
        </w:rPr>
        <w:t>和标准，结合绩效目标</w:t>
      </w:r>
      <w:r>
        <w:rPr>
          <w:rFonts w:hint="eastAsia" w:ascii="CESI仿宋-GB2312" w:hAnsi="CESI仿宋-GB2312" w:eastAsia="CESI仿宋-GB2312" w:cs="CESI仿宋-GB2312"/>
          <w:color w:val="333333"/>
          <w:sz w:val="32"/>
          <w:szCs w:val="32"/>
          <w:u w:val="none"/>
          <w:shd w:val="clear" w:color="auto" w:fill="FFFFFF"/>
          <w:lang w:val="en-US" w:eastAsia="zh-CN"/>
        </w:rPr>
        <w:t>对</w:t>
      </w:r>
      <w:r>
        <w:rPr>
          <w:rFonts w:hint="eastAsia" w:ascii="CESI仿宋-GB2312" w:hAnsi="CESI仿宋-GB2312" w:eastAsia="CESI仿宋-GB2312" w:cs="CESI仿宋-GB2312"/>
          <w:color w:val="000000"/>
          <w:sz w:val="32"/>
          <w:szCs w:val="32"/>
          <w:u w:val="none"/>
        </w:rPr>
        <w:t>岳阳市城市照明管理中心</w:t>
      </w:r>
      <w:r>
        <w:rPr>
          <w:rFonts w:hint="eastAsia" w:ascii="CESI仿宋-GB2312" w:hAnsi="CESI仿宋-GB2312" w:eastAsia="CESI仿宋-GB2312" w:cs="CESI仿宋-GB2312"/>
          <w:color w:val="333333"/>
          <w:sz w:val="32"/>
          <w:szCs w:val="32"/>
          <w:shd w:val="clear" w:color="auto" w:fill="FFFFFF"/>
        </w:rPr>
        <w:t>202</w:t>
      </w:r>
      <w:r>
        <w:rPr>
          <w:rFonts w:hint="eastAsia" w:ascii="CESI仿宋-GB2312" w:hAnsi="CESI仿宋-GB2312" w:eastAsia="CESI仿宋-GB2312" w:cs="CESI仿宋-GB2312"/>
          <w:color w:val="333333"/>
          <w:sz w:val="32"/>
          <w:szCs w:val="32"/>
          <w:shd w:val="clear" w:color="auto" w:fill="FFFFFF"/>
          <w:lang w:val="en-US" w:eastAsia="zh-CN"/>
        </w:rPr>
        <w:t>4</w:t>
      </w:r>
      <w:r>
        <w:rPr>
          <w:rFonts w:hint="eastAsia" w:ascii="CESI仿宋-GB2312" w:hAnsi="CESI仿宋-GB2312" w:eastAsia="CESI仿宋-GB2312" w:cs="CESI仿宋-GB2312"/>
          <w:color w:val="333333"/>
          <w:sz w:val="32"/>
          <w:szCs w:val="32"/>
          <w:shd w:val="clear" w:color="auto" w:fill="FFFFFF"/>
        </w:rPr>
        <w:t>年</w:t>
      </w:r>
      <w:r>
        <w:rPr>
          <w:rFonts w:hint="eastAsia" w:ascii="CESI仿宋-GB2312" w:hAnsi="CESI仿宋-GB2312" w:eastAsia="CESI仿宋-GB2312" w:cs="CESI仿宋-GB2312"/>
          <w:sz w:val="32"/>
          <w:szCs w:val="32"/>
          <w:lang w:val="en-US" w:eastAsia="zh-CN"/>
        </w:rPr>
        <w:t>资金支出情况</w:t>
      </w:r>
      <w:r>
        <w:rPr>
          <w:rFonts w:hint="eastAsia" w:ascii="CESI仿宋-GB2312" w:hAnsi="CESI仿宋-GB2312" w:eastAsia="CESI仿宋-GB2312" w:cs="CESI仿宋-GB2312"/>
          <w:color w:val="333333"/>
          <w:sz w:val="32"/>
          <w:szCs w:val="32"/>
          <w:u w:val="none"/>
          <w:shd w:val="clear" w:color="auto" w:fill="FFFFFF"/>
          <w:lang w:val="en-US" w:eastAsia="zh-CN"/>
        </w:rPr>
        <w:t>进行了</w:t>
      </w:r>
      <w:r>
        <w:rPr>
          <w:rFonts w:hint="eastAsia" w:ascii="CESI仿宋-GB2312" w:hAnsi="CESI仿宋-GB2312" w:eastAsia="CESI仿宋-GB2312" w:cs="CESI仿宋-GB2312"/>
          <w:color w:val="333333"/>
          <w:sz w:val="32"/>
          <w:szCs w:val="32"/>
          <w:u w:val="none"/>
          <w:shd w:val="clear" w:color="auto" w:fill="FFFFFF"/>
        </w:rPr>
        <w:t>定量和定性分析</w:t>
      </w:r>
      <w:r>
        <w:rPr>
          <w:rFonts w:hint="eastAsia" w:ascii="CESI仿宋-GB2312" w:hAnsi="CESI仿宋-GB2312" w:eastAsia="CESI仿宋-GB2312" w:cs="CESI仿宋-GB2312"/>
          <w:sz w:val="32"/>
          <w:szCs w:val="32"/>
          <w:lang w:val="en-US" w:eastAsia="zh-CN"/>
        </w:rPr>
        <w:t>，</w:t>
      </w:r>
      <w:r>
        <w:rPr>
          <w:rFonts w:hint="eastAsia" w:ascii="CESI仿宋-GB2312" w:hAnsi="CESI仿宋-GB2312" w:eastAsia="CESI仿宋-GB2312" w:cs="CESI仿宋-GB2312"/>
          <w:color w:val="333333"/>
          <w:sz w:val="32"/>
          <w:szCs w:val="32"/>
          <w:shd w:val="clear" w:color="auto" w:fill="FFFFFF"/>
          <w:lang w:val="en-US" w:eastAsia="zh-CN"/>
        </w:rPr>
        <w:t>单位整体</w:t>
      </w:r>
      <w:r>
        <w:rPr>
          <w:rFonts w:hint="eastAsia" w:ascii="CESI仿宋-GB2312" w:hAnsi="CESI仿宋-GB2312" w:eastAsia="CESI仿宋-GB2312" w:cs="CESI仿宋-GB2312"/>
          <w:color w:val="333333"/>
          <w:sz w:val="32"/>
          <w:szCs w:val="32"/>
          <w:shd w:val="clear" w:color="auto" w:fill="FFFFFF"/>
        </w:rPr>
        <w:t>绩效评价最后得分为</w:t>
      </w:r>
      <w:r>
        <w:rPr>
          <w:rFonts w:hint="eastAsia" w:ascii="CESI仿宋-GB2312" w:hAnsi="CESI仿宋-GB2312" w:eastAsia="CESI仿宋-GB2312" w:cs="CESI仿宋-GB2312"/>
          <w:color w:val="auto"/>
          <w:sz w:val="32"/>
          <w:szCs w:val="32"/>
          <w:shd w:val="clear" w:color="auto" w:fill="FFFFFF"/>
          <w:lang w:val="en-US" w:eastAsia="zh-CN"/>
        </w:rPr>
        <w:t>9</w:t>
      </w:r>
      <w:r>
        <w:rPr>
          <w:rFonts w:hint="eastAsia" w:ascii="CESI仿宋-GB2312" w:hAnsi="CESI仿宋-GB2312" w:eastAsia="CESI仿宋-GB2312" w:cs="CESI仿宋-GB2312"/>
          <w:color w:val="auto"/>
          <w:sz w:val="32"/>
          <w:szCs w:val="32"/>
          <w:shd w:val="clear" w:color="auto" w:fill="FFFFFF"/>
          <w:lang w:val="en" w:eastAsia="zh-CN"/>
        </w:rPr>
        <w:t>7.78</w:t>
      </w:r>
      <w:r>
        <w:rPr>
          <w:rFonts w:hint="eastAsia" w:ascii="CESI仿宋-GB2312" w:hAnsi="CESI仿宋-GB2312" w:eastAsia="CESI仿宋-GB2312" w:cs="CESI仿宋-GB2312"/>
          <w:color w:val="333333"/>
          <w:sz w:val="32"/>
          <w:szCs w:val="32"/>
          <w:shd w:val="clear" w:color="auto" w:fill="FFFFFF"/>
          <w:lang w:val="en-US" w:eastAsia="zh-CN"/>
        </w:rPr>
        <w:t>分（具体评分见附件2），</w:t>
      </w:r>
      <w:r>
        <w:rPr>
          <w:rFonts w:hint="eastAsia" w:ascii="CESI仿宋-GB2312" w:hAnsi="CESI仿宋-GB2312" w:eastAsia="CESI仿宋-GB2312" w:cs="CESI仿宋-GB2312"/>
          <w:color w:val="333333"/>
          <w:sz w:val="32"/>
          <w:szCs w:val="32"/>
          <w:shd w:val="clear" w:color="auto" w:fill="FFFFFF"/>
        </w:rPr>
        <w:t>从绩效评价总体情况来看，</w:t>
      </w:r>
      <w:r>
        <w:rPr>
          <w:rFonts w:hint="eastAsia" w:ascii="CESI仿宋-GB2312" w:hAnsi="CESI仿宋-GB2312" w:eastAsia="CESI仿宋-GB2312" w:cs="CESI仿宋-GB2312"/>
          <w:color w:val="333333"/>
          <w:sz w:val="32"/>
          <w:szCs w:val="32"/>
          <w:shd w:val="clear" w:color="auto" w:fill="FFFFFF"/>
          <w:lang w:val="en-US" w:eastAsia="zh-CN"/>
        </w:rPr>
        <w:t>单位</w:t>
      </w:r>
      <w:r>
        <w:rPr>
          <w:rFonts w:hint="eastAsia" w:ascii="CESI仿宋-GB2312" w:hAnsi="CESI仿宋-GB2312" w:eastAsia="CESI仿宋-GB2312" w:cs="CESI仿宋-GB2312"/>
          <w:color w:val="333333"/>
          <w:sz w:val="32"/>
          <w:szCs w:val="32"/>
          <w:shd w:val="clear" w:color="auto" w:fill="FFFFFF"/>
        </w:rPr>
        <w:t>资金支出规范，</w:t>
      </w:r>
      <w:r>
        <w:rPr>
          <w:rFonts w:hint="eastAsia" w:ascii="CESI仿宋-GB2312" w:hAnsi="CESI仿宋-GB2312" w:eastAsia="CESI仿宋-GB2312" w:cs="CESI仿宋-GB2312"/>
          <w:sz w:val="32"/>
          <w:szCs w:val="32"/>
        </w:rPr>
        <w:t>整体支出绩效良好，</w:t>
      </w:r>
      <w:r>
        <w:rPr>
          <w:rFonts w:hint="eastAsia" w:ascii="CESI仿宋-GB2312" w:hAnsi="CESI仿宋-GB2312" w:eastAsia="CESI仿宋-GB2312" w:cs="CESI仿宋-GB2312"/>
          <w:color w:val="333333"/>
          <w:sz w:val="32"/>
          <w:szCs w:val="32"/>
          <w:shd w:val="clear" w:color="auto" w:fill="FFFFFF"/>
          <w:lang w:val="en-US" w:eastAsia="zh-CN"/>
        </w:rPr>
        <w:t>达到了年初绩效目标要求，积极推动了城市照明管理事业发展，为我市建设省域副中心城市奠定了坚实基础。</w:t>
      </w:r>
    </w:p>
    <w:p>
      <w:pPr>
        <w:pStyle w:val="12"/>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lang w:val="en-US" w:eastAsia="zh-CN"/>
        </w:rPr>
        <w:t>五</w:t>
      </w:r>
      <w:r>
        <w:rPr>
          <w:rFonts w:hint="default" w:ascii="Times New Roman" w:hAnsi="Times New Roman" w:eastAsia="黑体" w:cs="Times New Roman"/>
          <w:color w:val="auto"/>
          <w:sz w:val="32"/>
          <w:szCs w:val="32"/>
        </w:rPr>
        <w:t>、存在的问题及原因分析</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目前，</w:t>
      </w:r>
      <w:r>
        <w:rPr>
          <w:rFonts w:hint="eastAsia" w:ascii="CESI仿宋-GB2312" w:hAnsi="CESI仿宋-GB2312" w:eastAsia="CESI仿宋-GB2312" w:cs="CESI仿宋-GB2312"/>
          <w:b w:val="0"/>
          <w:bCs/>
          <w:kern w:val="0"/>
          <w:sz w:val="32"/>
          <w:szCs w:val="32"/>
        </w:rPr>
        <w:t>城区照明管理不够协同。</w:t>
      </w:r>
      <w:r>
        <w:rPr>
          <w:rFonts w:hint="eastAsia" w:ascii="仿宋_GB2312" w:hAnsi="仿宋_GB2312" w:eastAsia="仿宋_GB2312" w:cs="仿宋_GB2312"/>
          <w:kern w:val="0"/>
          <w:sz w:val="32"/>
          <w:szCs w:val="32"/>
        </w:rPr>
        <w:t>中心城区除经开区城市照明已由我中心管理外，岳阳楼区、南湖新区城市照明仍由属地管理，由于管理制度、人员、技术、设备存在差别，路灯维护标准不一，维护水平参差不齐，甚至亮灯时间都不一致，导致城市照明工作难以统一协调、有序发展。</w:t>
      </w:r>
    </w:p>
    <w:p>
      <w:pPr>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、下一步改进措施</w:t>
      </w:r>
    </w:p>
    <w:p>
      <w:pPr>
        <w:pStyle w:val="8"/>
        <w:keepNext w:val="0"/>
        <w:keepLines w:val="0"/>
        <w:pageBreakBefore w:val="0"/>
        <w:wordWrap/>
        <w:overflowPunct/>
        <w:topLinePunct w:val="0"/>
        <w:bidi w:val="0"/>
        <w:spacing w:line="580" w:lineRule="exact"/>
        <w:ind w:firstLine="640" w:firstLineChars="200"/>
        <w:rPr>
          <w:rFonts w:hint="eastAsia" w:ascii="仿宋_GB2312" w:hAnsi="仿宋_GB2312" w:eastAsia="CESI仿宋-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加强与</w:t>
      </w:r>
      <w:r>
        <w:rPr>
          <w:rFonts w:hint="eastAsia" w:ascii="仿宋_GB2312" w:hAnsi="仿宋_GB2312" w:eastAsia="仿宋_GB2312" w:cs="仿宋_GB2312"/>
          <w:kern w:val="0"/>
          <w:sz w:val="32"/>
          <w:szCs w:val="32"/>
        </w:rPr>
        <w:t>岳阳楼区</w:t>
      </w:r>
      <w:r>
        <w:rPr>
          <w:rFonts w:hint="eastAsia" w:ascii="仿宋_GB2312" w:hAnsi="仿宋_GB2312" w:eastAsia="仿宋_GB2312" w:cs="仿宋_GB2312"/>
          <w:kern w:val="0"/>
          <w:sz w:val="32"/>
          <w:szCs w:val="32"/>
          <w:lang w:eastAsia="zh-CN"/>
        </w:rPr>
        <w:t>和</w:t>
      </w:r>
      <w:r>
        <w:rPr>
          <w:rFonts w:hint="eastAsia" w:ascii="仿宋_GB2312" w:hAnsi="仿宋_GB2312" w:eastAsia="仿宋_GB2312" w:cs="仿宋_GB2312"/>
          <w:kern w:val="0"/>
          <w:sz w:val="32"/>
          <w:szCs w:val="32"/>
        </w:rPr>
        <w:t>南湖新区城市照明</w:t>
      </w:r>
      <w:r>
        <w:rPr>
          <w:rFonts w:hint="eastAsia" w:ascii="仿宋_GB2312" w:hAnsi="仿宋_GB2312" w:eastAsia="仿宋_GB2312" w:cs="仿宋_GB2312"/>
          <w:kern w:val="0"/>
          <w:sz w:val="32"/>
          <w:szCs w:val="32"/>
          <w:lang w:eastAsia="zh-CN"/>
        </w:rPr>
        <w:t>管理单位的沟通协调，统一相关标准，如亮灯时间、</w:t>
      </w:r>
      <w:r>
        <w:rPr>
          <w:rFonts w:hint="eastAsia" w:ascii="仿宋_GB2312" w:hAnsi="仿宋_GB2312" w:eastAsia="仿宋_GB2312" w:cs="仿宋_GB2312"/>
          <w:kern w:val="0"/>
          <w:sz w:val="32"/>
          <w:szCs w:val="32"/>
        </w:rPr>
        <w:t>路灯维护标准</w:t>
      </w:r>
      <w:r>
        <w:rPr>
          <w:rFonts w:hint="eastAsia" w:ascii="仿宋_GB2312" w:hAnsi="仿宋_GB2312" w:eastAsia="仿宋_GB2312" w:cs="仿宋_GB2312"/>
          <w:kern w:val="0"/>
          <w:sz w:val="32"/>
          <w:szCs w:val="32"/>
          <w:lang w:eastAsia="zh-CN"/>
        </w:rPr>
        <w:t>等，推动</w:t>
      </w:r>
      <w:r>
        <w:rPr>
          <w:rFonts w:hint="eastAsia" w:ascii="CESI仿宋-GB2312" w:hAnsi="CESI仿宋-GB2312" w:eastAsia="CESI仿宋-GB2312" w:cs="CESI仿宋-GB2312"/>
          <w:color w:val="333333"/>
          <w:sz w:val="32"/>
          <w:szCs w:val="32"/>
          <w:shd w:val="clear" w:color="auto" w:fill="FFFFFF"/>
          <w:lang w:val="en-US" w:eastAsia="zh-CN"/>
        </w:rPr>
        <w:t>城市照明管理事业高质量发展，进一步提升城市</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夜间环境的</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整体性</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和</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艺术性</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七、</w:t>
      </w:r>
      <w:r>
        <w:rPr>
          <w:rFonts w:hint="default" w:ascii="Times New Roman" w:hAnsi="Times New Roman" w:eastAsia="黑体" w:cs="Times New Roman"/>
          <w:sz w:val="32"/>
          <w:szCs w:val="32"/>
        </w:rPr>
        <w:t>部门整体支出绩效自评结果拟应用</w:t>
      </w:r>
      <w:r>
        <w:rPr>
          <w:rFonts w:hint="eastAsia" w:ascii="Times New Roman" w:hAnsi="Times New Roman" w:eastAsia="黑体" w:cs="Times New Roman"/>
          <w:sz w:val="32"/>
          <w:szCs w:val="32"/>
          <w:lang w:eastAsia="zh-CN"/>
        </w:rPr>
        <w:t>、</w:t>
      </w:r>
      <w:r>
        <w:rPr>
          <w:rFonts w:hint="default" w:ascii="Times New Roman" w:hAnsi="Times New Roman" w:eastAsia="黑体" w:cs="Times New Roman"/>
          <w:sz w:val="32"/>
          <w:szCs w:val="32"/>
        </w:rPr>
        <w:t>公开情况</w:t>
      </w:r>
      <w:r>
        <w:rPr>
          <w:rFonts w:hint="eastAsia" w:ascii="Times New Roman" w:hAnsi="Times New Roman" w:eastAsia="黑体" w:cs="Times New Roman"/>
          <w:sz w:val="32"/>
          <w:szCs w:val="32"/>
          <w:lang w:eastAsia="zh-CN"/>
        </w:rPr>
        <w:t>和</w:t>
      </w:r>
      <w:r>
        <w:rPr>
          <w:rFonts w:hint="default" w:ascii="Times New Roman" w:hAnsi="Times New Roman" w:eastAsia="黑体" w:cs="Times New Roman"/>
          <w:color w:val="auto"/>
          <w:sz w:val="32"/>
          <w:szCs w:val="32"/>
        </w:rPr>
        <w:t>其他需要说明的情况</w:t>
      </w:r>
    </w:p>
    <w:p>
      <w:pPr>
        <w:keepNext w:val="0"/>
        <w:keepLines w:val="0"/>
        <w:pageBreakBefore w:val="0"/>
        <w:widowControl/>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黑体" w:hAnsi="黑体" w:eastAsia="黑体" w:cs="黑体"/>
          <w:sz w:val="32"/>
          <w:szCs w:val="32"/>
          <w:highlight w:val="none"/>
          <w:lang w:eastAsia="zh-CN"/>
        </w:rPr>
      </w:pPr>
      <w:r>
        <w:rPr>
          <w:rFonts w:hint="eastAsia" w:ascii="CESI仿宋-GB2312" w:hAnsi="CESI仿宋-GB2312" w:eastAsia="CESI仿宋-GB2312" w:cs="CESI仿宋-GB2312"/>
          <w:b w:val="0"/>
          <w:bCs w:val="0"/>
          <w:sz w:val="32"/>
          <w:szCs w:val="32"/>
          <w:lang w:val="en-US" w:eastAsia="zh-CN"/>
        </w:rPr>
        <w:t>我单位</w:t>
      </w:r>
      <w:r>
        <w:rPr>
          <w:rFonts w:hint="eastAsia" w:ascii="CESI仿宋-GB2312" w:hAnsi="CESI仿宋-GB2312" w:eastAsia="CESI仿宋-GB2312" w:cs="CESI仿宋-GB2312"/>
          <w:b w:val="0"/>
          <w:bCs w:val="0"/>
          <w:sz w:val="32"/>
          <w:szCs w:val="32"/>
        </w:rPr>
        <w:t>整体支出绩效自评结果</w:t>
      </w:r>
      <w:r>
        <w:rPr>
          <w:rFonts w:hint="eastAsia" w:ascii="CESI仿宋-GB2312" w:hAnsi="CESI仿宋-GB2312" w:eastAsia="CESI仿宋-GB2312" w:cs="CESI仿宋-GB2312"/>
          <w:b w:val="0"/>
          <w:bCs w:val="0"/>
          <w:sz w:val="32"/>
          <w:szCs w:val="32"/>
          <w:lang w:val="en-US" w:eastAsia="zh-CN"/>
        </w:rPr>
        <w:t>将作为完善本单位相关制度，改进资金管理的重要依据，同时，也将作为单位内部工作总结的参考依据。单位的预算绩效目标、预算、决算及绩效评价等信息均按相关规定及时在市城管局门户网站进行了公开，</w:t>
      </w:r>
      <w:r>
        <w:rPr>
          <w:rFonts w:hint="eastAsia" w:ascii="CESI仿宋-GB2312" w:hAnsi="CESI仿宋-GB2312" w:eastAsia="CESI仿宋-GB2312" w:cs="CESI仿宋-GB2312"/>
          <w:kern w:val="0"/>
          <w:sz w:val="32"/>
          <w:szCs w:val="32"/>
        </w:rPr>
        <w:t>公开信息基础数据和会计信息资料准确、真实、完整</w:t>
      </w:r>
      <w:r>
        <w:rPr>
          <w:rFonts w:hint="eastAsia" w:ascii="CESI仿宋-GB2312" w:hAnsi="CESI仿宋-GB2312" w:eastAsia="CESI仿宋-GB2312" w:cs="CESI仿宋-GB2312"/>
          <w:kern w:val="0"/>
          <w:sz w:val="32"/>
          <w:szCs w:val="32"/>
          <w:lang w:eastAsia="zh-CN"/>
        </w:rPr>
        <w:t>，无</w:t>
      </w:r>
      <w:r>
        <w:rPr>
          <w:rFonts w:hint="eastAsia" w:ascii="CESI仿宋-GB2312" w:hAnsi="CESI仿宋-GB2312" w:eastAsia="CESI仿宋-GB2312" w:cs="CESI仿宋-GB2312"/>
          <w:color w:val="auto"/>
          <w:sz w:val="32"/>
          <w:szCs w:val="32"/>
        </w:rPr>
        <w:t>其他需要说明的情况</w:t>
      </w:r>
      <w:r>
        <w:rPr>
          <w:rFonts w:hint="eastAsia" w:ascii="CESI仿宋-GB2312" w:hAnsi="CESI仿宋-GB2312" w:eastAsia="CESI仿宋-GB2312" w:cs="CESI仿宋-GB2312"/>
          <w:kern w:val="0"/>
          <w:sz w:val="32"/>
          <w:szCs w:val="32"/>
        </w:rPr>
        <w:t>。</w:t>
      </w:r>
    </w:p>
    <w:p>
      <w:pPr>
        <w:pStyle w:val="3"/>
        <w:keepNext w:val="0"/>
        <w:keepLines w:val="0"/>
        <w:pageBreakBefore w:val="0"/>
        <w:wordWrap/>
        <w:overflowPunct/>
        <w:topLinePunct w:val="0"/>
        <w:bidi w:val="0"/>
        <w:spacing w:line="580" w:lineRule="exact"/>
        <w:rPr>
          <w:rFonts w:hint="eastAsia"/>
          <w:lang w:eastAsia="zh-CN"/>
        </w:rPr>
      </w:pPr>
    </w:p>
    <w:p>
      <w:pPr>
        <w:keepNext w:val="0"/>
        <w:keepLines w:val="0"/>
        <w:pageBreakBefore w:val="0"/>
        <w:widowControl/>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部门整体支出绩效评价基础数据表</w:t>
      </w:r>
    </w:p>
    <w:p>
      <w:pPr>
        <w:keepNext w:val="0"/>
        <w:keepLines w:val="0"/>
        <w:pageBreakBefore w:val="0"/>
        <w:widowControl/>
        <w:kinsoku/>
        <w:wordWrap/>
        <w:overflowPunct/>
        <w:topLinePunct w:val="0"/>
        <w:autoSpaceDE/>
        <w:autoSpaceDN/>
        <w:bidi w:val="0"/>
        <w:adjustRightInd/>
        <w:snapToGrid/>
        <w:spacing w:line="580" w:lineRule="exact"/>
        <w:ind w:firstLine="960" w:firstLineChars="3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部门整体支出绩效自评表</w:t>
      </w:r>
    </w:p>
    <w:p>
      <w:pPr>
        <w:keepNext w:val="0"/>
        <w:keepLines w:val="0"/>
        <w:pageBreakBefore w:val="0"/>
        <w:wordWrap/>
        <w:overflowPunct/>
        <w:topLinePunct w:val="0"/>
        <w:bidi w:val="0"/>
        <w:spacing w:after="120" w:afterLines="50" w:line="580" w:lineRule="exact"/>
        <w:jc w:val="both"/>
        <w:rPr>
          <w:rFonts w:hint="eastAsia" w:ascii="黑体" w:hAnsi="黑体" w:eastAsia="黑体" w:cs="黑体"/>
          <w:sz w:val="32"/>
          <w:szCs w:val="32"/>
          <w:highlight w:val="none"/>
          <w:lang w:eastAsia="zh-CN"/>
        </w:rPr>
      </w:pPr>
    </w:p>
    <w:p>
      <w:pPr>
        <w:pStyle w:val="3"/>
        <w:keepNext w:val="0"/>
        <w:keepLines w:val="0"/>
        <w:pageBreakBefore w:val="0"/>
        <w:wordWrap/>
        <w:overflowPunct/>
        <w:topLinePunct w:val="0"/>
        <w:bidi w:val="0"/>
        <w:spacing w:line="580" w:lineRule="exact"/>
        <w:rPr>
          <w:rFonts w:hint="eastAsia" w:ascii="黑体" w:hAnsi="黑体" w:eastAsia="黑体" w:cs="黑体"/>
          <w:sz w:val="32"/>
          <w:szCs w:val="32"/>
          <w:highlight w:val="none"/>
          <w:lang w:eastAsia="zh-CN"/>
        </w:rPr>
      </w:pPr>
    </w:p>
    <w:p>
      <w:pPr>
        <w:pStyle w:val="4"/>
        <w:keepNext w:val="0"/>
        <w:keepLines w:val="0"/>
        <w:pageBreakBefore w:val="0"/>
        <w:wordWrap/>
        <w:overflowPunct/>
        <w:topLinePunct w:val="0"/>
        <w:bidi w:val="0"/>
        <w:spacing w:line="580" w:lineRule="exact"/>
        <w:ind w:firstLine="2240" w:firstLineChars="7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岳阳市城市照明管理中心</w:t>
      </w:r>
    </w:p>
    <w:p>
      <w:pPr>
        <w:keepNext w:val="0"/>
        <w:keepLines w:val="0"/>
        <w:pageBreakBefore w:val="0"/>
        <w:wordWrap/>
        <w:overflowPunct/>
        <w:topLinePunct w:val="0"/>
        <w:bidi w:val="0"/>
        <w:spacing w:line="580" w:lineRule="exact"/>
        <w:rPr>
          <w:rFonts w:hint="default" w:eastAsia="仿宋_GB2312"/>
          <w:lang w:val="en-US" w:eastAsia="zh-CN"/>
        </w:rPr>
      </w:pPr>
      <w:r>
        <w:rPr>
          <w:rFonts w:hint="eastAsia" w:ascii="仿宋_GB2312" w:hAnsi="仿宋_GB2312" w:eastAsia="仿宋_GB2312" w:cs="仿宋_GB2312"/>
          <w:b w:val="0"/>
          <w:bCs w:val="0"/>
          <w:color w:val="000000"/>
          <w:sz w:val="32"/>
          <w:szCs w:val="32"/>
          <w:lang w:val="en-US" w:eastAsia="zh-CN"/>
        </w:rPr>
        <w:t xml:space="preserve">                                202</w:t>
      </w:r>
      <w:r>
        <w:rPr>
          <w:rFonts w:hint="default" w:ascii="仿宋_GB2312" w:hAnsi="仿宋_GB2312" w:eastAsia="仿宋_GB2312" w:cs="仿宋_GB2312"/>
          <w:b w:val="0"/>
          <w:bCs w:val="0"/>
          <w:color w:val="000000"/>
          <w:sz w:val="32"/>
          <w:szCs w:val="32"/>
          <w:lang w:val="en" w:eastAsia="zh-CN"/>
        </w:rPr>
        <w:t>5</w:t>
      </w:r>
      <w:r>
        <w:rPr>
          <w:rFonts w:hint="eastAsia" w:ascii="仿宋_GB2312" w:hAnsi="仿宋_GB2312" w:eastAsia="仿宋_GB2312" w:cs="仿宋_GB2312"/>
          <w:b w:val="0"/>
          <w:bCs w:val="0"/>
          <w:color w:val="000000"/>
          <w:sz w:val="32"/>
          <w:szCs w:val="32"/>
          <w:lang w:val="en-US" w:eastAsia="zh-CN"/>
        </w:rPr>
        <w:t>年6月25日</w:t>
      </w:r>
    </w:p>
    <w:p>
      <w:pPr>
        <w:spacing w:after="120" w:afterLines="50" w:line="600" w:lineRule="exact"/>
        <w:jc w:val="both"/>
        <w:rPr>
          <w:rFonts w:hint="eastAsia" w:ascii="黑体" w:hAnsi="黑体" w:eastAsia="黑体" w:cs="黑体"/>
          <w:sz w:val="32"/>
          <w:szCs w:val="32"/>
          <w:highlight w:val="none"/>
          <w:lang w:eastAsia="zh-CN"/>
        </w:rPr>
      </w:pPr>
    </w:p>
    <w:p>
      <w:pPr>
        <w:pStyle w:val="3"/>
        <w:rPr>
          <w:rFonts w:hint="eastAsia" w:ascii="黑体" w:hAnsi="黑体" w:eastAsia="黑体" w:cs="黑体"/>
          <w:sz w:val="32"/>
          <w:szCs w:val="32"/>
          <w:highlight w:val="none"/>
          <w:lang w:eastAsia="zh-CN"/>
        </w:rPr>
      </w:pPr>
    </w:p>
    <w:p>
      <w:pPr>
        <w:pStyle w:val="4"/>
        <w:rPr>
          <w:rFonts w:hint="eastAsia" w:ascii="黑体" w:hAnsi="黑体" w:eastAsia="黑体" w:cs="黑体"/>
          <w:sz w:val="32"/>
          <w:szCs w:val="32"/>
          <w:highlight w:val="none"/>
          <w:lang w:eastAsia="zh-CN"/>
        </w:rPr>
      </w:pPr>
    </w:p>
    <w:p>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default" w:ascii="方正小标宋简体" w:hAnsi="方正小标宋简体" w:eastAsia="方正小标宋简体" w:cs="方正小标宋简体"/>
          <w:sz w:val="36"/>
          <w:szCs w:val="36"/>
          <w:highlight w:val="none"/>
          <w:lang w:val="en"/>
        </w:rPr>
        <w:t>4</w:t>
      </w:r>
      <w:r>
        <w:rPr>
          <w:rFonts w:hint="eastAsia" w:ascii="方正小标宋简体" w:hAnsi="方正小标宋简体" w:eastAsia="方正小标宋简体" w:cs="方正小标宋简体"/>
          <w:sz w:val="36"/>
          <w:szCs w:val="36"/>
          <w:highlight w:val="none"/>
        </w:rPr>
        <w:t>年度部门整体支出绩效评价基础数据表</w:t>
      </w:r>
    </w:p>
    <w:p>
      <w:pPr>
        <w:pStyle w:val="3"/>
        <w:rPr>
          <w:rFonts w:hint="eastAsia"/>
        </w:rPr>
      </w:pPr>
    </w:p>
    <w:tbl>
      <w:tblPr>
        <w:tblStyle w:val="9"/>
        <w:tblW w:w="9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9"/>
        <w:gridCol w:w="1104"/>
        <w:gridCol w:w="948"/>
        <w:gridCol w:w="1030"/>
        <w:gridCol w:w="1111"/>
        <w:gridCol w:w="919"/>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年实际在职人数</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62</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lang w:val="en-US" w:eastAsia="zh-CN"/>
              </w:rPr>
              <w:t>62</w:t>
            </w:r>
            <w:r>
              <w:rPr>
                <w:rFonts w:hint="eastAsia" w:ascii="仿宋_GB2312" w:hAnsi="仿宋_GB2312" w:eastAsia="仿宋_GB2312" w:cs="仿宋_GB2312"/>
                <w:color w:val="auto"/>
                <w:sz w:val="20"/>
                <w:szCs w:val="20"/>
                <w:highlight w:val="none"/>
              </w:rPr>
              <w:t>　</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100%</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3</w:t>
            </w:r>
            <w:r>
              <w:rPr>
                <w:rFonts w:hint="eastAsia" w:ascii="仿宋_GB2312" w:hAnsi="仿宋_GB2312" w:eastAsia="仿宋_GB2312" w:cs="仿宋_GB2312"/>
                <w:b/>
                <w:bCs/>
                <w:sz w:val="20"/>
                <w:szCs w:val="20"/>
                <w:highlight w:val="none"/>
              </w:rPr>
              <w:t>年决算数</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年预算数</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default" w:ascii="仿宋_GB2312" w:hAnsi="仿宋_GB2312" w:eastAsia="仿宋_GB2312" w:cs="仿宋_GB2312"/>
                <w:b/>
                <w:bCs/>
                <w:sz w:val="20"/>
                <w:szCs w:val="20"/>
                <w:highlight w:val="none"/>
                <w:lang w:val="en"/>
              </w:rPr>
              <w:t>4</w:t>
            </w:r>
            <w:r>
              <w:rPr>
                <w:rFonts w:hint="eastAsia" w:ascii="仿宋_GB2312" w:hAnsi="仿宋_GB2312" w:eastAsia="仿宋_GB2312" w:cs="仿宋_GB2312"/>
                <w:b/>
                <w:bCs/>
                <w:sz w:val="20"/>
                <w:szCs w:val="20"/>
                <w:highlight w:val="none"/>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 xml:space="preserve">24.58   </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r>
              <w:rPr>
                <w:rFonts w:hint="default" w:ascii="仿宋_GB2312" w:hAnsi="仿宋_GB2312" w:eastAsia="仿宋_GB2312" w:cs="仿宋_GB2312"/>
                <w:sz w:val="20"/>
                <w:szCs w:val="20"/>
                <w:highlight w:val="none"/>
                <w:lang w:val="en" w:eastAsia="zh-CN"/>
              </w:rPr>
              <w:t>6.53</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31.21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24.47</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w:t>
            </w:r>
            <w:r>
              <w:rPr>
                <w:rFonts w:hint="default" w:ascii="仿宋_GB2312" w:hAnsi="仿宋_GB2312" w:eastAsia="仿宋_GB2312" w:cs="仿宋_GB2312"/>
                <w:sz w:val="20"/>
                <w:szCs w:val="20"/>
                <w:highlight w:val="none"/>
                <w:lang w:val="en" w:eastAsia="zh-CN"/>
              </w:rPr>
              <w:t>5.53</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rPr>
              <w:t>31.08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w:t>
            </w:r>
            <w:r>
              <w:rPr>
                <w:rFonts w:hint="eastAsia" w:ascii="仿宋_GB2312" w:hAnsi="仿宋_GB2312" w:eastAsia="仿宋_GB2312" w:cs="仿宋_GB2312"/>
                <w:color w:val="auto"/>
                <w:sz w:val="20"/>
                <w:szCs w:val="20"/>
                <w:highlight w:val="none"/>
              </w:rPr>
              <w:t>中：公车购置</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24.47</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eastAsia="zh-CN"/>
              </w:rPr>
            </w:pPr>
            <w:r>
              <w:rPr>
                <w:rFonts w:hint="eastAsia" w:ascii="仿宋_GB2312" w:hAnsi="仿宋_GB2312" w:eastAsia="仿宋_GB2312" w:cs="仿宋_GB2312"/>
                <w:sz w:val="20"/>
                <w:szCs w:val="20"/>
                <w:highlight w:val="none"/>
                <w:lang w:val="en-US" w:eastAsia="zh-CN"/>
              </w:rPr>
              <w:t>3</w:t>
            </w:r>
            <w:r>
              <w:rPr>
                <w:rFonts w:hint="default" w:ascii="仿宋_GB2312" w:hAnsi="仿宋_GB2312" w:eastAsia="仿宋_GB2312" w:cs="仿宋_GB2312"/>
                <w:sz w:val="20"/>
                <w:szCs w:val="20"/>
                <w:highlight w:val="none"/>
                <w:lang w:val="en" w:eastAsia="zh-CN"/>
              </w:rPr>
              <w:t>5.53</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31.08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0.11</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　</w:t>
            </w:r>
            <w:r>
              <w:rPr>
                <w:rFonts w:hint="default" w:ascii="仿宋_GB2312" w:hAnsi="仿宋_GB2312" w:eastAsia="仿宋_GB2312" w:cs="仿宋_GB2312"/>
                <w:sz w:val="20"/>
                <w:szCs w:val="20"/>
                <w:highlight w:val="none"/>
                <w:lang w:val="en"/>
              </w:rPr>
              <w:t>44</w:t>
            </w:r>
            <w:r>
              <w:rPr>
                <w:rFonts w:hint="eastAsia" w:ascii="仿宋_GB2312" w:hAnsi="仿宋_GB2312" w:eastAsia="仿宋_GB2312" w:cs="仿宋_GB2312"/>
                <w:sz w:val="20"/>
                <w:szCs w:val="20"/>
                <w:highlight w:val="none"/>
                <w:lang w:val="en-US" w:eastAsia="zh-CN"/>
              </w:rPr>
              <w:t>73.61</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4405.17</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4328.14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1、业务工作经费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799.97</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799.97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2、运行维护经费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0</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FF0000"/>
                <w:sz w:val="20"/>
                <w:szCs w:val="20"/>
                <w:highlight w:val="none"/>
              </w:rPr>
              <w:t>　</w:t>
            </w:r>
            <w:r>
              <w:rPr>
                <w:rFonts w:hint="default" w:ascii="仿宋_GB2312" w:hAnsi="仿宋_GB2312" w:eastAsia="仿宋_GB2312" w:cs="仿宋_GB2312"/>
                <w:sz w:val="20"/>
                <w:szCs w:val="20"/>
                <w:highlight w:val="none"/>
                <w:lang w:val="en"/>
              </w:rPr>
              <w:t>44</w:t>
            </w:r>
            <w:r>
              <w:rPr>
                <w:rFonts w:hint="eastAsia" w:ascii="仿宋_GB2312" w:hAnsi="仿宋_GB2312" w:eastAsia="仿宋_GB2312" w:cs="仿宋_GB2312"/>
                <w:sz w:val="20"/>
                <w:szCs w:val="20"/>
                <w:highlight w:val="none"/>
                <w:lang w:val="en-US" w:eastAsia="zh-CN"/>
              </w:rPr>
              <w:t>73.61</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3605.20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FF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3528.17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(1)</w:t>
            </w:r>
            <w:r>
              <w:rPr>
                <w:rFonts w:hint="eastAsia" w:ascii="仿宋_GB2312" w:hAnsi="仿宋_GB2312" w:eastAsia="仿宋_GB2312" w:cs="仿宋_GB2312"/>
                <w:color w:val="auto"/>
                <w:sz w:val="20"/>
                <w:szCs w:val="20"/>
              </w:rPr>
              <w:t>城区路灯大修经费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35.00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35.00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(2)</w:t>
            </w:r>
            <w:r>
              <w:rPr>
                <w:rFonts w:hint="eastAsia" w:ascii="仿宋_GB2312" w:hAnsi="仿宋_GB2312" w:eastAsia="仿宋_GB2312" w:cs="仿宋_GB2312"/>
                <w:color w:val="auto"/>
                <w:sz w:val="20"/>
                <w:szCs w:val="20"/>
              </w:rPr>
              <w:t>亮化管理计量工作经费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29.95</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54.05</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54.05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(3)路灯及公用亮化设施维护费用</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821.80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1046.25</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1046.25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(4)路灯及公用亮化设施运行电费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1795.00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1719.00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1719.00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(5)中心城区景观亮化大修专项经费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300.00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270.00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197.81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val="en-US" w:eastAsia="zh-CN"/>
              </w:rPr>
              <w:t>(6)全城临街楼宇亮化设施电费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500.00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400.00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395.16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0"/>
                <w:szCs w:val="20"/>
                <w:lang w:val="en" w:eastAsia="zh-CN"/>
              </w:rPr>
            </w:pPr>
            <w:r>
              <w:rPr>
                <w:rFonts w:hint="eastAsia" w:ascii="仿宋_GB2312" w:hAnsi="仿宋_GB2312" w:eastAsia="仿宋_GB2312" w:cs="仿宋_GB2312"/>
                <w:color w:val="auto"/>
                <w:sz w:val="20"/>
                <w:szCs w:val="20"/>
                <w:lang w:val="en" w:eastAsia="zh-CN"/>
              </w:rPr>
              <w:t>(</w:t>
            </w:r>
            <w:r>
              <w:rPr>
                <w:rFonts w:hint="eastAsia" w:ascii="仿宋_GB2312" w:hAnsi="仿宋_GB2312" w:eastAsia="仿宋_GB2312" w:cs="仿宋_GB2312"/>
                <w:color w:val="auto"/>
                <w:sz w:val="20"/>
                <w:szCs w:val="20"/>
                <w:lang w:val="en-US" w:eastAsia="zh-CN"/>
              </w:rPr>
              <w:t>7</w:t>
            </w:r>
            <w:r>
              <w:rPr>
                <w:rFonts w:hint="eastAsia" w:ascii="仿宋_GB2312" w:hAnsi="仿宋_GB2312" w:eastAsia="仿宋_GB2312" w:cs="仿宋_GB2312"/>
                <w:color w:val="auto"/>
                <w:sz w:val="20"/>
                <w:szCs w:val="20"/>
                <w:lang w:val="en" w:eastAsia="zh-CN"/>
              </w:rPr>
              <w:t>)</w:t>
            </w:r>
            <w:r>
              <w:rPr>
                <w:rFonts w:hint="eastAsia" w:ascii="仿宋_GB2312" w:hAnsi="仿宋_GB2312" w:eastAsia="仿宋_GB2312" w:cs="仿宋_GB2312"/>
                <w:sz w:val="20"/>
                <w:szCs w:val="20"/>
                <w:lang w:val="en" w:eastAsia="zh-CN"/>
              </w:rPr>
              <w:t>非税收入征管经费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highlight w:val="none"/>
                <w:lang w:val="en-US" w:eastAsia="zh-CN"/>
              </w:rPr>
              <w:t>30.29</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80.90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80.90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 w:eastAsia="zh-CN"/>
              </w:rPr>
              <w:t>(8)</w:t>
            </w:r>
            <w:r>
              <w:rPr>
                <w:rFonts w:hint="eastAsia" w:ascii="仿宋_GB2312" w:hAnsi="仿宋_GB2312" w:eastAsia="仿宋_GB2312" w:cs="仿宋_GB2312"/>
                <w:color w:val="auto"/>
                <w:sz w:val="20"/>
                <w:szCs w:val="20"/>
                <w:lang w:val="en-US" w:eastAsia="zh-CN"/>
              </w:rPr>
              <w:t>绿色照明改造</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651.40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(9)洞庭大道及枫桥湖路灯改造</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sz w:val="20"/>
                <w:szCs w:val="20"/>
                <w:highlight w:val="none"/>
                <w:lang w:val="en-US" w:eastAsia="zh-CN"/>
              </w:rPr>
              <w:t>310.17</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default" w:ascii="仿宋_GB2312" w:hAnsi="仿宋_GB2312" w:eastAsia="仿宋_GB2312" w:cs="仿宋_GB2312"/>
                <w:sz w:val="20"/>
                <w:szCs w:val="20"/>
                <w:highlight w:val="none"/>
                <w:lang w:val="en"/>
              </w:rPr>
              <w:t>107.55</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116.84</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FF0000"/>
                <w:kern w:val="0"/>
                <w:sz w:val="20"/>
                <w:szCs w:val="20"/>
                <w:highlight w:val="none"/>
                <w:lang w:val="en-US" w:eastAsia="zh-CN" w:bidi="ar-SA"/>
              </w:rPr>
            </w:pPr>
            <w:r>
              <w:rPr>
                <w:rFonts w:hint="default" w:ascii="仿宋_GB2312" w:hAnsi="仿宋_GB2312" w:eastAsia="仿宋_GB2312" w:cs="仿宋_GB2312"/>
                <w:color w:val="auto"/>
                <w:sz w:val="20"/>
                <w:szCs w:val="20"/>
                <w:highlight w:val="none"/>
                <w:lang w:val="en"/>
              </w:rPr>
              <w:t>8.00</w:t>
            </w:r>
            <w:r>
              <w:rPr>
                <w:rFonts w:hint="eastAsia" w:ascii="仿宋_GB2312" w:hAnsi="仿宋_GB2312" w:eastAsia="仿宋_GB2312" w:cs="仿宋_GB2312"/>
                <w:color w:val="auto"/>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FF0000"/>
                <w:kern w:val="0"/>
                <w:sz w:val="20"/>
                <w:szCs w:val="20"/>
                <w:highlight w:val="none"/>
                <w:lang w:val="en-US" w:eastAsia="zh-CN" w:bidi="ar-SA"/>
              </w:rPr>
            </w:pPr>
            <w:r>
              <w:rPr>
                <w:rFonts w:hint="default" w:ascii="仿宋_GB2312" w:hAnsi="仿宋_GB2312" w:eastAsia="仿宋_GB2312" w:cs="仿宋_GB2312"/>
                <w:color w:val="auto"/>
                <w:sz w:val="20"/>
                <w:szCs w:val="20"/>
                <w:highlight w:val="none"/>
                <w:lang w:val="en"/>
              </w:rPr>
              <w:t>2.51</w:t>
            </w:r>
            <w:r>
              <w:rPr>
                <w:rFonts w:hint="eastAsia" w:ascii="仿宋_GB2312" w:hAnsi="仿宋_GB2312" w:eastAsia="仿宋_GB2312" w:cs="仿宋_GB2312"/>
                <w:color w:val="auto"/>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4.40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FF0000"/>
                <w:kern w:val="0"/>
                <w:sz w:val="20"/>
                <w:szCs w:val="20"/>
                <w:highlight w:val="none"/>
                <w:lang w:val="en-US" w:eastAsia="zh-CN" w:bidi="ar-SA"/>
              </w:rPr>
            </w:pPr>
            <w:r>
              <w:rPr>
                <w:rFonts w:hint="eastAsia" w:ascii="仿宋_GB2312" w:hAnsi="仿宋_GB2312" w:eastAsia="仿宋_GB2312" w:cs="仿宋_GB2312"/>
                <w:color w:val="auto"/>
                <w:sz w:val="20"/>
                <w:szCs w:val="20"/>
                <w:lang w:val="en-US" w:eastAsia="zh-CN"/>
              </w:rPr>
              <w:t>0</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1835.54</w:t>
            </w:r>
            <w:r>
              <w:rPr>
                <w:rFonts w:hint="eastAsia" w:ascii="仿宋_GB2312" w:hAnsi="仿宋_GB2312" w:eastAsia="仿宋_GB2312" w:cs="仿宋_GB2312"/>
                <w:sz w:val="20"/>
                <w:szCs w:val="20"/>
                <w:highlight w:val="none"/>
              </w:rPr>
              <w:t>　</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1955.00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1190.98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部门基本支出预算调整 </w:t>
            </w:r>
          </w:p>
        </w:tc>
        <w:tc>
          <w:tcPr>
            <w:tcW w:w="2052"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1539.26</w:t>
            </w:r>
          </w:p>
        </w:tc>
        <w:tc>
          <w:tcPr>
            <w:tcW w:w="21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1077.90</w:t>
            </w:r>
          </w:p>
        </w:tc>
        <w:tc>
          <w:tcPr>
            <w:tcW w:w="2041" w:type="dxa"/>
            <w:gridSpan w:val="2"/>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1031.73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default" w:ascii="仿宋_GB2312" w:hAnsi="仿宋_GB2312" w:eastAsia="仿宋_GB2312" w:cs="仿宋_GB2312"/>
                <w:sz w:val="20"/>
                <w:szCs w:val="20"/>
                <w:highlight w:val="none"/>
                <w:lang w:val="en"/>
              </w:rPr>
              <w:t>4</w:t>
            </w:r>
            <w:r>
              <w:rPr>
                <w:rFonts w:hint="eastAsia" w:ascii="仿宋_GB2312" w:hAnsi="仿宋_GB2312" w:eastAsia="仿宋_GB2312" w:cs="仿宋_GB2312"/>
                <w:sz w:val="20"/>
                <w:szCs w:val="20"/>
                <w:highlight w:val="none"/>
              </w:rPr>
              <w:t>年完工项目）</w:t>
            </w: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94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p>
        </w:tc>
        <w:tc>
          <w:tcPr>
            <w:tcW w:w="1104"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48"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030"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91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2"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439" w:type="dxa"/>
            <w:noWrap w:val="0"/>
            <w:vAlign w:val="center"/>
          </w:tcPr>
          <w:p>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234" w:type="dxa"/>
            <w:gridSpan w:val="6"/>
            <w:noWrap w:val="0"/>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bCs/>
                <w:sz w:val="20"/>
                <w:szCs w:val="20"/>
                <w:highlight w:val="none"/>
                <w:lang w:val="en-US" w:eastAsia="zh-CN"/>
              </w:rPr>
              <w:t xml:space="preserve"> </w:t>
            </w:r>
            <w:r>
              <w:rPr>
                <w:rFonts w:hint="default" w:ascii="仿宋_GB2312" w:hAnsi="仿宋_GB2312" w:eastAsia="仿宋_GB2312" w:cs="仿宋_GB2312"/>
                <w:bCs/>
                <w:sz w:val="20"/>
                <w:szCs w:val="20"/>
                <w:highlight w:val="none"/>
                <w:lang w:val="en" w:eastAsia="zh-CN"/>
              </w:rPr>
              <w:t xml:space="preserve">  </w:t>
            </w:r>
            <w:r>
              <w:rPr>
                <w:rFonts w:hint="eastAsia" w:ascii="仿宋_GB2312" w:hAnsi="仿宋_GB2312" w:eastAsia="仿宋_GB2312" w:cs="仿宋_GB2312"/>
                <w:bCs/>
                <w:sz w:val="20"/>
                <w:szCs w:val="20"/>
                <w:highlight w:val="none"/>
                <w:lang w:val="en" w:eastAsia="zh-CN"/>
              </w:rPr>
              <w:t>中心严格落实</w:t>
            </w:r>
            <w:r>
              <w:rPr>
                <w:rFonts w:hint="eastAsia" w:ascii="仿宋_GB2312" w:hAnsi="仿宋_GB2312" w:eastAsia="仿宋_GB2312" w:cs="仿宋_GB2312"/>
                <w:bCs/>
                <w:sz w:val="20"/>
                <w:szCs w:val="20"/>
                <w:highlight w:val="none"/>
                <w:lang w:val="en-US" w:eastAsia="zh-CN"/>
              </w:rPr>
              <w:t>事前绩效评估管理，坚持先定事，再确定资金支出规模，强化资金支出绩效管理。</w:t>
            </w:r>
            <w:r>
              <w:rPr>
                <w:rFonts w:hint="eastAsia" w:ascii="仿宋_GB2312" w:hAnsi="仿宋_GB2312" w:eastAsia="仿宋_GB2312" w:cs="仿宋_GB2312"/>
                <w:sz w:val="20"/>
                <w:szCs w:val="20"/>
                <w:lang w:val="en-US" w:eastAsia="zh-CN"/>
              </w:rPr>
              <w:t>进一步完善单位财务管理制度和内控管理制度，</w:t>
            </w:r>
            <w:r>
              <w:rPr>
                <w:rFonts w:hint="eastAsia" w:ascii="仿宋_GB2312" w:hAnsi="仿宋_GB2312" w:eastAsia="仿宋_GB2312" w:cs="仿宋_GB2312"/>
                <w:spacing w:val="6"/>
                <w:kern w:val="0"/>
                <w:sz w:val="20"/>
                <w:szCs w:val="20"/>
                <w:lang w:val="en-US" w:eastAsia="zh-CN"/>
              </w:rPr>
              <w:t>费用支出</w:t>
            </w:r>
            <w:r>
              <w:rPr>
                <w:rFonts w:hint="eastAsia" w:ascii="仿宋_GB2312" w:hAnsi="仿宋_GB2312" w:eastAsia="仿宋_GB2312" w:cs="仿宋_GB2312"/>
                <w:bCs/>
                <w:sz w:val="20"/>
                <w:szCs w:val="20"/>
                <w:highlight w:val="none"/>
                <w:lang w:val="en-US" w:eastAsia="zh-CN"/>
              </w:rPr>
              <w:t>按照"先报再审后用”的原则，加强重要岗位，关键环节管理。定期开展资产清查、盘点工作，按照厉行节约、物尽其用的原则，资产管理采取统一建帐、统一核算管理，对每件固定资产使用明确保管职责，闲置的资产，由办公室统一调整，合理流动，发挥其使用效益，设法降低单位运行成本。</w:t>
            </w:r>
          </w:p>
        </w:tc>
      </w:tr>
    </w:tbl>
    <w:p>
      <w:pPr>
        <w:keepNext w:val="0"/>
        <w:keepLines w:val="0"/>
        <w:pageBreakBefore w:val="0"/>
        <w:widowControl/>
        <w:kinsoku/>
        <w:wordWrap/>
        <w:overflowPunct/>
        <w:topLinePunct w:val="0"/>
        <w:autoSpaceDE/>
        <w:autoSpaceDN/>
        <w:bidi w:val="0"/>
        <w:adjustRightInd/>
        <w:snapToGrid/>
        <w:spacing w:afterLines="0" w:line="50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500" w:lineRule="exact"/>
        <w:jc w:val="left"/>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2025.6.25</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widowControl/>
        <w:spacing w:after="0" w:afterLines="0" w:line="400" w:lineRule="exact"/>
        <w:jc w:val="left"/>
        <w:rPr>
          <w:rFonts w:hint="eastAsia" w:ascii="仿宋_GB2312" w:hAnsi="仿宋_GB2312" w:eastAsia="仿宋_GB2312" w:cs="仿宋_GB2312"/>
          <w:color w:val="auto"/>
          <w:sz w:val="22"/>
          <w:szCs w:val="22"/>
          <w:lang w:eastAsia="zh-CN"/>
        </w:rPr>
      </w:pPr>
    </w:p>
    <w:p>
      <w:pPr>
        <w:widowControl/>
        <w:spacing w:after="0" w:afterLines="0" w:line="400" w:lineRule="exact"/>
        <w:jc w:val="left"/>
        <w:rPr>
          <w:rFonts w:hint="eastAsia" w:ascii="仿宋_GB2312" w:hAnsi="仿宋_GB2312" w:eastAsia="仿宋_GB2312" w:cs="仿宋_GB2312"/>
          <w:color w:val="auto"/>
          <w:sz w:val="22"/>
          <w:szCs w:val="22"/>
          <w:lang w:eastAsia="zh-CN"/>
        </w:rPr>
      </w:pPr>
    </w:p>
    <w:p>
      <w:pPr>
        <w:widowControl/>
        <w:spacing w:after="0" w:afterLines="0" w:line="400" w:lineRule="exact"/>
        <w:jc w:val="left"/>
        <w:rPr>
          <w:rFonts w:hint="eastAsia" w:ascii="仿宋_GB2312" w:hAnsi="仿宋_GB2312" w:eastAsia="仿宋_GB2312" w:cs="仿宋_GB2312"/>
          <w:color w:val="auto"/>
          <w:sz w:val="22"/>
          <w:szCs w:val="22"/>
          <w:lang w:eastAsia="zh-CN"/>
        </w:rPr>
      </w:pPr>
    </w:p>
    <w:p>
      <w:pPr>
        <w:pStyle w:val="3"/>
        <w:rPr>
          <w:rFonts w:hint="eastAsia" w:ascii="仿宋_GB2312" w:hAnsi="仿宋_GB2312" w:eastAsia="仿宋_GB2312" w:cs="仿宋_GB2312"/>
          <w:color w:val="auto"/>
          <w:sz w:val="22"/>
          <w:szCs w:val="22"/>
          <w:lang w:eastAsia="zh-CN"/>
        </w:rPr>
      </w:pPr>
    </w:p>
    <w:p>
      <w:pPr>
        <w:pStyle w:val="4"/>
        <w:ind w:left="0" w:leftChars="0" w:firstLine="0" w:firstLineChars="0"/>
        <w:rPr>
          <w:rFonts w:hint="eastAsia"/>
          <w:lang w:eastAsia="zh-CN"/>
        </w:rPr>
      </w:pPr>
    </w:p>
    <w:p>
      <w:pPr>
        <w:rPr>
          <w:rFonts w:hint="eastAsia"/>
          <w:lang w:eastAsia="zh-CN"/>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rPr>
      </w:pPr>
    </w:p>
    <w:p>
      <w:pPr>
        <w:widowControl/>
        <w:spacing w:after="0" w:afterLines="0" w:line="400" w:lineRule="exact"/>
        <w:jc w:val="left"/>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9"/>
        <w:tblW w:w="10079" w:type="dxa"/>
        <w:jc w:val="center"/>
        <w:tblLayout w:type="autofit"/>
        <w:tblCellMar>
          <w:top w:w="0" w:type="dxa"/>
          <w:left w:w="108" w:type="dxa"/>
          <w:bottom w:w="0" w:type="dxa"/>
          <w:right w:w="108" w:type="dxa"/>
        </w:tblCellMar>
      </w:tblPr>
      <w:tblGrid>
        <w:gridCol w:w="1080"/>
        <w:gridCol w:w="1080"/>
        <w:gridCol w:w="1034"/>
        <w:gridCol w:w="1270"/>
        <w:gridCol w:w="1311"/>
        <w:gridCol w:w="1269"/>
        <w:gridCol w:w="716"/>
        <w:gridCol w:w="873"/>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999"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4625.04</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5483.07</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5359.87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eastAsia="zh-CN"/>
              </w:rPr>
              <w:t>97.75</w:t>
            </w:r>
            <w:r>
              <w:rPr>
                <w:rFonts w:hint="eastAsia" w:ascii="仿宋_GB2312" w:hAnsi="仿宋_GB2312" w:eastAsia="仿宋_GB2312" w:cs="仿宋_GB2312"/>
                <w:sz w:val="20"/>
                <w:szCs w:val="20"/>
                <w:highlight w:val="none"/>
                <w:lang w:val="en-US" w:eastAsia="zh-CN"/>
              </w:rPr>
              <w:t>%</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9.78</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rPr>
              <w:t>其中一般公共预算</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4743.62</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eastAsia="zh-CN"/>
              </w:rPr>
              <w:t>：</w:t>
            </w:r>
            <w:r>
              <w:rPr>
                <w:rFonts w:hint="default" w:ascii="仿宋_GB2312" w:hAnsi="仿宋_GB2312" w:eastAsia="仿宋_GB2312" w:cs="仿宋_GB2312"/>
                <w:color w:val="000000"/>
                <w:sz w:val="20"/>
                <w:szCs w:val="20"/>
                <w:highlight w:val="none"/>
                <w:lang w:val="en" w:eastAsia="zh-CN"/>
              </w:rPr>
              <w:t>1031.73</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1200" w:firstLineChars="6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default"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eastAsia="zh-CN"/>
              </w:rPr>
              <w:t>：</w:t>
            </w:r>
            <w:r>
              <w:rPr>
                <w:rFonts w:hint="default" w:ascii="仿宋_GB2312" w:hAnsi="仿宋_GB2312" w:eastAsia="仿宋_GB2312" w:cs="仿宋_GB2312"/>
                <w:color w:val="000000"/>
                <w:sz w:val="20"/>
                <w:szCs w:val="20"/>
                <w:highlight w:val="none"/>
                <w:lang w:val="en"/>
              </w:rPr>
              <w:t>4328.14</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1800" w:firstLineChars="9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739.45</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695"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不断提高维护管养水平和公共服务意识，保障城区主次干道路灯</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0664</w:t>
            </w:r>
            <w:r>
              <w:rPr>
                <w:rFonts w:hint="eastAsia" w:ascii="仿宋_GB2312" w:hAnsi="仿宋_GB2312" w:eastAsia="仿宋_GB2312" w:cs="仿宋_GB2312"/>
                <w:color w:val="000000"/>
                <w:sz w:val="20"/>
                <w:szCs w:val="20"/>
                <w:highlight w:val="none"/>
              </w:rPr>
              <w:t>盏</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及小街巷路灯</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4229</w:t>
            </w:r>
            <w:r>
              <w:rPr>
                <w:rFonts w:hint="eastAsia" w:ascii="仿宋_GB2312" w:hAnsi="仿宋_GB2312" w:eastAsia="仿宋_GB2312" w:cs="仿宋_GB2312"/>
                <w:color w:val="000000"/>
                <w:sz w:val="20"/>
                <w:szCs w:val="20"/>
                <w:highlight w:val="none"/>
              </w:rPr>
              <w:t>盏</w:t>
            </w:r>
            <w:r>
              <w:rPr>
                <w:rFonts w:hint="eastAsia" w:ascii="仿宋_GB2312" w:hAnsi="仿宋_GB2312" w:eastAsia="仿宋_GB2312" w:cs="仿宋_GB2312"/>
                <w:color w:val="000000"/>
                <w:sz w:val="20"/>
                <w:szCs w:val="20"/>
                <w:highlight w:val="none"/>
                <w:lang w:eastAsia="zh-CN"/>
              </w:rPr>
              <w:t>）和公用亮化设施（功率</w:t>
            </w:r>
            <w:r>
              <w:rPr>
                <w:rFonts w:hint="eastAsia" w:ascii="仿宋_GB2312" w:hAnsi="仿宋_GB2312" w:eastAsia="仿宋_GB2312" w:cs="仿宋_GB2312"/>
                <w:color w:val="000000"/>
                <w:sz w:val="20"/>
                <w:szCs w:val="20"/>
                <w:highlight w:val="none"/>
              </w:rPr>
              <w:t>4008.2</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KW</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正常运行；</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美化、亮化城市，提升岳阳城市形象，方便市民夜间出行，保障夜间道路安全；</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rPr>
              <w:t>指导中心城区夜景亮化方案的设计，新建楼宇亮化方案审批及亮化单位用电量计量管理，协助城区夜景亮化工程的施工检查、竣工验收；</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实施中心城区路灯节能改造，达到节约电力资源，建设生态绿色城市的目标</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　　</w:t>
            </w:r>
          </w:p>
        </w:tc>
        <w:tc>
          <w:tcPr>
            <w:tcW w:w="430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lang w:val="en-US" w:eastAsia="zh-CN"/>
              </w:rPr>
              <w:t>1、路灯</w:t>
            </w:r>
            <w:r>
              <w:rPr>
                <w:rFonts w:hint="eastAsia" w:ascii="仿宋_GB2312" w:hAnsi="仿宋_GB2312" w:eastAsia="仿宋_GB2312" w:cs="仿宋_GB2312"/>
                <w:color w:val="000000"/>
                <w:sz w:val="20"/>
                <w:szCs w:val="20"/>
                <w:lang w:eastAsia="zh-CN"/>
              </w:rPr>
              <w:t>维护管养水平和公共服务意识不断提高，保障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城区主次干道</w:t>
            </w:r>
            <w:r>
              <w:rPr>
                <w:rFonts w:hint="eastAsia" w:ascii="仿宋_GB2312" w:hAnsi="仿宋_GB2312" w:eastAsia="仿宋_GB2312" w:cs="仿宋_GB2312"/>
                <w:color w:val="000000"/>
                <w:sz w:val="20"/>
                <w:szCs w:val="20"/>
                <w:highlight w:val="none"/>
              </w:rPr>
              <w:t>路灯</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val="en-US" w:eastAsia="zh-CN"/>
              </w:rPr>
              <w:t>0664</w:t>
            </w:r>
            <w:r>
              <w:rPr>
                <w:rFonts w:hint="eastAsia" w:ascii="仿宋_GB2312" w:hAnsi="仿宋_GB2312" w:eastAsia="仿宋_GB2312" w:cs="仿宋_GB2312"/>
                <w:color w:val="000000"/>
                <w:sz w:val="20"/>
                <w:szCs w:val="20"/>
                <w:highlight w:val="none"/>
              </w:rPr>
              <w:t>盏</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及小街巷路灯</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4229</w:t>
            </w:r>
            <w:r>
              <w:rPr>
                <w:rFonts w:hint="eastAsia" w:ascii="仿宋_GB2312" w:hAnsi="仿宋_GB2312" w:eastAsia="仿宋_GB2312" w:cs="仿宋_GB2312"/>
                <w:color w:val="000000"/>
                <w:sz w:val="20"/>
                <w:szCs w:val="20"/>
                <w:highlight w:val="none"/>
              </w:rPr>
              <w:t>盏</w:t>
            </w:r>
            <w:r>
              <w:rPr>
                <w:rFonts w:hint="eastAsia" w:ascii="仿宋_GB2312" w:hAnsi="仿宋_GB2312" w:eastAsia="仿宋_GB2312" w:cs="仿宋_GB2312"/>
                <w:color w:val="000000"/>
                <w:sz w:val="20"/>
                <w:szCs w:val="20"/>
                <w:highlight w:val="none"/>
                <w:lang w:eastAsia="zh-CN"/>
              </w:rPr>
              <w:t>）和公用亮化设施（功率</w:t>
            </w:r>
            <w:r>
              <w:rPr>
                <w:rFonts w:hint="eastAsia" w:ascii="仿宋_GB2312" w:hAnsi="仿宋_GB2312" w:eastAsia="仿宋_GB2312" w:cs="仿宋_GB2312"/>
                <w:color w:val="000000"/>
                <w:sz w:val="20"/>
                <w:szCs w:val="20"/>
                <w:highlight w:val="none"/>
              </w:rPr>
              <w:t>4008.2</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KW</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正常运行</w:t>
            </w:r>
            <w:r>
              <w:rPr>
                <w:rFonts w:hint="eastAsia" w:ascii="仿宋_GB2312" w:hAnsi="仿宋_GB2312" w:eastAsia="仿宋_GB2312" w:cs="仿宋_GB2312"/>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2、加大了路灯及公用亮化设施的维护力度，</w:t>
            </w:r>
            <w:r>
              <w:rPr>
                <w:rFonts w:hint="eastAsia" w:ascii="仿宋_GB2312" w:hAnsi="仿宋_GB2312" w:eastAsia="仿宋_GB2312" w:cs="仿宋_GB2312"/>
                <w:color w:val="000000"/>
                <w:sz w:val="20"/>
                <w:szCs w:val="20"/>
                <w:lang w:eastAsia="zh-CN"/>
              </w:rPr>
              <w:t>美化、亮化</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城市</w:t>
            </w:r>
            <w:r>
              <w:rPr>
                <w:rFonts w:hint="eastAsia" w:ascii="仿宋_GB2312" w:hAnsi="仿宋_GB2312" w:eastAsia="仿宋_GB2312" w:cs="仿宋_GB2312"/>
                <w:color w:val="000000"/>
                <w:sz w:val="20"/>
                <w:szCs w:val="20"/>
                <w:lang w:val="en-US" w:eastAsia="zh-CN"/>
              </w:rPr>
              <w:t>夜间环境</w:t>
            </w:r>
            <w:r>
              <w:rPr>
                <w:rFonts w:hint="eastAsia" w:ascii="仿宋_GB2312" w:hAnsi="仿宋_GB2312" w:eastAsia="仿宋_GB2312" w:cs="仿宋_GB2312"/>
                <w:color w:val="000000"/>
                <w:sz w:val="20"/>
                <w:szCs w:val="20"/>
                <w:lang w:eastAsia="zh-CN"/>
              </w:rPr>
              <w:t>，提升</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岳阳</w:t>
            </w:r>
            <w:r>
              <w:rPr>
                <w:rFonts w:hint="eastAsia" w:ascii="仿宋_GB2312" w:hAnsi="仿宋_GB2312" w:eastAsia="仿宋_GB2312" w:cs="仿宋_GB2312"/>
                <w:color w:val="000000"/>
                <w:sz w:val="20"/>
                <w:szCs w:val="20"/>
                <w:lang w:val="en-US" w:eastAsia="zh-CN"/>
              </w:rPr>
              <w:t>城市</w:t>
            </w:r>
            <w:r>
              <w:rPr>
                <w:rFonts w:hint="eastAsia" w:ascii="仿宋_GB2312" w:hAnsi="仿宋_GB2312" w:eastAsia="仿宋_GB2312" w:cs="仿宋_GB2312"/>
                <w:color w:val="000000"/>
                <w:sz w:val="20"/>
                <w:szCs w:val="20"/>
                <w:lang w:eastAsia="zh-CN"/>
              </w:rPr>
              <w:t>形象，方便</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市民夜间出行，保障夜间道路安全；</w:t>
            </w:r>
          </w:p>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3、</w:t>
            </w:r>
            <w:r>
              <w:rPr>
                <w:rFonts w:hint="eastAsia" w:ascii="仿宋_GB2312" w:hAnsi="仿宋_GB2312" w:eastAsia="仿宋_GB2312" w:cs="仿宋_GB2312"/>
                <w:color w:val="000000"/>
                <w:sz w:val="20"/>
                <w:szCs w:val="20"/>
                <w:lang w:eastAsia="zh-CN"/>
              </w:rPr>
              <w:t>为中心城区夜景亮化方案的设计提出了建设性意见，</w:t>
            </w:r>
            <w:r>
              <w:rPr>
                <w:rFonts w:hint="eastAsia" w:ascii="仿宋_GB2312" w:hAnsi="仿宋_GB2312" w:eastAsia="仿宋_GB2312" w:cs="仿宋_GB2312"/>
                <w:color w:val="000000"/>
                <w:sz w:val="20"/>
                <w:szCs w:val="20"/>
                <w:lang w:val="en-US" w:eastAsia="zh-CN"/>
              </w:rPr>
              <w:t>完成了</w:t>
            </w:r>
            <w:r>
              <w:rPr>
                <w:rFonts w:hint="eastAsia" w:ascii="仿宋_GB2312" w:hAnsi="仿宋_GB2312" w:eastAsia="仿宋_GB2312" w:cs="仿宋_GB2312"/>
                <w:color w:val="000000"/>
                <w:sz w:val="20"/>
                <w:szCs w:val="20"/>
                <w:lang w:eastAsia="zh-CN"/>
              </w:rPr>
              <w:t>新建楼宇亮化方案审批及亮化单位用电量计量管理，</w:t>
            </w:r>
            <w:r>
              <w:rPr>
                <w:rFonts w:hint="eastAsia" w:ascii="仿宋_GB2312" w:hAnsi="仿宋_GB2312" w:eastAsia="仿宋_GB2312" w:cs="仿宋_GB2312"/>
                <w:color w:val="000000"/>
                <w:sz w:val="20"/>
                <w:szCs w:val="20"/>
                <w:lang w:val="en-US" w:eastAsia="zh-CN"/>
              </w:rPr>
              <w:t>并</w:t>
            </w:r>
            <w:r>
              <w:rPr>
                <w:rFonts w:hint="eastAsia" w:ascii="仿宋_GB2312" w:hAnsi="仿宋_GB2312" w:eastAsia="仿宋_GB2312" w:cs="仿宋_GB2312"/>
                <w:color w:val="000000"/>
                <w:sz w:val="20"/>
                <w:szCs w:val="20"/>
                <w:lang w:eastAsia="zh-CN"/>
              </w:rPr>
              <w:t>协助</w:t>
            </w:r>
            <w:r>
              <w:rPr>
                <w:rFonts w:hint="eastAsia" w:ascii="仿宋_GB2312" w:hAnsi="仿宋_GB2312" w:eastAsia="仿宋_GB2312" w:cs="仿宋_GB2312"/>
                <w:color w:val="000000"/>
                <w:sz w:val="20"/>
                <w:szCs w:val="20"/>
                <w:lang w:val="en-US" w:eastAsia="zh-CN"/>
              </w:rPr>
              <w:t>完成了</w:t>
            </w:r>
            <w:r>
              <w:rPr>
                <w:rFonts w:hint="eastAsia" w:ascii="仿宋_GB2312" w:hAnsi="仿宋_GB2312" w:eastAsia="仿宋_GB2312" w:cs="仿宋_GB2312"/>
                <w:color w:val="000000"/>
                <w:sz w:val="20"/>
                <w:szCs w:val="20"/>
                <w:lang w:eastAsia="zh-CN"/>
              </w:rPr>
              <w:t>城区夜景亮化工程的施工检查、竣工验收</w:t>
            </w:r>
            <w:r>
              <w:rPr>
                <w:rFonts w:hint="eastAsia" w:ascii="仿宋_GB2312" w:hAnsi="仿宋_GB2312" w:eastAsia="仿宋_GB2312" w:cs="仿宋_GB2312"/>
                <w:color w:val="000000"/>
                <w:sz w:val="20"/>
                <w:szCs w:val="20"/>
                <w:lang w:val="en-US" w:eastAsia="zh-CN"/>
              </w:rPr>
              <w:t>工作</w:t>
            </w:r>
            <w:r>
              <w:rPr>
                <w:rFonts w:hint="eastAsia" w:ascii="仿宋_GB2312" w:hAnsi="仿宋_GB2312" w:eastAsia="仿宋_GB2312" w:cs="仿宋_GB2312"/>
                <w:color w:val="000000"/>
                <w:sz w:val="20"/>
                <w:szCs w:val="20"/>
                <w:lang w:eastAsia="zh-CN"/>
              </w:rPr>
              <w:t>；</w:t>
            </w:r>
          </w:p>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lang w:eastAsia="zh-CN"/>
              </w:rPr>
              <w:t>中心城区路灯节能改造</w:t>
            </w:r>
            <w:r>
              <w:rPr>
                <w:rFonts w:hint="eastAsia" w:ascii="仿宋_GB2312" w:hAnsi="仿宋_GB2312" w:eastAsia="仿宋_GB2312" w:cs="仿宋_GB2312"/>
                <w:color w:val="000000"/>
                <w:sz w:val="20"/>
                <w:szCs w:val="20"/>
                <w:lang w:val="en-US" w:eastAsia="zh-CN"/>
              </w:rPr>
              <w:t>工作有序推进</w:t>
            </w:r>
            <w:r>
              <w:rPr>
                <w:rFonts w:hint="eastAsia" w:ascii="仿宋_GB2312" w:hAnsi="仿宋_GB2312" w:eastAsia="仿宋_GB2312" w:cs="仿宋_GB2312"/>
                <w:color w:val="000000"/>
                <w:sz w:val="20"/>
                <w:szCs w:val="20"/>
                <w:lang w:eastAsia="zh-CN"/>
              </w:rPr>
              <w:t>，节约</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lang w:eastAsia="zh-CN"/>
              </w:rPr>
              <w:t>电力资源，</w:t>
            </w:r>
            <w:r>
              <w:rPr>
                <w:rFonts w:hint="eastAsia" w:ascii="仿宋_GB2312" w:hAnsi="仿宋_GB2312" w:eastAsia="仿宋_GB2312" w:cs="仿宋_GB2312"/>
                <w:color w:val="000000"/>
                <w:sz w:val="20"/>
                <w:szCs w:val="20"/>
                <w:lang w:val="en-US" w:eastAsia="zh-CN"/>
              </w:rPr>
              <w:t>城市照明事业发展向着</w:t>
            </w:r>
            <w:r>
              <w:rPr>
                <w:rFonts w:hint="eastAsia" w:ascii="仿宋_GB2312" w:hAnsi="仿宋_GB2312" w:eastAsia="仿宋_GB2312" w:cs="仿宋_GB2312"/>
                <w:color w:val="000000"/>
                <w:sz w:val="20"/>
                <w:szCs w:val="20"/>
                <w:lang w:eastAsia="zh-CN"/>
              </w:rPr>
              <w:t>建设生态绿色城市的目标</w:t>
            </w:r>
            <w:r>
              <w:rPr>
                <w:rFonts w:hint="eastAsia" w:ascii="仿宋_GB2312" w:hAnsi="仿宋_GB2312" w:eastAsia="仿宋_GB2312" w:cs="仿宋_GB2312"/>
                <w:color w:val="000000"/>
                <w:sz w:val="20"/>
                <w:szCs w:val="20"/>
                <w:lang w:val="en-US" w:eastAsia="zh-CN"/>
              </w:rPr>
              <w:t>奋进</w:t>
            </w:r>
            <w:r>
              <w:rPr>
                <w:rFonts w:hint="eastAsia" w:ascii="仿宋_GB2312" w:hAnsi="仿宋_GB2312" w:eastAsia="仿宋_GB2312" w:cs="仿宋_GB2312"/>
                <w:color w:val="000000"/>
                <w:sz w:val="20"/>
                <w:szCs w:val="20"/>
                <w:lang w:eastAsia="zh-CN"/>
              </w:rPr>
              <w:t>。</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保障主次干道路灯正常运行</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w:t>
            </w:r>
            <w:r>
              <w:rPr>
                <w:rFonts w:hint="eastAsia" w:ascii="仿宋_GB2312" w:hAnsi="仿宋_GB2312" w:eastAsia="仿宋_GB2312" w:cs="仿宋_GB2312"/>
                <w:color w:val="000000"/>
                <w:sz w:val="20"/>
                <w:szCs w:val="20"/>
                <w:highlight w:val="none"/>
                <w:lang w:val="en-US" w:eastAsia="zh-CN"/>
              </w:rPr>
              <w:t>0664</w:t>
            </w:r>
            <w:r>
              <w:rPr>
                <w:rFonts w:hint="eastAsia" w:ascii="仿宋_GB2312" w:hAnsi="仿宋_GB2312" w:eastAsia="仿宋_GB2312" w:cs="仿宋_GB2312"/>
                <w:color w:val="000000"/>
                <w:sz w:val="20"/>
                <w:szCs w:val="20"/>
                <w:highlight w:val="none"/>
              </w:rPr>
              <w:t>盏</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w:t>
            </w:r>
            <w:r>
              <w:rPr>
                <w:rFonts w:hint="eastAsia" w:ascii="仿宋_GB2312" w:hAnsi="仿宋_GB2312" w:eastAsia="仿宋_GB2312" w:cs="仿宋_GB2312"/>
                <w:color w:val="000000"/>
                <w:sz w:val="20"/>
                <w:szCs w:val="20"/>
                <w:highlight w:val="none"/>
                <w:lang w:val="en-US" w:eastAsia="zh-CN"/>
              </w:rPr>
              <w:t>0664</w:t>
            </w:r>
            <w:r>
              <w:rPr>
                <w:rFonts w:hint="eastAsia" w:ascii="仿宋_GB2312" w:hAnsi="仿宋_GB2312" w:eastAsia="仿宋_GB2312" w:cs="仿宋_GB2312"/>
                <w:color w:val="000000"/>
                <w:sz w:val="20"/>
                <w:szCs w:val="20"/>
                <w:highlight w:val="none"/>
              </w:rPr>
              <w:t>盏</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保障小街巷路灯正常运行</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4229</w:t>
            </w:r>
            <w:r>
              <w:rPr>
                <w:rFonts w:hint="eastAsia" w:ascii="仿宋_GB2312" w:hAnsi="仿宋_GB2312" w:eastAsia="仿宋_GB2312" w:cs="仿宋_GB2312"/>
                <w:color w:val="000000"/>
                <w:sz w:val="20"/>
                <w:szCs w:val="20"/>
                <w:highlight w:val="none"/>
              </w:rPr>
              <w:t>盏</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4229</w:t>
            </w:r>
            <w:r>
              <w:rPr>
                <w:rFonts w:hint="eastAsia" w:ascii="仿宋_GB2312" w:hAnsi="仿宋_GB2312" w:eastAsia="仿宋_GB2312" w:cs="仿宋_GB2312"/>
                <w:color w:val="000000"/>
                <w:sz w:val="20"/>
                <w:szCs w:val="20"/>
                <w:highlight w:val="none"/>
              </w:rPr>
              <w:t>盏</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rPr>
            </w:pPr>
            <w:r>
              <w:rPr>
                <w:rFonts w:hint="default" w:ascii="仿宋_GB2312" w:hAnsi="仿宋_GB2312" w:eastAsia="仿宋_GB2312" w:cs="仿宋_GB2312"/>
                <w:color w:val="000000"/>
                <w:sz w:val="20"/>
                <w:szCs w:val="20"/>
                <w:highlight w:val="none"/>
                <w:lang w:val="e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保障亮化单位用电维护</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325家</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325家</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对城区老旧变压器130台、配电箱249个进行维护大修</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变压器130台、配电箱249个</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变压器130台、配电箱249个</w:t>
            </w:r>
            <w:r>
              <w:rPr>
                <w:rFonts w:hint="eastAsia" w:ascii="仿宋_GB2312" w:hAnsi="仿宋_GB2312" w:eastAsia="仿宋_GB2312" w:cs="仿宋_GB2312"/>
                <w:color w:val="000000"/>
                <w:sz w:val="20"/>
                <w:szCs w:val="20"/>
                <w:highlight w:val="none"/>
                <w:lang w:eastAsia="zh-CN"/>
              </w:rPr>
              <w:t>正常运行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保障公用亮化设施正常运行</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公用亮化设</w:t>
            </w:r>
            <w:r>
              <w:rPr>
                <w:rFonts w:hint="eastAsia" w:ascii="仿宋_GB2312" w:hAnsi="仿宋_GB2312" w:eastAsia="仿宋_GB2312" w:cs="仿宋_GB2312"/>
                <w:color w:val="000000"/>
                <w:sz w:val="20"/>
                <w:szCs w:val="20"/>
                <w:highlight w:val="none"/>
                <w:lang w:val="en-US" w:eastAsia="zh-CN"/>
              </w:rPr>
              <w:t>施</w:t>
            </w:r>
            <w:r>
              <w:rPr>
                <w:rFonts w:hint="eastAsia" w:ascii="仿宋_GB2312" w:hAnsi="仿宋_GB2312" w:eastAsia="仿宋_GB2312" w:cs="仿宋_GB2312"/>
                <w:color w:val="000000"/>
                <w:sz w:val="20"/>
                <w:szCs w:val="20"/>
                <w:highlight w:val="none"/>
              </w:rPr>
              <w:t>4008.2</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KW</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4008.2</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KW公用亮化设施正常运行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kern w:val="0"/>
                <w:sz w:val="20"/>
                <w:szCs w:val="20"/>
                <w:highlight w:val="none"/>
                <w:lang w:val="en" w:eastAsia="zh-CN" w:bidi="ar-SA"/>
              </w:rPr>
            </w:pPr>
            <w:r>
              <w:rPr>
                <w:rFonts w:hint="default" w:ascii="仿宋_GB2312" w:hAnsi="仿宋_GB2312" w:eastAsia="仿宋_GB2312" w:cs="仿宋_GB2312"/>
                <w:color w:val="000000"/>
                <w:sz w:val="20"/>
                <w:szCs w:val="20"/>
                <w:highlight w:val="none"/>
                <w:lang w:val="en"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kern w:val="0"/>
                <w:sz w:val="20"/>
                <w:szCs w:val="20"/>
                <w:highlight w:val="none"/>
                <w:lang w:val="en" w:eastAsia="zh-CN" w:bidi="ar-SA"/>
              </w:rPr>
            </w:pPr>
            <w:r>
              <w:rPr>
                <w:rFonts w:hint="default" w:ascii="仿宋_GB2312" w:hAnsi="仿宋_GB2312" w:eastAsia="仿宋_GB2312" w:cs="仿宋_GB2312"/>
                <w:color w:val="000000"/>
                <w:sz w:val="20"/>
                <w:szCs w:val="20"/>
                <w:highlight w:val="none"/>
                <w:lang w:val="en"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rPr>
              <w:t>城区路灯景观亮化大修</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325处</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确保</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lang w:val="en-US" w:eastAsia="zh-CN"/>
              </w:rPr>
              <w:t>325处</w:t>
            </w:r>
            <w:r>
              <w:rPr>
                <w:rFonts w:hint="eastAsia" w:ascii="仿宋_GB2312" w:hAnsi="仿宋_GB2312" w:eastAsia="仿宋_GB2312" w:cs="仿宋_GB2312"/>
                <w:color w:val="000000"/>
                <w:sz w:val="20"/>
                <w:szCs w:val="20"/>
                <w:highlight w:val="none"/>
              </w:rPr>
              <w:t>景观照明正常运行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路灯及亮化设施完好率、亮灯率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达96%</w:t>
            </w:r>
            <w:r>
              <w:rPr>
                <w:rFonts w:hint="eastAsia" w:ascii="仿宋_GB2312" w:hAnsi="仿宋_GB2312" w:eastAsia="仿宋_GB2312" w:cs="仿宋_GB2312"/>
                <w:color w:val="000000"/>
                <w:sz w:val="20"/>
                <w:szCs w:val="20"/>
                <w:highlight w:val="none"/>
                <w:lang w:val="en-US" w:eastAsia="zh-CN"/>
              </w:rPr>
              <w:t>以上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均在98%以上</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亮化用电计量率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r>
              <w:rPr>
                <w:rFonts w:hint="eastAsia" w:ascii="仿宋_GB2312" w:hAnsi="仿宋_GB2312" w:eastAsia="仿宋_GB2312" w:cs="仿宋_GB2312"/>
                <w:color w:val="000000"/>
                <w:sz w:val="20"/>
                <w:szCs w:val="20"/>
                <w:highlight w:val="none"/>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default" w:ascii="仿宋_GB2312" w:hAnsi="仿宋_GB2312" w:eastAsia="仿宋_GB2312" w:cs="仿宋_GB2312"/>
                <w:color w:val="000000"/>
                <w:sz w:val="20"/>
                <w:szCs w:val="20"/>
                <w:highlight w:val="none"/>
                <w:lang w:val="en"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亮化绿色照明达标率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80%</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80%以上</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83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质量符合行业相关标准</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质量符合行业相关标准</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质量符合行业相关标准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 w:eastAsia="zh-CN"/>
              </w:rPr>
            </w:pPr>
            <w:r>
              <w:rPr>
                <w:rFonts w:hint="default" w:ascii="仿宋_GB2312" w:hAnsi="仿宋_GB2312" w:eastAsia="仿宋_GB2312" w:cs="仿宋_GB2312"/>
                <w:color w:val="000000"/>
                <w:sz w:val="20"/>
                <w:szCs w:val="20"/>
                <w:highlight w:val="none"/>
                <w:lang w:val="en"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路灯节能控制及照明设施监控</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节能达到行业标准、照明监控设施安全、完整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节能达到行业标准、照明监控设施安全、完整</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按照计划完成本年度维护管理工作</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均如期完成</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路灯故障排除时间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及时有效处置</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均及时妥善解决</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单位履职成本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控制在预算金额内</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80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65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间接助力岳阳经济发展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间接助力岳阳经济发展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val="en-US" w:eastAsia="zh-CN"/>
              </w:rPr>
              <w:t>间接助力了岳阳经济发展</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w:t>
            </w:r>
            <w:r>
              <w:rPr>
                <w:rFonts w:hint="eastAsia" w:ascii="仿宋_GB2312" w:hAnsi="仿宋_GB2312" w:eastAsia="仿宋_GB2312" w:cs="仿宋_GB2312"/>
                <w:color w:val="000000"/>
                <w:sz w:val="20"/>
                <w:szCs w:val="20"/>
                <w:highlight w:val="none"/>
                <w:lang w:eastAsia="zh-CN"/>
              </w:rPr>
              <w:t>路灯</w:t>
            </w:r>
            <w:r>
              <w:rPr>
                <w:rFonts w:hint="eastAsia" w:ascii="仿宋_GB2312" w:hAnsi="仿宋_GB2312" w:eastAsia="仿宋_GB2312" w:cs="仿宋_GB2312"/>
                <w:color w:val="000000"/>
                <w:sz w:val="20"/>
                <w:szCs w:val="20"/>
                <w:highlight w:val="none"/>
              </w:rPr>
              <w:t>及公</w:t>
            </w:r>
            <w:r>
              <w:rPr>
                <w:rFonts w:hint="eastAsia" w:ascii="仿宋_GB2312" w:hAnsi="仿宋_GB2312" w:eastAsia="仿宋_GB2312" w:cs="仿宋_GB2312"/>
                <w:color w:val="000000"/>
                <w:sz w:val="20"/>
                <w:szCs w:val="20"/>
                <w:highlight w:val="none"/>
                <w:lang w:eastAsia="zh-CN"/>
              </w:rPr>
              <w:t>用</w:t>
            </w:r>
            <w:r>
              <w:rPr>
                <w:rFonts w:hint="eastAsia" w:ascii="仿宋_GB2312" w:hAnsi="仿宋_GB2312" w:eastAsia="仿宋_GB2312" w:cs="仿宋_GB2312"/>
                <w:color w:val="000000"/>
                <w:sz w:val="20"/>
                <w:szCs w:val="20"/>
                <w:highlight w:val="none"/>
              </w:rPr>
              <w:t>亮化设施正常运行</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w:t>
            </w:r>
            <w:r>
              <w:rPr>
                <w:rFonts w:hint="eastAsia" w:ascii="仿宋_GB2312" w:hAnsi="仿宋_GB2312" w:eastAsia="仿宋_GB2312" w:cs="仿宋_GB2312"/>
                <w:color w:val="000000"/>
                <w:sz w:val="20"/>
                <w:szCs w:val="20"/>
                <w:highlight w:val="none"/>
                <w:lang w:eastAsia="zh-CN"/>
              </w:rPr>
              <w:t>路灯</w:t>
            </w:r>
            <w:r>
              <w:rPr>
                <w:rFonts w:hint="eastAsia" w:ascii="仿宋_GB2312" w:hAnsi="仿宋_GB2312" w:eastAsia="仿宋_GB2312" w:cs="仿宋_GB2312"/>
                <w:color w:val="000000"/>
                <w:sz w:val="20"/>
                <w:szCs w:val="20"/>
                <w:highlight w:val="none"/>
              </w:rPr>
              <w:t>及公</w:t>
            </w:r>
            <w:r>
              <w:rPr>
                <w:rFonts w:hint="eastAsia" w:ascii="仿宋_GB2312" w:hAnsi="仿宋_GB2312" w:eastAsia="仿宋_GB2312" w:cs="仿宋_GB2312"/>
                <w:color w:val="000000"/>
                <w:sz w:val="20"/>
                <w:szCs w:val="20"/>
                <w:highlight w:val="none"/>
                <w:lang w:eastAsia="zh-CN"/>
              </w:rPr>
              <w:t>用</w:t>
            </w:r>
            <w:r>
              <w:rPr>
                <w:rFonts w:hint="eastAsia" w:ascii="仿宋_GB2312" w:hAnsi="仿宋_GB2312" w:eastAsia="仿宋_GB2312" w:cs="仿宋_GB2312"/>
                <w:color w:val="000000"/>
                <w:sz w:val="20"/>
                <w:szCs w:val="20"/>
                <w:highlight w:val="none"/>
              </w:rPr>
              <w:t>亮化设施正常运行</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保障了城区</w:t>
            </w:r>
            <w:r>
              <w:rPr>
                <w:rFonts w:hint="eastAsia" w:ascii="仿宋_GB2312" w:hAnsi="仿宋_GB2312" w:eastAsia="仿宋_GB2312" w:cs="仿宋_GB2312"/>
                <w:color w:val="000000"/>
                <w:sz w:val="20"/>
                <w:szCs w:val="20"/>
                <w:highlight w:val="none"/>
                <w:lang w:eastAsia="zh-CN"/>
              </w:rPr>
              <w:t>路灯</w:t>
            </w:r>
            <w:r>
              <w:rPr>
                <w:rFonts w:hint="eastAsia" w:ascii="仿宋_GB2312" w:hAnsi="仿宋_GB2312" w:eastAsia="仿宋_GB2312" w:cs="仿宋_GB2312"/>
                <w:color w:val="000000"/>
                <w:sz w:val="20"/>
                <w:szCs w:val="20"/>
                <w:highlight w:val="none"/>
              </w:rPr>
              <w:t>及公共亮化设施的正常运行</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保障夜间道路交通安全，增加市民夜间活动休闲空间</w:t>
            </w:r>
            <w:r>
              <w:rPr>
                <w:rFonts w:hint="eastAsia" w:ascii="仿宋_GB2312" w:hAnsi="仿宋_GB2312" w:eastAsia="仿宋_GB2312" w:cs="仿宋_GB2312"/>
                <w:color w:val="000000"/>
                <w:sz w:val="20"/>
                <w:szCs w:val="20"/>
                <w:highlight w:val="none"/>
                <w:lang w:eastAsia="zh-CN"/>
              </w:rPr>
              <w:t>。</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保障夜间道路交通安全，增加市民夜间活动休闲空间</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道路照明设施安全运行，增强</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市民幸福感、获得感</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推动路灯节能改造</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推动路灯节能改造，建设生态绿色城市</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有序推进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节能改造</w:t>
            </w:r>
            <w:r>
              <w:rPr>
                <w:rFonts w:hint="eastAsia" w:ascii="仿宋_GB2312" w:hAnsi="仿宋_GB2312" w:eastAsia="仿宋_GB2312" w:cs="仿宋_GB2312"/>
                <w:color w:val="000000"/>
                <w:sz w:val="20"/>
                <w:szCs w:val="20"/>
                <w:highlight w:val="none"/>
                <w:lang w:val="en-US" w:eastAsia="zh-CN"/>
              </w:rPr>
              <w:t>实施进度有待加快，下一步加大节能改造资金投入，尽快更换节能清洁能源灯具。</w:t>
            </w:r>
          </w:p>
        </w:tc>
      </w:tr>
      <w:tr>
        <w:tblPrEx>
          <w:tblCellMar>
            <w:top w:w="0" w:type="dxa"/>
            <w:left w:w="108" w:type="dxa"/>
            <w:bottom w:w="0" w:type="dxa"/>
            <w:right w:w="108" w:type="dxa"/>
          </w:tblCellMar>
        </w:tblPrEx>
        <w:trPr>
          <w:trHeight w:val="7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美化亮化城市</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提升岳阳</w:t>
            </w:r>
            <w:r>
              <w:rPr>
                <w:rFonts w:hint="eastAsia" w:ascii="仿宋_GB2312" w:hAnsi="仿宋_GB2312" w:eastAsia="仿宋_GB2312" w:cs="仿宋_GB2312"/>
                <w:color w:val="000000"/>
                <w:sz w:val="20"/>
                <w:szCs w:val="20"/>
                <w:highlight w:val="none"/>
                <w:lang w:val="en-US" w:eastAsia="zh-CN"/>
              </w:rPr>
              <w:t>城市</w:t>
            </w:r>
            <w:r>
              <w:rPr>
                <w:rFonts w:hint="eastAsia" w:ascii="仿宋_GB2312" w:hAnsi="仿宋_GB2312" w:eastAsia="仿宋_GB2312" w:cs="仿宋_GB2312"/>
                <w:color w:val="000000"/>
                <w:sz w:val="20"/>
                <w:szCs w:val="20"/>
                <w:highlight w:val="none"/>
              </w:rPr>
              <w:t>形象</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7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助力经济发展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改善夜间环境</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助力旅游业发展。</w:t>
            </w:r>
            <w:r>
              <w:rPr>
                <w:rFonts w:hint="eastAsia" w:ascii="仿宋_GB2312" w:hAnsi="仿宋_GB2312" w:eastAsia="仿宋_GB2312" w:cs="仿宋_GB2312"/>
                <w:color w:val="000000"/>
                <w:sz w:val="20"/>
                <w:szCs w:val="20"/>
                <w:highlight w:val="none"/>
              </w:rPr>
              <w:t>　</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有效助力</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市民满意率</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96%以上</w:t>
            </w:r>
          </w:p>
        </w:tc>
        <w:tc>
          <w:tcPr>
            <w:tcW w:w="12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97%</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7044"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auto"/>
                <w:sz w:val="20"/>
                <w:szCs w:val="20"/>
                <w:highlight w:val="none"/>
                <w:lang w:val="en" w:eastAsia="zh-CN"/>
              </w:rPr>
            </w:pPr>
            <w:r>
              <w:rPr>
                <w:rFonts w:hint="default" w:ascii="仿宋_GB2312" w:hAnsi="仿宋_GB2312" w:eastAsia="仿宋_GB2312" w:cs="仿宋_GB2312"/>
                <w:color w:val="auto"/>
                <w:sz w:val="20"/>
                <w:szCs w:val="20"/>
                <w:highlight w:val="none"/>
                <w:lang w:val="en" w:eastAsia="zh-CN"/>
              </w:rPr>
              <w:t>9</w:t>
            </w:r>
            <w:r>
              <w:rPr>
                <w:rFonts w:hint="eastAsia" w:ascii="仿宋_GB2312" w:hAnsi="仿宋_GB2312" w:eastAsia="仿宋_GB2312" w:cs="仿宋_GB2312"/>
                <w:color w:val="auto"/>
                <w:sz w:val="20"/>
                <w:szCs w:val="20"/>
                <w:highlight w:val="none"/>
                <w:lang w:val="en-US" w:eastAsia="zh-CN"/>
              </w:rPr>
              <w:t>8</w:t>
            </w:r>
            <w:r>
              <w:rPr>
                <w:rFonts w:hint="default" w:ascii="仿宋_GB2312" w:hAnsi="仿宋_GB2312" w:eastAsia="仿宋_GB2312" w:cs="仿宋_GB2312"/>
                <w:color w:val="auto"/>
                <w:sz w:val="20"/>
                <w:szCs w:val="20"/>
                <w:highlight w:val="none"/>
                <w:lang w:val="en" w:eastAsia="zh-CN"/>
              </w:rPr>
              <w:t>.78</w:t>
            </w:r>
          </w:p>
        </w:tc>
        <w:tc>
          <w:tcPr>
            <w:tcW w:w="14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sz w:val="22"/>
          <w:szCs w:val="22"/>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 xml:space="preserve">姜华 </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 xml:space="preserve">2025.6.25 </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22"/>
          <w:szCs w:val="22"/>
          <w:highlight w:val="none"/>
        </w:rPr>
      </w:pPr>
      <w:r>
        <w:rPr>
          <w:rFonts w:hint="default" w:ascii="Times New Roman" w:hAnsi="Times New Roman" w:eastAsia="仿宋_GB2312" w:cs="Times New Roman"/>
          <w:sz w:val="22"/>
          <w:szCs w:val="22"/>
          <w:highlight w:val="none"/>
        </w:rPr>
        <w:br w:type="page"/>
      </w:r>
    </w:p>
    <w:p>
      <w:pPr>
        <w:jc w:val="center"/>
        <w:rPr>
          <w:rFonts w:hint="eastAsia" w:asciiTheme="majorEastAsia" w:hAnsiTheme="majorEastAsia" w:eastAsiaTheme="majorEastAsia" w:cstheme="majorEastAsia"/>
          <w:b/>
          <w:bCs/>
          <w:sz w:val="44"/>
          <w:szCs w:val="44"/>
        </w:rPr>
      </w:pPr>
    </w:p>
    <w:p>
      <w:pPr>
        <w:jc w:val="center"/>
        <w:rPr>
          <w:rFonts w:hint="eastAsia" w:asciiTheme="majorEastAsia" w:hAnsiTheme="majorEastAsia" w:eastAsiaTheme="majorEastAsia" w:cstheme="majorEastAsia"/>
          <w:b/>
          <w:bCs/>
          <w:color w:val="000000"/>
          <w:sz w:val="44"/>
          <w:szCs w:val="44"/>
        </w:rPr>
      </w:pPr>
      <w:r>
        <w:rPr>
          <w:rFonts w:hint="eastAsia" w:asciiTheme="majorEastAsia" w:hAnsiTheme="majorEastAsia" w:eastAsiaTheme="majorEastAsia" w:cstheme="majorEastAsia"/>
          <w:b/>
          <w:bCs/>
          <w:sz w:val="44"/>
          <w:szCs w:val="44"/>
        </w:rPr>
        <w:t>202</w:t>
      </w:r>
      <w:r>
        <w:rPr>
          <w:rFonts w:hint="default" w:asciiTheme="majorEastAsia" w:hAnsiTheme="majorEastAsia" w:eastAsiaTheme="majorEastAsia" w:cstheme="majorEastAsia"/>
          <w:b/>
          <w:bCs/>
          <w:sz w:val="44"/>
          <w:szCs w:val="44"/>
          <w:lang w:val="en"/>
        </w:rPr>
        <w:t>4</w:t>
      </w:r>
      <w:r>
        <w:rPr>
          <w:rFonts w:hint="eastAsia" w:asciiTheme="majorEastAsia" w:hAnsiTheme="majorEastAsia" w:eastAsiaTheme="majorEastAsia" w:cstheme="majorEastAsia"/>
          <w:b/>
          <w:bCs/>
          <w:sz w:val="44"/>
          <w:szCs w:val="44"/>
        </w:rPr>
        <w:t>年度</w:t>
      </w:r>
      <w:r>
        <w:rPr>
          <w:rFonts w:hint="eastAsia" w:asciiTheme="majorEastAsia" w:hAnsiTheme="majorEastAsia" w:eastAsiaTheme="majorEastAsia" w:cstheme="majorEastAsia"/>
          <w:b/>
          <w:bCs/>
          <w:color w:val="000000"/>
          <w:sz w:val="44"/>
          <w:szCs w:val="44"/>
        </w:rPr>
        <w:t>岳阳市城市照明管理中心</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项目</w:t>
      </w:r>
      <w:r>
        <w:rPr>
          <w:rFonts w:hint="eastAsia" w:asciiTheme="majorEastAsia" w:hAnsiTheme="majorEastAsia" w:eastAsiaTheme="majorEastAsia" w:cstheme="majorEastAsia"/>
          <w:b/>
          <w:bCs/>
          <w:sz w:val="44"/>
          <w:szCs w:val="44"/>
        </w:rPr>
        <w:t>支出绩效自评报告</w:t>
      </w:r>
    </w:p>
    <w:p>
      <w:pPr>
        <w:pStyle w:val="3"/>
        <w:rPr>
          <w:rFonts w:hint="eastAsia"/>
        </w:rPr>
      </w:pPr>
    </w:p>
    <w:p>
      <w:pPr>
        <w:keepNext w:val="0"/>
        <w:keepLines w:val="0"/>
        <w:pageBreakBefore w:val="0"/>
        <w:numPr>
          <w:ilvl w:val="0"/>
          <w:numId w:val="5"/>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sz w:val="32"/>
          <w:szCs w:val="32"/>
        </w:rPr>
      </w:pPr>
      <w:r>
        <w:rPr>
          <w:rFonts w:hint="eastAsia" w:ascii="方正黑体_GBK" w:hAnsi="方正黑体_GBK" w:eastAsia="方正黑体_GBK" w:cs="方正黑体_GBK"/>
          <w:b/>
          <w:sz w:val="32"/>
          <w:szCs w:val="32"/>
        </w:rPr>
        <w:t>项目基本情况</w:t>
      </w:r>
    </w:p>
    <w:p>
      <w:pPr>
        <w:pStyle w:val="3"/>
        <w:numPr>
          <w:ilvl w:val="0"/>
          <w:numId w:val="0"/>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（一）项目基本概况</w:t>
      </w:r>
    </w:p>
    <w:p>
      <w:pPr>
        <w:pStyle w:val="3"/>
        <w:numPr>
          <w:ilvl w:val="0"/>
          <w:numId w:val="0"/>
        </w:numPr>
        <w:ind w:firstLine="640" w:firstLineChars="200"/>
        <w:rPr>
          <w:rFonts w:hint="eastAsia" w:ascii="CESI仿宋-GB2312" w:hAnsi="CESI仿宋-GB2312" w:eastAsia="CESI仿宋-GB2312" w:cs="CESI仿宋-GB2312"/>
          <w:sz w:val="32"/>
          <w:szCs w:val="32"/>
        </w:rPr>
      </w:pPr>
      <w:r>
        <w:rPr>
          <w:rFonts w:hint="eastAsia" w:ascii="仿宋_GB2312" w:hAnsi="仿宋_GB2312" w:eastAsia="仿宋_GB2312" w:cs="仿宋_GB2312"/>
          <w:sz w:val="32"/>
          <w:szCs w:val="32"/>
        </w:rPr>
        <w:t>岳阳市</w:t>
      </w:r>
      <w:r>
        <w:rPr>
          <w:rFonts w:hint="eastAsia" w:ascii="仿宋_GB2312" w:hAnsi="仿宋_GB2312" w:eastAsia="仿宋_GB2312" w:cs="仿宋_GB2312"/>
          <w:sz w:val="32"/>
          <w:szCs w:val="32"/>
          <w:lang w:val="en-US" w:eastAsia="zh-CN"/>
        </w:rPr>
        <w:t>城市照明管理中心</w:t>
      </w:r>
      <w:r>
        <w:rPr>
          <w:rFonts w:hint="eastAsia" w:ascii="仿宋_GB2312" w:hAnsi="仿宋_GB2312" w:eastAsia="仿宋_GB2312" w:cs="仿宋_GB2312"/>
          <w:sz w:val="32"/>
          <w:szCs w:val="32"/>
        </w:rPr>
        <w:t>（下称“</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全额拨款</w:t>
      </w:r>
      <w:r>
        <w:rPr>
          <w:rFonts w:hint="eastAsia" w:ascii="仿宋_GB2312" w:hAnsi="仿宋_GB2312" w:eastAsia="仿宋_GB2312" w:cs="仿宋_GB2312"/>
          <w:sz w:val="32"/>
          <w:szCs w:val="32"/>
        </w:rPr>
        <w:t>事业单位，隶属于岳阳市城市管理和综合执法局</w:t>
      </w:r>
      <w:r>
        <w:rPr>
          <w:rFonts w:hint="eastAsia" w:ascii="仿宋_GB2312" w:hAnsi="仿宋_GB2312" w:eastAsia="仿宋_GB2312" w:cs="仿宋_GB2312"/>
          <w:sz w:val="32"/>
          <w:szCs w:val="32"/>
          <w:lang w:eastAsia="zh-CN"/>
        </w:rPr>
        <w:t>。项目主要为</w:t>
      </w:r>
      <w:r>
        <w:rPr>
          <w:rFonts w:hint="eastAsia" w:ascii="仿宋_GB2312" w:hAnsi="仿宋_GB2312" w:eastAsia="仿宋_GB2312" w:cs="仿宋_GB2312"/>
          <w:sz w:val="32"/>
          <w:szCs w:val="32"/>
        </w:rPr>
        <w:t>中心城区路灯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公用亮化设施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全城临街楼宇亮化设施</w:t>
      </w:r>
      <w:r>
        <w:rPr>
          <w:rFonts w:hint="eastAsia" w:ascii="仿宋_GB2312" w:hAnsi="仿宋_GB2312" w:eastAsia="仿宋_GB2312" w:cs="仿宋_GB2312"/>
          <w:sz w:val="32"/>
          <w:szCs w:val="32"/>
        </w:rPr>
        <w:t>的维护管理</w:t>
      </w:r>
      <w:r>
        <w:rPr>
          <w:rFonts w:hint="eastAsia" w:ascii="仿宋_GB2312" w:hAnsi="仿宋_GB2312" w:eastAsia="仿宋_GB2312" w:cs="仿宋_GB2312"/>
          <w:sz w:val="32"/>
          <w:szCs w:val="32"/>
          <w:lang w:eastAsia="zh-CN"/>
        </w:rPr>
        <w:t>及电费结算；</w:t>
      </w:r>
      <w:r>
        <w:rPr>
          <w:rFonts w:hint="eastAsia" w:ascii="仿宋_GB2312" w:hAnsi="仿宋_GB2312" w:eastAsia="仿宋_GB2312" w:cs="仿宋_GB2312"/>
          <w:sz w:val="32"/>
          <w:szCs w:val="32"/>
          <w:lang w:val="en-US" w:eastAsia="zh-CN"/>
        </w:rPr>
        <w:t>中心城区景观亮化大修、</w:t>
      </w:r>
      <w:r>
        <w:rPr>
          <w:rFonts w:hint="eastAsia" w:ascii="仿宋_GB2312" w:hAnsi="仿宋_GB2312" w:eastAsia="仿宋_GB2312" w:cs="仿宋_GB2312"/>
          <w:color w:val="000000"/>
          <w:sz w:val="32"/>
          <w:szCs w:val="32"/>
        </w:rPr>
        <w:t>使用年限较长的变压器、配电箱以及高杆灯</w:t>
      </w:r>
      <w:r>
        <w:rPr>
          <w:rFonts w:hint="eastAsia" w:ascii="仿宋_GB2312" w:hAnsi="仿宋_GB2312" w:eastAsia="仿宋_GB2312" w:cs="仿宋_GB2312"/>
          <w:sz w:val="32"/>
          <w:szCs w:val="32"/>
          <w:lang w:val="en-US" w:eastAsia="zh-CN"/>
        </w:rPr>
        <w:t>大修，</w:t>
      </w:r>
      <w:r>
        <w:rPr>
          <w:rFonts w:hint="eastAsia" w:ascii="仿宋_GB2312" w:hAnsi="仿宋_GB2312" w:eastAsia="仿宋_GB2312" w:cs="仿宋_GB2312"/>
          <w:color w:val="000000"/>
          <w:sz w:val="32"/>
          <w:szCs w:val="32"/>
          <w:lang w:val="en-US" w:eastAsia="zh-CN"/>
        </w:rPr>
        <w:t>路灯和公用亮化设施的节能改造。</w:t>
      </w:r>
      <w:r>
        <w:rPr>
          <w:rFonts w:hint="eastAsia" w:ascii="仿宋_GB2312" w:hAnsi="仿宋_GB2312" w:eastAsia="仿宋_GB2312" w:cs="仿宋_GB2312"/>
          <w:sz w:val="32"/>
          <w:szCs w:val="32"/>
        </w:rPr>
        <w:t>现有维护管理的路灯2</w:t>
      </w:r>
      <w:r>
        <w:rPr>
          <w:rFonts w:hint="eastAsia" w:ascii="仿宋_GB2312" w:hAnsi="仿宋_GB2312" w:eastAsia="仿宋_GB2312" w:cs="仿宋_GB2312"/>
          <w:sz w:val="32"/>
          <w:szCs w:val="32"/>
          <w:lang w:val="en-US" w:eastAsia="zh-CN"/>
        </w:rPr>
        <w:t>4893</w:t>
      </w:r>
      <w:r>
        <w:rPr>
          <w:rFonts w:hint="eastAsia" w:ascii="仿宋_GB2312" w:hAnsi="仿宋_GB2312" w:eastAsia="仿宋_GB2312" w:cs="仿宋_GB2312"/>
          <w:sz w:val="32"/>
          <w:szCs w:val="32"/>
        </w:rPr>
        <w:t>盏和维护管理</w:t>
      </w:r>
      <w:r>
        <w:rPr>
          <w:rFonts w:hint="eastAsia" w:ascii="仿宋_GB2312" w:hAnsi="仿宋_GB2312" w:eastAsia="仿宋_GB2312" w:cs="仿宋_GB2312"/>
          <w:sz w:val="32"/>
          <w:szCs w:val="32"/>
          <w:lang w:val="en-US" w:eastAsia="zh-CN"/>
        </w:rPr>
        <w:t>4008.26</w:t>
      </w:r>
      <w:r>
        <w:rPr>
          <w:rFonts w:hint="eastAsia" w:ascii="仿宋_GB2312" w:hAnsi="仿宋_GB2312" w:eastAsia="仿宋_GB2312" w:cs="仿宋_GB2312"/>
          <w:sz w:val="32"/>
          <w:szCs w:val="32"/>
        </w:rPr>
        <w:t>KW的公共亮化设施</w:t>
      </w:r>
      <w:r>
        <w:rPr>
          <w:rFonts w:hint="eastAsia" w:ascii="仿宋_GB2312" w:hAnsi="仿宋_GB2312" w:eastAsia="仿宋_GB2312" w:cs="仿宋_GB2312"/>
          <w:sz w:val="32"/>
          <w:szCs w:val="32"/>
          <w:lang w:eastAsia="zh-CN"/>
        </w:rPr>
        <w:t>，景观亮化</w:t>
      </w:r>
      <w:r>
        <w:rPr>
          <w:rFonts w:hint="eastAsia" w:ascii="仿宋_GB2312" w:hAnsi="仿宋_GB2312" w:eastAsia="仿宋_GB2312" w:cs="仿宋_GB2312"/>
          <w:sz w:val="32"/>
          <w:szCs w:val="32"/>
          <w:lang w:val="en-US" w:eastAsia="zh-CN"/>
        </w:rPr>
        <w:t>325处</w:t>
      </w:r>
      <w:r>
        <w:rPr>
          <w:rFonts w:hint="eastAsia" w:ascii="仿宋_GB2312" w:hAnsi="仿宋_GB2312" w:eastAsia="仿宋_GB2312" w:cs="仿宋_GB2312"/>
          <w:sz w:val="32"/>
          <w:szCs w:val="32"/>
        </w:rPr>
        <w:t>。</w:t>
      </w:r>
    </w:p>
    <w:p>
      <w:pPr>
        <w:pStyle w:val="4"/>
        <w:numPr>
          <w:ilvl w:val="0"/>
          <w:numId w:val="0"/>
        </w:numPr>
        <w:ind w:left="560" w:leftChars="0"/>
        <w:jc w:val="left"/>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（二）项目实施依据</w:t>
      </w:r>
    </w:p>
    <w:p>
      <w:pPr>
        <w:numPr>
          <w:ilvl w:val="0"/>
          <w:numId w:val="0"/>
        </w:numPr>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住建部节能改造和</w:t>
      </w:r>
      <w:r>
        <w:rPr>
          <w:rFonts w:hint="eastAsia" w:ascii="仿宋_GB2312" w:hAnsi="仿宋_GB2312" w:eastAsia="仿宋_GB2312" w:cs="仿宋_GB2312"/>
          <w:kern w:val="0"/>
          <w:sz w:val="32"/>
          <w:szCs w:val="32"/>
          <w:lang w:val="en-US" w:eastAsia="zh-CN" w:bidi="ar-SA"/>
        </w:rPr>
        <w:t>《岳阳市主城区城市照明专项规划（2021-2035）》；</w:t>
      </w:r>
    </w:p>
    <w:p>
      <w:pPr>
        <w:pStyle w:val="3"/>
        <w:numPr>
          <w:ilvl w:val="0"/>
          <w:numId w:val="0"/>
        </w:numPr>
        <w:rPr>
          <w:rFonts w:hint="eastAsia" w:eastAsia="仿宋_GB2312"/>
          <w:lang w:val="en-US" w:eastAsia="zh-CN"/>
        </w:rPr>
      </w:pPr>
      <w:r>
        <w:rPr>
          <w:rFonts w:hint="eastAsia"/>
          <w:lang w:val="en-US" w:eastAsia="zh-CN"/>
        </w:rPr>
        <w:t xml:space="preserve">    2、</w:t>
      </w:r>
      <w:r>
        <w:rPr>
          <w:rFonts w:hint="eastAsia" w:ascii="仿宋_GB2312" w:hAnsi="仿宋_GB2312" w:eastAsia="仿宋_GB2312" w:cs="仿宋_GB2312"/>
          <w:sz w:val="32"/>
          <w:szCs w:val="32"/>
        </w:rPr>
        <w:t>“十四五”全国城市基础设施建设规划要求</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bCs/>
          <w:color w:val="auto"/>
          <w:sz w:val="32"/>
          <w:szCs w:val="32"/>
          <w:lang w:val="en-US" w:eastAsia="zh-CN"/>
        </w:rPr>
      </w:pPr>
      <w:r>
        <w:rPr>
          <w:rFonts w:hint="eastAsia" w:ascii="CESI仿宋-GB2312" w:hAnsi="CESI仿宋-GB2312" w:eastAsia="CESI仿宋-GB2312" w:cs="CESI仿宋-GB2312"/>
          <w:color w:val="auto"/>
          <w:sz w:val="32"/>
          <w:szCs w:val="32"/>
          <w:lang w:val="en-US" w:eastAsia="zh-CN"/>
        </w:rPr>
        <w:t xml:space="preserve"> </w:t>
      </w:r>
      <w:r>
        <w:rPr>
          <w:rFonts w:hint="eastAsia" w:ascii="方正黑体_GBK" w:hAnsi="方正黑体_GBK" w:eastAsia="方正黑体_GBK" w:cs="方正黑体_GBK"/>
          <w:b/>
          <w:bCs/>
          <w:color w:val="auto"/>
          <w:sz w:val="32"/>
          <w:szCs w:val="32"/>
          <w:lang w:eastAsia="zh-CN"/>
        </w:rPr>
        <w:t>二、项目资金使用及管理情况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（一）项目资金情况分析</w:t>
      </w:r>
    </w:p>
    <w:p>
      <w:pPr>
        <w:pStyle w:val="12"/>
        <w:keepNext w:val="0"/>
        <w:keepLines w:val="0"/>
        <w:pageBreakBefore w:val="0"/>
        <w:widowControl/>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市财政预算批复</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经费预算总金额为3619.98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（含</w:t>
      </w:r>
      <w:r>
        <w:rPr>
          <w:rFonts w:hint="eastAsia" w:ascii="仿宋_GB2312" w:hAnsi="仿宋_GB2312" w:eastAsia="仿宋_GB2312" w:cs="仿宋_GB2312"/>
          <w:color w:val="auto"/>
          <w:sz w:val="32"/>
          <w:szCs w:val="32"/>
          <w:lang w:val="en-US" w:eastAsia="zh-CN"/>
        </w:rPr>
        <w:t>上年结转经费78.98万元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年中项目预算总金额调整为4405.17万元，实际支出总金额为4328.14万元，其中</w:t>
      </w:r>
      <w:r>
        <w:rPr>
          <w:rFonts w:hint="eastAsia" w:ascii="仿宋_GB2312" w:hAnsi="仿宋_GB2312" w:eastAsia="仿宋_GB2312" w:cs="仿宋_GB2312"/>
          <w:sz w:val="32"/>
          <w:szCs w:val="32"/>
          <w:lang w:eastAsia="zh-CN"/>
        </w:rPr>
        <w:t>路灯及公用亮化设施维护经费</w:t>
      </w:r>
      <w:r>
        <w:rPr>
          <w:rFonts w:hint="eastAsia" w:ascii="仿宋_GB2312" w:hAnsi="仿宋_GB2312" w:eastAsia="仿宋_GB2312" w:cs="仿宋_GB2312"/>
          <w:sz w:val="32"/>
          <w:szCs w:val="32"/>
          <w:lang w:val="en-US" w:eastAsia="zh-CN"/>
        </w:rPr>
        <w:t>支出1046.25万元、</w:t>
      </w:r>
      <w:r>
        <w:rPr>
          <w:rFonts w:hint="eastAsia" w:ascii="仿宋_GB2312" w:hAnsi="仿宋_GB2312" w:eastAsia="仿宋_GB2312" w:cs="仿宋_GB2312"/>
          <w:sz w:val="32"/>
          <w:szCs w:val="32"/>
          <w:lang w:eastAsia="zh-CN"/>
        </w:rPr>
        <w:t>路灯及公用亮化设施电费</w:t>
      </w:r>
      <w:r>
        <w:rPr>
          <w:rFonts w:hint="eastAsia" w:ascii="仿宋_GB2312" w:hAnsi="仿宋_GB2312" w:eastAsia="仿宋_GB2312" w:cs="仿宋_GB2312"/>
          <w:sz w:val="32"/>
          <w:szCs w:val="32"/>
          <w:lang w:val="en-US" w:eastAsia="zh-CN"/>
        </w:rPr>
        <w:t>支出1719.00万元、中心城区景观亮化大修经费支出197.81万元、亮化管理计量工作经费支出54.05万元、城区路灯大修经费支出35.00万元、全城临街楼宇亮化设施电费支出395.16万元、非税收入征管经费支出80.90万元、业务工作经费支出799.97万元（含按项目核算的其他运转类经费支出60.63万元），主要用于</w:t>
      </w:r>
      <w:r>
        <w:rPr>
          <w:rFonts w:hint="eastAsia" w:ascii="仿宋_GB2312" w:hAnsi="仿宋_GB2312" w:eastAsia="仿宋_GB2312" w:cs="仿宋_GB2312"/>
          <w:color w:val="000000"/>
          <w:sz w:val="32"/>
          <w:szCs w:val="32"/>
        </w:rPr>
        <w:t>城区主次干道及小街巷路灯和公用亮化设施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全城临街楼宇亮化设施运行</w:t>
      </w:r>
      <w:r>
        <w:rPr>
          <w:rFonts w:hint="eastAsia" w:ascii="仿宋_GB2312" w:hAnsi="仿宋_GB2312" w:eastAsia="仿宋_GB2312" w:cs="仿宋_GB2312"/>
          <w:color w:val="000000"/>
          <w:sz w:val="32"/>
          <w:szCs w:val="32"/>
          <w:lang w:val="en-US" w:eastAsia="zh-CN"/>
        </w:rPr>
        <w:t>电费；</w:t>
      </w:r>
      <w:r>
        <w:rPr>
          <w:rFonts w:hint="eastAsia" w:ascii="仿宋_GB2312" w:hAnsi="仿宋_GB2312" w:eastAsia="仿宋_GB2312" w:cs="仿宋_GB2312"/>
          <w:color w:val="000000"/>
          <w:sz w:val="32"/>
          <w:szCs w:val="32"/>
        </w:rPr>
        <w:t>路灯和公用亮化设施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城区使用年限较长的变压器</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配电箱以及高杆灯大修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城区</w:t>
      </w:r>
      <w:r>
        <w:rPr>
          <w:rFonts w:hint="eastAsia" w:ascii="仿宋_GB2312" w:hAnsi="仿宋_GB2312" w:eastAsia="仿宋_GB2312" w:cs="仿宋_GB2312"/>
          <w:color w:val="000000"/>
          <w:sz w:val="32"/>
          <w:szCs w:val="32"/>
        </w:rPr>
        <w:t>景观亮化项目大修</w:t>
      </w:r>
      <w:r>
        <w:rPr>
          <w:rFonts w:hint="eastAsia" w:ascii="仿宋_GB2312" w:hAnsi="仿宋_GB2312" w:eastAsia="仿宋_GB2312" w:cs="仿宋_GB2312"/>
          <w:bCs/>
          <w:sz w:val="32"/>
          <w:szCs w:val="32"/>
        </w:rPr>
        <w:t>维修材料、亮化</w:t>
      </w:r>
      <w:r>
        <w:rPr>
          <w:rFonts w:hint="eastAsia" w:ascii="仿宋_GB2312" w:hAnsi="仿宋_GB2312" w:eastAsia="仿宋_GB2312" w:cs="仿宋_GB2312"/>
          <w:bCs/>
          <w:sz w:val="32"/>
          <w:szCs w:val="32"/>
          <w:lang w:val="en-US" w:eastAsia="zh-CN"/>
        </w:rPr>
        <w:t>和</w:t>
      </w:r>
      <w:r>
        <w:rPr>
          <w:rFonts w:hint="eastAsia" w:ascii="仿宋_GB2312" w:hAnsi="仿宋_GB2312" w:eastAsia="仿宋_GB2312" w:cs="仿宋_GB2312"/>
          <w:bCs/>
          <w:sz w:val="32"/>
          <w:szCs w:val="32"/>
        </w:rPr>
        <w:t>路灯故障抢修、设施改造、维护租车费、油料费、劳务费、路灯监控系统升级等支出</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lang w:val="en-US" w:eastAsia="zh-CN"/>
        </w:rPr>
        <w:t>及</w:t>
      </w:r>
      <w:r>
        <w:rPr>
          <w:rFonts w:hint="eastAsia" w:ascii="仿宋_GB2312" w:hAnsi="仿宋_GB2312" w:eastAsia="仿宋_GB2312" w:cs="仿宋_GB2312"/>
          <w:color w:val="000000"/>
          <w:sz w:val="32"/>
          <w:szCs w:val="32"/>
        </w:rPr>
        <w:t>亮化电费计量</w:t>
      </w:r>
      <w:r>
        <w:rPr>
          <w:rFonts w:hint="eastAsia" w:ascii="仿宋_GB2312" w:hAnsi="仿宋_GB2312" w:eastAsia="仿宋_GB2312" w:cs="仿宋_GB2312"/>
          <w:color w:val="000000"/>
          <w:sz w:val="32"/>
          <w:szCs w:val="32"/>
          <w:lang w:val="en-US" w:eastAsia="zh-CN"/>
        </w:rPr>
        <w:t>和路灯节能改造等支出。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（二）项目资金管理情况</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eastAsia="仿宋_GB2312"/>
          <w:sz w:val="32"/>
          <w:szCs w:val="32"/>
        </w:rPr>
      </w:pPr>
      <w:r>
        <w:rPr>
          <w:rFonts w:hint="eastAsia" w:eastAsia="仿宋_GB2312"/>
          <w:sz w:val="32"/>
          <w:szCs w:val="32"/>
          <w:lang w:val="en-US" w:eastAsia="zh-CN"/>
        </w:rPr>
        <w:t>中心</w:t>
      </w:r>
      <w:r>
        <w:rPr>
          <w:rFonts w:hint="eastAsia" w:eastAsia="仿宋_GB2312"/>
          <w:sz w:val="32"/>
          <w:szCs w:val="32"/>
        </w:rPr>
        <w:t>制定了《专项资金管理办法》、《专项资金绩效评价办法》、《项目实施管理办法》、《项目实施细则》、《岗位责任制度》</w:t>
      </w:r>
      <w:r>
        <w:rPr>
          <w:rFonts w:hint="eastAsia" w:eastAsia="仿宋_GB2312"/>
          <w:sz w:val="32"/>
          <w:szCs w:val="32"/>
          <w:lang w:eastAsia="zh-CN"/>
        </w:rPr>
        <w:t>、《政府采购内控制度》</w:t>
      </w:r>
      <w:r>
        <w:rPr>
          <w:rFonts w:hint="eastAsia" w:eastAsia="仿宋_GB2312"/>
          <w:sz w:val="32"/>
          <w:szCs w:val="32"/>
        </w:rPr>
        <w:t>等制度，</w:t>
      </w:r>
      <w:r>
        <w:rPr>
          <w:rFonts w:eastAsia="仿宋_GB2312"/>
          <w:sz w:val="32"/>
          <w:szCs w:val="32"/>
        </w:rPr>
        <w:t>对项目进行</w:t>
      </w:r>
      <w:r>
        <w:rPr>
          <w:rFonts w:hint="eastAsia" w:eastAsia="仿宋_GB2312"/>
          <w:sz w:val="32"/>
          <w:szCs w:val="32"/>
        </w:rPr>
        <w:t>制度化、程序化</w:t>
      </w:r>
      <w:r>
        <w:rPr>
          <w:rFonts w:eastAsia="仿宋_GB2312"/>
          <w:sz w:val="32"/>
          <w:szCs w:val="32"/>
        </w:rPr>
        <w:t>管理</w:t>
      </w:r>
      <w:r>
        <w:rPr>
          <w:rFonts w:hint="eastAsia" w:eastAsia="仿宋_GB2312"/>
          <w:sz w:val="32"/>
          <w:szCs w:val="32"/>
        </w:rPr>
        <w:t>。</w:t>
      </w:r>
      <w:r>
        <w:rPr>
          <w:rFonts w:hint="eastAsia" w:eastAsia="仿宋_GB2312"/>
          <w:sz w:val="32"/>
          <w:szCs w:val="32"/>
          <w:lang w:eastAsia="zh-CN"/>
        </w:rPr>
        <w:t>并</w:t>
      </w:r>
      <w:r>
        <w:rPr>
          <w:rFonts w:hint="eastAsia" w:eastAsia="仿宋_GB2312"/>
          <w:sz w:val="32"/>
          <w:szCs w:val="32"/>
        </w:rPr>
        <w:t>制订了收支业务等内部控制操作规程，规范专项资金的使用和管理，</w:t>
      </w:r>
      <w:r>
        <w:rPr>
          <w:rFonts w:eastAsia="仿宋_GB2312"/>
          <w:sz w:val="32"/>
          <w:szCs w:val="32"/>
        </w:rPr>
        <w:t>单独核算，专款专用，</w:t>
      </w:r>
      <w:r>
        <w:rPr>
          <w:rFonts w:hint="eastAsia" w:eastAsia="仿宋_GB2312"/>
          <w:sz w:val="32"/>
          <w:szCs w:val="32"/>
        </w:rPr>
        <w:t>严禁挤占和挪用项目资金。</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sz w:val="32"/>
          <w:szCs w:val="32"/>
        </w:rPr>
      </w:pPr>
      <w:r>
        <w:rPr>
          <w:rFonts w:hint="eastAsia" w:ascii="方正黑体_GBK" w:hAnsi="方正黑体_GBK" w:eastAsia="方正黑体_GBK" w:cs="方正黑体_GBK"/>
          <w:b/>
          <w:sz w:val="32"/>
          <w:szCs w:val="32"/>
        </w:rPr>
        <w:t>三、项目组织实施情况</w:t>
      </w:r>
    </w:p>
    <w:p>
      <w:pPr>
        <w:pStyle w:val="4"/>
        <w:ind w:left="0" w:leftChars="0" w:firstLine="640" w:firstLineChars="200"/>
        <w:jc w:val="both"/>
        <w:rPr>
          <w:rFonts w:hint="eastAsia" w:ascii="CESI仿宋-GB2312" w:hAnsi="CESI仿宋-GB2312" w:eastAsia="CESI仿宋-GB2312" w:cs="CESI仿宋-GB2312"/>
          <w:sz w:val="32"/>
          <w:szCs w:val="32"/>
          <w:lang w:val="en-US" w:eastAsia="zh-CN"/>
        </w:rPr>
      </w:pPr>
      <w:r>
        <w:rPr>
          <w:rFonts w:hint="eastAsia" w:ascii="CESI仿宋-GB2312" w:hAnsi="CESI仿宋-GB2312" w:eastAsia="CESI仿宋-GB2312" w:cs="CESI仿宋-GB2312"/>
          <w:sz w:val="32"/>
          <w:szCs w:val="32"/>
        </w:rPr>
        <w:t>根据单位职能</w:t>
      </w:r>
      <w:r>
        <w:rPr>
          <w:rFonts w:hint="eastAsia" w:ascii="CESI仿宋-GB2312" w:hAnsi="CESI仿宋-GB2312" w:eastAsia="CESI仿宋-GB2312" w:cs="CESI仿宋-GB2312"/>
          <w:sz w:val="32"/>
          <w:szCs w:val="32"/>
          <w:lang w:eastAsia="zh-CN"/>
        </w:rPr>
        <w:t>科</w:t>
      </w:r>
      <w:r>
        <w:rPr>
          <w:rFonts w:hint="eastAsia" w:ascii="CESI仿宋-GB2312" w:hAnsi="CESI仿宋-GB2312" w:eastAsia="CESI仿宋-GB2312" w:cs="CESI仿宋-GB2312"/>
          <w:sz w:val="32"/>
          <w:szCs w:val="32"/>
        </w:rPr>
        <w:t>室设置，</w:t>
      </w:r>
      <w:r>
        <w:rPr>
          <w:rFonts w:hint="eastAsia" w:ascii="CESI仿宋-GB2312" w:hAnsi="CESI仿宋-GB2312" w:eastAsia="CESI仿宋-GB2312" w:cs="CESI仿宋-GB2312"/>
          <w:color w:val="auto"/>
          <w:sz w:val="32"/>
        </w:rPr>
        <w:t>生产管理部</w:t>
      </w:r>
      <w:r>
        <w:rPr>
          <w:rFonts w:hint="eastAsia" w:ascii="CESI仿宋-GB2312" w:hAnsi="CESI仿宋-GB2312" w:eastAsia="CESI仿宋-GB2312" w:cs="CESI仿宋-GB2312"/>
          <w:sz w:val="32"/>
          <w:szCs w:val="32"/>
        </w:rPr>
        <w:t>负责编制路灯及亮化专项项目的新建、改建、维护设施的方案，组织施工和路灯安装;督促落实安全措施，确保安全生产；负责照明设施稽查工作；负费考勤、考核和综合考评。技术</w:t>
      </w:r>
      <w:r>
        <w:rPr>
          <w:rFonts w:hint="eastAsia" w:ascii="CESI仿宋-GB2312" w:hAnsi="CESI仿宋-GB2312" w:eastAsia="CESI仿宋-GB2312" w:cs="CESI仿宋-GB2312"/>
          <w:sz w:val="32"/>
          <w:szCs w:val="32"/>
          <w:lang w:eastAsia="zh-CN"/>
        </w:rPr>
        <w:t>服务部</w:t>
      </w:r>
      <w:r>
        <w:rPr>
          <w:rFonts w:hint="eastAsia" w:ascii="CESI仿宋-GB2312" w:hAnsi="CESI仿宋-GB2312" w:eastAsia="CESI仿宋-GB2312" w:cs="CESI仿宋-GB2312"/>
          <w:sz w:val="32"/>
          <w:szCs w:val="32"/>
        </w:rPr>
        <w:t>负责城区路灯新建、改建、维护工程的勘测、设计和预决算;负责工程的签证和编写工程竣工报告文书，组织工程竣工验收工作;负责拟订路灯灯型方案;负责整理技术档案</w:t>
      </w:r>
      <w:r>
        <w:rPr>
          <w:rFonts w:hint="eastAsia" w:ascii="CESI仿宋-GB2312" w:hAnsi="CESI仿宋-GB2312" w:eastAsia="CESI仿宋-GB2312" w:cs="CESI仿宋-GB2312"/>
          <w:sz w:val="32"/>
          <w:szCs w:val="32"/>
          <w:lang w:eastAsia="zh-CN"/>
        </w:rPr>
        <w:t>；</w:t>
      </w:r>
      <w:r>
        <w:rPr>
          <w:rFonts w:hint="eastAsia" w:ascii="CESI仿宋-GB2312" w:hAnsi="CESI仿宋-GB2312" w:eastAsia="CESI仿宋-GB2312" w:cs="CESI仿宋-GB2312"/>
          <w:sz w:val="32"/>
          <w:szCs w:val="32"/>
        </w:rPr>
        <w:t>负责把好材料质量关;负责职工技术培训和考核。项目实施过程中领导重视，召开专题会布置工作；组织有保障，有专门的组织机构，配备专门人员，多部门联动实施。为加强项目管理，</w:t>
      </w:r>
      <w:r>
        <w:rPr>
          <w:rFonts w:hint="eastAsia" w:ascii="CESI仿宋-GB2312" w:hAnsi="CESI仿宋-GB2312" w:eastAsia="CESI仿宋-GB2312" w:cs="CESI仿宋-GB2312"/>
          <w:sz w:val="32"/>
          <w:szCs w:val="32"/>
          <w:lang w:val="en-US" w:eastAsia="zh-CN"/>
        </w:rPr>
        <w:t>中心</w:t>
      </w:r>
      <w:r>
        <w:rPr>
          <w:rFonts w:hint="eastAsia" w:ascii="CESI仿宋-GB2312" w:hAnsi="CESI仿宋-GB2312" w:eastAsia="CESI仿宋-GB2312" w:cs="CESI仿宋-GB2312"/>
          <w:sz w:val="32"/>
          <w:szCs w:val="32"/>
        </w:rPr>
        <w:t>制定了《维护管理标准化考评考核办法》、《岳阳市</w:t>
      </w:r>
      <w:r>
        <w:rPr>
          <w:rFonts w:hint="eastAsia" w:ascii="CESI仿宋-GB2312" w:hAnsi="CESI仿宋-GB2312" w:eastAsia="CESI仿宋-GB2312" w:cs="CESI仿宋-GB2312"/>
          <w:sz w:val="32"/>
          <w:szCs w:val="32"/>
          <w:lang w:val="en-US" w:eastAsia="zh-CN"/>
        </w:rPr>
        <w:t>城市照明管理中心</w:t>
      </w:r>
      <w:r>
        <w:rPr>
          <w:rFonts w:hint="eastAsia" w:ascii="CESI仿宋-GB2312" w:hAnsi="CESI仿宋-GB2312" w:eastAsia="CESI仿宋-GB2312" w:cs="CESI仿宋-GB2312"/>
          <w:sz w:val="32"/>
          <w:szCs w:val="32"/>
        </w:rPr>
        <w:t>绩效考核管理办法》，为项目管理提供了制度保证</w:t>
      </w:r>
      <w:r>
        <w:rPr>
          <w:rFonts w:hint="eastAsia" w:ascii="CESI仿宋-GB2312" w:hAnsi="CESI仿宋-GB2312" w:eastAsia="CESI仿宋-GB2312" w:cs="CESI仿宋-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仿宋_GB2312" w:cs="CESI仿宋-GB2312"/>
          <w:sz w:val="32"/>
          <w:szCs w:val="32"/>
          <w:lang w:eastAsia="zh-CN"/>
        </w:rPr>
      </w:pPr>
      <w:r>
        <w:rPr>
          <w:rFonts w:hint="eastAsia" w:ascii="CESI仿宋-GB2312" w:hAnsi="CESI仿宋-GB2312" w:eastAsia="CESI仿宋-GB2312" w:cs="CESI仿宋-GB2312"/>
          <w:sz w:val="32"/>
          <w:szCs w:val="32"/>
          <w:lang w:val="en-US" w:eastAsia="zh-CN"/>
        </w:rPr>
        <w:t>为</w:t>
      </w:r>
      <w:r>
        <w:rPr>
          <w:rFonts w:hint="eastAsia" w:ascii="CESI仿宋-GB2312" w:hAnsi="CESI仿宋-GB2312" w:eastAsia="CESI仿宋-GB2312" w:cs="CESI仿宋-GB2312"/>
          <w:sz w:val="32"/>
          <w:szCs w:val="32"/>
        </w:rPr>
        <w:t>加强路灯及</w:t>
      </w:r>
      <w:r>
        <w:rPr>
          <w:rFonts w:hint="eastAsia" w:ascii="CESI仿宋-GB2312" w:hAnsi="CESI仿宋-GB2312" w:eastAsia="CESI仿宋-GB2312" w:cs="CESI仿宋-GB2312"/>
          <w:sz w:val="32"/>
          <w:szCs w:val="32"/>
          <w:lang w:eastAsia="zh-CN"/>
        </w:rPr>
        <w:t>公用</w:t>
      </w:r>
      <w:r>
        <w:rPr>
          <w:rFonts w:hint="eastAsia" w:ascii="CESI仿宋-GB2312" w:hAnsi="CESI仿宋-GB2312" w:eastAsia="CESI仿宋-GB2312" w:cs="CESI仿宋-GB2312"/>
          <w:sz w:val="32"/>
          <w:szCs w:val="32"/>
        </w:rPr>
        <w:t>亮化设施的巡查力度，路灯及</w:t>
      </w:r>
      <w:r>
        <w:rPr>
          <w:rFonts w:hint="eastAsia" w:ascii="CESI仿宋-GB2312" w:hAnsi="CESI仿宋-GB2312" w:eastAsia="CESI仿宋-GB2312" w:cs="CESI仿宋-GB2312"/>
          <w:sz w:val="32"/>
          <w:szCs w:val="32"/>
          <w:lang w:eastAsia="zh-CN"/>
        </w:rPr>
        <w:t>公用</w:t>
      </w:r>
      <w:r>
        <w:rPr>
          <w:rFonts w:hint="eastAsia" w:ascii="CESI仿宋-GB2312" w:hAnsi="CESI仿宋-GB2312" w:eastAsia="CESI仿宋-GB2312" w:cs="CESI仿宋-GB2312"/>
          <w:sz w:val="32"/>
          <w:szCs w:val="32"/>
        </w:rPr>
        <w:t>亮化故障的处置力度，探索深夜维修模式，将一线晚班工作时间再延长，并充分利用双休日、节假日，避开人流车流高峰，昼夜护航，分片区、分类型，扎实、高效地开展路灯及</w:t>
      </w:r>
      <w:r>
        <w:rPr>
          <w:rFonts w:hint="eastAsia" w:ascii="CESI仿宋-GB2312" w:hAnsi="CESI仿宋-GB2312" w:eastAsia="CESI仿宋-GB2312" w:cs="CESI仿宋-GB2312"/>
          <w:sz w:val="32"/>
          <w:szCs w:val="32"/>
          <w:lang w:eastAsia="zh-CN"/>
        </w:rPr>
        <w:t>公用</w:t>
      </w:r>
      <w:r>
        <w:rPr>
          <w:rFonts w:hint="eastAsia" w:ascii="CESI仿宋-GB2312" w:hAnsi="CESI仿宋-GB2312" w:eastAsia="CESI仿宋-GB2312" w:cs="CESI仿宋-GB2312"/>
          <w:sz w:val="32"/>
          <w:szCs w:val="32"/>
        </w:rPr>
        <w:t>亮化</w:t>
      </w:r>
      <w:r>
        <w:rPr>
          <w:rFonts w:hint="eastAsia" w:ascii="CESI仿宋-GB2312" w:hAnsi="CESI仿宋-GB2312" w:eastAsia="CESI仿宋-GB2312" w:cs="CESI仿宋-GB2312"/>
          <w:sz w:val="32"/>
          <w:szCs w:val="32"/>
          <w:lang w:eastAsia="zh-CN"/>
        </w:rPr>
        <w:t>设施</w:t>
      </w:r>
      <w:r>
        <w:rPr>
          <w:rFonts w:hint="eastAsia" w:ascii="CESI仿宋-GB2312" w:hAnsi="CESI仿宋-GB2312" w:eastAsia="CESI仿宋-GB2312" w:cs="CESI仿宋-GB2312"/>
          <w:sz w:val="32"/>
          <w:szCs w:val="32"/>
        </w:rPr>
        <w:t>的维护、巡查工作。路灯及</w:t>
      </w:r>
      <w:r>
        <w:rPr>
          <w:rFonts w:hint="eastAsia" w:ascii="CESI仿宋-GB2312" w:hAnsi="CESI仿宋-GB2312" w:eastAsia="CESI仿宋-GB2312" w:cs="CESI仿宋-GB2312"/>
          <w:sz w:val="32"/>
          <w:szCs w:val="32"/>
          <w:lang w:eastAsia="zh-CN"/>
        </w:rPr>
        <w:t>公用</w:t>
      </w:r>
      <w:r>
        <w:rPr>
          <w:rFonts w:hint="eastAsia" w:ascii="CESI仿宋-GB2312" w:hAnsi="CESI仿宋-GB2312" w:eastAsia="CESI仿宋-GB2312" w:cs="CESI仿宋-GB2312"/>
          <w:sz w:val="32"/>
          <w:szCs w:val="32"/>
        </w:rPr>
        <w:t>亮化</w:t>
      </w:r>
      <w:r>
        <w:rPr>
          <w:rFonts w:hint="eastAsia" w:ascii="CESI仿宋-GB2312" w:hAnsi="CESI仿宋-GB2312" w:eastAsia="CESI仿宋-GB2312" w:cs="CESI仿宋-GB2312"/>
          <w:sz w:val="32"/>
          <w:szCs w:val="32"/>
          <w:lang w:eastAsia="zh-CN"/>
        </w:rPr>
        <w:t>设施</w:t>
      </w:r>
      <w:r>
        <w:rPr>
          <w:rFonts w:hint="eastAsia" w:ascii="CESI仿宋-GB2312" w:hAnsi="CESI仿宋-GB2312" w:eastAsia="CESI仿宋-GB2312" w:cs="CESI仿宋-GB2312"/>
          <w:sz w:val="32"/>
          <w:szCs w:val="32"/>
        </w:rPr>
        <w:t>故障处置速度较以往明显提升，工作效率大大提高</w:t>
      </w:r>
      <w:r>
        <w:rPr>
          <w:rFonts w:hint="eastAsia" w:ascii="CESI仿宋-GB2312" w:hAnsi="CESI仿宋-GB2312" w:eastAsia="CESI仿宋-GB2312" w:cs="CESI仿宋-GB2312"/>
          <w:sz w:val="32"/>
          <w:szCs w:val="32"/>
          <w:lang w:eastAsia="zh-CN"/>
        </w:rPr>
        <w:t>。</w:t>
      </w:r>
      <w:r>
        <w:rPr>
          <w:rFonts w:hint="eastAsia" w:ascii="仿宋_GB2312" w:hAnsi="仿宋_GB2312" w:eastAsia="仿宋_GB2312" w:cs="仿宋_GB2312"/>
          <w:color w:val="auto"/>
          <w:kern w:val="0"/>
          <w:sz w:val="32"/>
          <w:szCs w:val="32"/>
        </w:rPr>
        <w:t>中心城区亮灯率、设施完好率98%以上，重大活动、重要节日期间达到99%以上”目标</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确保了全市照明“</w:t>
      </w:r>
      <w:r>
        <w:rPr>
          <w:rFonts w:hint="eastAsia" w:ascii="仿宋_GB2312" w:hAnsi="仿宋_GB2312" w:eastAsia="仿宋_GB2312" w:cs="仿宋_GB2312"/>
          <w:color w:val="auto"/>
          <w:kern w:val="0"/>
          <w:sz w:val="32"/>
          <w:szCs w:val="32"/>
          <w:lang w:eastAsia="zh-CN"/>
        </w:rPr>
        <w:t>三</w:t>
      </w:r>
      <w:r>
        <w:rPr>
          <w:rFonts w:hint="eastAsia" w:ascii="仿宋_GB2312" w:hAnsi="仿宋_GB2312" w:eastAsia="仿宋_GB2312" w:cs="仿宋_GB2312"/>
          <w:color w:val="auto"/>
          <w:kern w:val="0"/>
          <w:sz w:val="32"/>
          <w:szCs w:val="32"/>
        </w:rPr>
        <w:t>率”</w:t>
      </w:r>
      <w:r>
        <w:rPr>
          <w:rFonts w:hint="eastAsia" w:ascii="仿宋_GB2312" w:hAnsi="仿宋_GB2312" w:eastAsia="仿宋_GB2312" w:cs="仿宋_GB2312"/>
          <w:color w:val="auto"/>
          <w:kern w:val="0"/>
          <w:sz w:val="32"/>
          <w:szCs w:val="32"/>
          <w:lang w:eastAsia="zh-CN"/>
        </w:rPr>
        <w:t>全年</w:t>
      </w:r>
      <w:r>
        <w:rPr>
          <w:rFonts w:hint="eastAsia" w:ascii="仿宋_GB2312" w:hAnsi="仿宋_GB2312" w:eastAsia="仿宋_GB2312" w:cs="仿宋_GB2312"/>
          <w:color w:val="auto"/>
          <w:kern w:val="0"/>
          <w:sz w:val="32"/>
          <w:szCs w:val="32"/>
        </w:rPr>
        <w:t>达标</w:t>
      </w:r>
      <w:r>
        <w:rPr>
          <w:rFonts w:hint="eastAsia" w:ascii="仿宋_GB2312" w:hAnsi="仿宋_GB2312" w:eastAsia="仿宋_GB2312" w:cs="仿宋_GB2312"/>
          <w:color w:val="auto"/>
          <w:kern w:val="0"/>
          <w:sz w:val="32"/>
          <w:szCs w:val="32"/>
          <w:lang w:eastAsia="zh-CN"/>
        </w:rPr>
        <w:t>，为广大市民夜间出行提供了强有力的安全保障。</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四</w:t>
      </w:r>
      <w:r>
        <w:rPr>
          <w:rFonts w:hint="eastAsia" w:ascii="方正黑体_GBK" w:hAnsi="方正黑体_GBK" w:eastAsia="方正黑体_GBK" w:cs="方正黑体_GBK"/>
          <w:b/>
          <w:bCs/>
          <w:sz w:val="32"/>
          <w:szCs w:val="32"/>
          <w:lang w:eastAsia="zh-CN"/>
        </w:rPr>
        <w:t>、</w:t>
      </w:r>
      <w:r>
        <w:rPr>
          <w:rFonts w:hint="eastAsia" w:ascii="方正黑体_GBK" w:hAnsi="方正黑体_GBK" w:eastAsia="方正黑体_GBK" w:cs="方正黑体_GBK"/>
          <w:b/>
          <w:bCs/>
          <w:sz w:val="32"/>
          <w:szCs w:val="32"/>
        </w:rPr>
        <w:t>综合评价情况及评价结论</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rPr>
      </w:pPr>
      <w:r>
        <w:rPr>
          <w:rFonts w:hint="eastAsia" w:ascii="CESI仿宋-GB2312" w:hAnsi="CESI仿宋-GB2312" w:eastAsia="CESI仿宋-GB2312" w:cs="CESI仿宋-GB2312"/>
          <w:sz w:val="32"/>
          <w:szCs w:val="32"/>
        </w:rPr>
        <w:t xml:space="preserve">   </w:t>
      </w:r>
      <w:r>
        <w:rPr>
          <w:rFonts w:hint="eastAsia" w:ascii="CESI仿宋-GB2312" w:hAnsi="CESI仿宋-GB2312" w:eastAsia="CESI仿宋-GB2312" w:cs="CESI仿宋-GB2312"/>
          <w:color w:val="FF0000"/>
          <w:sz w:val="32"/>
          <w:szCs w:val="32"/>
        </w:rPr>
        <w:t xml:space="preserve"> </w:t>
      </w:r>
      <w:r>
        <w:rPr>
          <w:rFonts w:hint="eastAsia" w:ascii="仿宋_GB2312" w:hAnsi="仿宋_GB2312" w:eastAsia="仿宋_GB2312" w:cs="仿宋_GB2312"/>
          <w:color w:val="auto"/>
          <w:sz w:val="32"/>
          <w:szCs w:val="32"/>
        </w:rPr>
        <w:t>绩效评价</w:t>
      </w:r>
      <w:r>
        <w:rPr>
          <w:rFonts w:hint="eastAsia" w:ascii="仿宋_GB2312" w:hAnsi="仿宋_GB2312" w:eastAsia="仿宋_GB2312" w:cs="仿宋_GB2312"/>
          <w:color w:val="auto"/>
          <w:sz w:val="32"/>
          <w:szCs w:val="32"/>
          <w:lang w:val="en-US" w:eastAsia="zh-CN"/>
        </w:rPr>
        <w:t>小组依</w:t>
      </w:r>
      <w:r>
        <w:rPr>
          <w:rFonts w:hint="eastAsia" w:ascii="仿宋_GB2312" w:hAnsi="仿宋_GB2312" w:eastAsia="仿宋_GB2312" w:cs="仿宋_GB2312"/>
          <w:color w:val="auto"/>
          <w:sz w:val="32"/>
          <w:szCs w:val="32"/>
        </w:rPr>
        <w:t>据</w:t>
      </w:r>
      <w:r>
        <w:rPr>
          <w:rFonts w:hint="eastAsia" w:ascii="仿宋_GB2312" w:hAnsi="仿宋_GB2312" w:eastAsia="仿宋_GB2312" w:cs="仿宋_GB2312"/>
          <w:color w:val="auto"/>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color w:val="auto"/>
          <w:sz w:val="32"/>
          <w:szCs w:val="32"/>
        </w:rPr>
        <w:t>评价指标</w:t>
      </w:r>
      <w:r>
        <w:rPr>
          <w:rFonts w:hint="eastAsia" w:ascii="仿宋_GB2312" w:hAnsi="仿宋_GB2312" w:eastAsia="仿宋_GB2312" w:cs="仿宋_GB2312"/>
          <w:color w:val="auto"/>
          <w:sz w:val="32"/>
          <w:szCs w:val="32"/>
          <w:lang w:val="en-US" w:eastAsia="zh-CN"/>
        </w:rPr>
        <w:t>和标准进行了分析与</w:t>
      </w:r>
      <w:r>
        <w:rPr>
          <w:rFonts w:hint="eastAsia" w:ascii="仿宋_GB2312" w:hAnsi="仿宋_GB2312" w:eastAsia="仿宋_GB2312" w:cs="仿宋_GB2312"/>
          <w:color w:val="auto"/>
          <w:sz w:val="32"/>
          <w:szCs w:val="32"/>
        </w:rPr>
        <w:t>评分，</w:t>
      </w:r>
      <w:r>
        <w:rPr>
          <w:rFonts w:hint="eastAsia" w:ascii="仿宋_GB2312" w:hAnsi="仿宋_GB2312" w:eastAsia="仿宋_GB2312" w:cs="仿宋_GB2312"/>
          <w:color w:val="auto"/>
          <w:sz w:val="32"/>
          <w:szCs w:val="32"/>
          <w:lang w:val="en-US" w:eastAsia="zh-CN"/>
        </w:rPr>
        <w:t>一致认为中心</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资金</w:t>
      </w:r>
      <w:r>
        <w:rPr>
          <w:rFonts w:hint="eastAsia" w:ascii="仿宋_GB2312" w:hAnsi="仿宋_GB2312" w:eastAsia="仿宋_GB2312" w:cs="仿宋_GB2312"/>
          <w:color w:val="auto"/>
          <w:sz w:val="32"/>
          <w:szCs w:val="32"/>
        </w:rPr>
        <w:t>管理和使用规范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圆满完成了年初绩效目标，</w:t>
      </w:r>
      <w:r>
        <w:rPr>
          <w:rFonts w:hint="eastAsia" w:ascii="仿宋_GB2312" w:hAnsi="仿宋_GB2312" w:eastAsia="仿宋_GB2312" w:cs="仿宋_GB2312"/>
          <w:color w:val="auto"/>
          <w:sz w:val="32"/>
          <w:szCs w:val="32"/>
        </w:rPr>
        <w:t>遵守了相关法规政策，有效发挥了</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rPr>
        <w:t>资金的使用效</w:t>
      </w:r>
      <w:r>
        <w:rPr>
          <w:rFonts w:hint="eastAsia" w:ascii="仿宋_GB2312" w:hAnsi="仿宋_GB2312" w:eastAsia="仿宋_GB2312" w:cs="仿宋_GB2312"/>
          <w:color w:val="auto"/>
          <w:sz w:val="32"/>
          <w:szCs w:val="32"/>
          <w:lang w:val="en-US" w:eastAsia="zh-CN"/>
        </w:rPr>
        <w:t>益</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考评得分</w:t>
      </w:r>
      <w:r>
        <w:rPr>
          <w:rFonts w:hint="eastAsia" w:ascii="仿宋_GB2312" w:hAnsi="仿宋_GB2312" w:eastAsia="仿宋_GB2312" w:cs="仿宋_GB2312"/>
          <w:color w:val="auto"/>
          <w:sz w:val="32"/>
          <w:szCs w:val="32"/>
          <w:lang w:eastAsia="zh-CN"/>
        </w:rPr>
        <w:t>均在</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6.33</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，考评等次</w:t>
      </w:r>
      <w:r>
        <w:rPr>
          <w:rFonts w:hint="eastAsia" w:ascii="仿宋_GB2312" w:hAnsi="仿宋_GB2312" w:eastAsia="仿宋_GB2312" w:cs="仿宋_GB2312"/>
          <w:color w:val="auto"/>
          <w:sz w:val="32"/>
          <w:szCs w:val="32"/>
          <w:lang w:eastAsia="zh-CN"/>
        </w:rPr>
        <w:t>均</w:t>
      </w:r>
      <w:r>
        <w:rPr>
          <w:rFonts w:hint="eastAsia" w:ascii="仿宋_GB2312" w:hAnsi="仿宋_GB2312" w:eastAsia="仿宋_GB2312" w:cs="仿宋_GB2312"/>
          <w:color w:val="auto"/>
          <w:sz w:val="32"/>
          <w:szCs w:val="32"/>
        </w:rPr>
        <w:t>为优秀。</w:t>
      </w:r>
    </w:p>
    <w:p>
      <w:pPr>
        <w:pStyle w:val="3"/>
        <w:numPr>
          <w:ilvl w:val="0"/>
          <w:numId w:val="3"/>
        </w:numPr>
        <w:ind w:left="0" w:leftChars="0" w:firstLine="640" w:firstLineChars="200"/>
        <w:rPr>
          <w:rFonts w:hint="eastAsia" w:ascii="楷体_GB2312" w:hAnsi="楷体_GB2312" w:eastAsia="楷体_GB2312" w:cs="楷体_GB2312"/>
          <w:b/>
          <w:bCs/>
          <w:color w:val="auto"/>
          <w:sz w:val="32"/>
          <w:szCs w:val="32"/>
          <w:lang w:val="en-US" w:eastAsia="zh-CN"/>
        </w:rPr>
      </w:pPr>
      <w:r>
        <w:rPr>
          <w:rFonts w:hint="eastAsia" w:ascii="方正黑体_GBK" w:hAnsi="方正黑体_GBK" w:eastAsia="方正黑体_GBK" w:cs="方正黑体_GBK"/>
          <w:b/>
          <w:bCs/>
          <w:color w:val="auto"/>
          <w:sz w:val="32"/>
          <w:szCs w:val="32"/>
          <w:lang w:val="en-US" w:eastAsia="zh-CN"/>
        </w:rPr>
        <w:t>项目主要绩效情况分析</w:t>
      </w:r>
    </w:p>
    <w:p>
      <w:pPr>
        <w:pStyle w:val="4"/>
        <w:widowControl w:val="0"/>
        <w:numPr>
          <w:ilvl w:val="0"/>
          <w:numId w:val="0"/>
        </w:numPr>
        <w:ind w:firstLine="640" w:firstLineChars="200"/>
        <w:jc w:val="both"/>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b w:val="0"/>
          <w:bCs w:val="0"/>
          <w:sz w:val="32"/>
          <w:szCs w:val="32"/>
        </w:rPr>
        <w:t>中心坚持强化使命担当，紧贴民生需求，主动服务</w:t>
      </w:r>
      <w:r>
        <w:rPr>
          <w:rFonts w:hint="eastAsia" w:ascii="仿宋_GB2312" w:hAnsi="仿宋_GB2312" w:eastAsia="仿宋_GB2312" w:cs="仿宋_GB2312"/>
          <w:b w:val="0"/>
          <w:bCs w:val="0"/>
          <w:kern w:val="0"/>
          <w:sz w:val="32"/>
          <w:szCs w:val="32"/>
        </w:rPr>
        <w:t>城市管理</w:t>
      </w:r>
      <w:r>
        <w:rPr>
          <w:rFonts w:hint="eastAsia" w:ascii="仿宋_GB2312" w:hAnsi="仿宋_GB2312" w:eastAsia="仿宋_GB2312" w:cs="仿宋_GB2312"/>
          <w:b w:val="0"/>
          <w:bCs w:val="0"/>
          <w:sz w:val="32"/>
          <w:szCs w:val="32"/>
        </w:rPr>
        <w:t>大局，</w:t>
      </w:r>
      <w:r>
        <w:rPr>
          <w:rFonts w:hint="eastAsia" w:ascii="仿宋_GB2312" w:hAnsi="仿宋_GB2312" w:eastAsia="仿宋_GB2312" w:cs="仿宋_GB2312"/>
          <w:b w:val="0"/>
          <w:bCs w:val="0"/>
          <w:sz w:val="32"/>
          <w:szCs w:val="32"/>
          <w:lang w:val="en-US" w:eastAsia="zh-CN"/>
        </w:rPr>
        <w:t>在中心城区路灯和公用亮化设施管理方面，以</w:t>
      </w:r>
      <w:r>
        <w:rPr>
          <w:rFonts w:hint="eastAsia" w:ascii="仿宋_GB2312" w:hAnsi="仿宋_GB2312" w:eastAsia="仿宋_GB2312" w:cs="仿宋_GB2312"/>
          <w:b w:val="0"/>
          <w:bCs w:val="0"/>
          <w:kern w:val="0"/>
          <w:sz w:val="32"/>
          <w:szCs w:val="32"/>
        </w:rPr>
        <w:t>擦亮擦新“城市照明”</w:t>
      </w:r>
      <w:r>
        <w:rPr>
          <w:rFonts w:hint="eastAsia" w:ascii="仿宋_GB2312" w:hAnsi="仿宋_GB2312" w:eastAsia="仿宋_GB2312" w:cs="仿宋_GB2312"/>
          <w:b w:val="0"/>
          <w:bCs w:val="0"/>
          <w:kern w:val="0"/>
          <w:sz w:val="32"/>
          <w:szCs w:val="32"/>
          <w:lang w:val="en-US" w:eastAsia="zh-CN"/>
        </w:rPr>
        <w:t>为</w:t>
      </w:r>
      <w:r>
        <w:rPr>
          <w:rFonts w:hint="eastAsia" w:ascii="仿宋_GB2312" w:hAnsi="仿宋_GB2312" w:eastAsia="仿宋_GB2312" w:cs="仿宋_GB2312"/>
          <w:b w:val="0"/>
          <w:bCs w:val="0"/>
          <w:kern w:val="0"/>
          <w:sz w:val="32"/>
          <w:szCs w:val="32"/>
          <w:lang w:eastAsia="zh-CN"/>
        </w:rPr>
        <w:t>目</w:t>
      </w:r>
      <w:r>
        <w:rPr>
          <w:rFonts w:hint="eastAsia" w:ascii="仿宋_GB2312" w:hAnsi="仿宋_GB2312" w:eastAsia="仿宋_GB2312" w:cs="仿宋_GB2312"/>
          <w:b w:val="0"/>
          <w:bCs w:val="0"/>
          <w:kern w:val="0"/>
          <w:sz w:val="32"/>
          <w:szCs w:val="32"/>
        </w:rPr>
        <w:t>标，</w:t>
      </w:r>
      <w:r>
        <w:rPr>
          <w:rFonts w:hint="eastAsia" w:ascii="仿宋_GB2312" w:hAnsi="仿宋_GB2312" w:eastAsia="仿宋_GB2312" w:cs="仿宋_GB2312"/>
          <w:b w:val="0"/>
          <w:bCs w:val="0"/>
          <w:sz w:val="32"/>
          <w:szCs w:val="32"/>
        </w:rPr>
        <w:t>精细管理抓落实</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kern w:val="0"/>
          <w:sz w:val="32"/>
          <w:szCs w:val="32"/>
        </w:rPr>
        <w:t>全年</w:t>
      </w:r>
      <w:r>
        <w:rPr>
          <w:rFonts w:hint="eastAsia" w:ascii="仿宋_GB2312" w:hAnsi="仿宋_GB2312" w:eastAsia="仿宋_GB2312" w:cs="仿宋_GB2312"/>
          <w:kern w:val="0"/>
          <w:sz w:val="32"/>
          <w:szCs w:val="32"/>
          <w:lang w:eastAsia="zh-CN"/>
        </w:rPr>
        <w:t>维修</w:t>
      </w:r>
      <w:r>
        <w:rPr>
          <w:rFonts w:hint="eastAsia" w:ascii="仿宋_GB2312" w:hAnsi="仿宋_GB2312" w:eastAsia="仿宋_GB2312" w:cs="仿宋_GB2312"/>
          <w:kern w:val="0"/>
          <w:sz w:val="32"/>
          <w:szCs w:val="32"/>
        </w:rPr>
        <w:t>出车1454次（</w:t>
      </w:r>
      <w:r>
        <w:rPr>
          <w:rFonts w:hint="eastAsia" w:ascii="仿宋_GB2312" w:hAnsi="仿宋_GB2312" w:eastAsia="仿宋_GB2312" w:cs="仿宋_GB2312"/>
          <w:kern w:val="0"/>
          <w:sz w:val="32"/>
          <w:szCs w:val="32"/>
          <w:lang w:eastAsia="zh-CN"/>
        </w:rPr>
        <w:t>其中，</w:t>
      </w:r>
      <w:r>
        <w:rPr>
          <w:rFonts w:hint="eastAsia" w:ascii="仿宋_GB2312" w:hAnsi="仿宋_GB2312" w:eastAsia="仿宋_GB2312" w:cs="仿宋_GB2312"/>
          <w:kern w:val="0"/>
          <w:sz w:val="32"/>
          <w:szCs w:val="32"/>
        </w:rPr>
        <w:t>夜间维修</w:t>
      </w:r>
      <w:r>
        <w:rPr>
          <w:rFonts w:hint="eastAsia" w:ascii="仿宋_GB2312" w:hAnsi="仿宋_GB2312" w:eastAsia="仿宋_GB2312" w:cs="仿宋_GB2312"/>
          <w:kern w:val="0"/>
          <w:sz w:val="32"/>
          <w:szCs w:val="32"/>
          <w:lang w:eastAsia="zh-CN"/>
        </w:rPr>
        <w:t>出车</w:t>
      </w:r>
      <w:r>
        <w:rPr>
          <w:rFonts w:hint="eastAsia" w:ascii="仿宋_GB2312" w:hAnsi="仿宋_GB2312" w:eastAsia="仿宋_GB2312" w:cs="仿宋_GB2312"/>
          <w:kern w:val="0"/>
          <w:sz w:val="32"/>
          <w:szCs w:val="32"/>
          <w:lang w:val="en-US" w:eastAsia="zh-CN"/>
        </w:rPr>
        <w:t>156</w:t>
      </w:r>
      <w:r>
        <w:rPr>
          <w:rFonts w:hint="eastAsia" w:ascii="仿宋_GB2312" w:hAnsi="仿宋_GB2312" w:eastAsia="仿宋_GB2312" w:cs="仿宋_GB2312"/>
          <w:kern w:val="0"/>
          <w:sz w:val="32"/>
          <w:szCs w:val="32"/>
        </w:rPr>
        <w:t>次），处置</w:t>
      </w:r>
      <w:r>
        <w:rPr>
          <w:rFonts w:hint="eastAsia" w:ascii="仿宋_GB2312" w:hAnsi="仿宋_GB2312" w:eastAsia="仿宋_GB2312" w:cs="仿宋_GB2312"/>
          <w:kern w:val="0"/>
          <w:sz w:val="32"/>
          <w:szCs w:val="32"/>
          <w:lang w:eastAsia="zh-CN"/>
        </w:rPr>
        <w:t>政府热线等</w:t>
      </w:r>
      <w:r>
        <w:rPr>
          <w:rFonts w:hint="eastAsia" w:ascii="仿宋_GB2312" w:hAnsi="仿宋_GB2312" w:eastAsia="仿宋_GB2312" w:cs="仿宋_GB2312"/>
          <w:kern w:val="0"/>
          <w:sz w:val="32"/>
          <w:szCs w:val="32"/>
        </w:rPr>
        <w:t>各类来电来访件715件，</w:t>
      </w:r>
      <w:r>
        <w:rPr>
          <w:rFonts w:hint="eastAsia" w:ascii="仿宋_GB2312" w:hAnsi="仿宋_GB2312" w:eastAsia="仿宋_GB2312" w:cs="仿宋_GB2312"/>
          <w:color w:val="auto"/>
          <w:kern w:val="0"/>
          <w:sz w:val="32"/>
          <w:szCs w:val="32"/>
          <w:lang w:eastAsia="zh-CN"/>
        </w:rPr>
        <w:t>处置设施、配电故障</w:t>
      </w:r>
      <w:r>
        <w:rPr>
          <w:rFonts w:hint="eastAsia" w:ascii="仿宋_GB2312" w:hAnsi="仿宋_GB2312" w:eastAsia="仿宋_GB2312" w:cs="仿宋_GB2312"/>
          <w:color w:val="auto"/>
          <w:kern w:val="0"/>
          <w:sz w:val="32"/>
          <w:szCs w:val="32"/>
        </w:rPr>
        <w:t>484起</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累计更换故障路灯线缆29762米，新敷设管道982米，维修灯具2025套</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更换监控终端81台</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kern w:val="0"/>
          <w:sz w:val="32"/>
          <w:szCs w:val="32"/>
          <w:lang w:val="en-US" w:eastAsia="zh-CN"/>
        </w:rPr>
        <w:t>新</w:t>
      </w:r>
      <w:r>
        <w:rPr>
          <w:rFonts w:hint="eastAsia" w:ascii="仿宋_GB2312" w:hAnsi="仿宋_GB2312" w:eastAsia="仿宋_GB2312" w:cs="仿宋_GB2312"/>
          <w:kern w:val="0"/>
          <w:sz w:val="32"/>
          <w:szCs w:val="32"/>
        </w:rPr>
        <w:t>接管九华山路等</w:t>
      </w:r>
      <w:r>
        <w:rPr>
          <w:rFonts w:hint="eastAsia" w:ascii="仿宋_GB2312" w:hAnsi="仿宋_GB2312" w:eastAsia="仿宋_GB2312" w:cs="仿宋_GB2312"/>
          <w:kern w:val="0"/>
          <w:sz w:val="32"/>
          <w:szCs w:val="32"/>
          <w:lang w:val="en-US" w:eastAsia="zh-CN"/>
        </w:rPr>
        <w:t>7条</w:t>
      </w:r>
      <w:r>
        <w:rPr>
          <w:rFonts w:hint="eastAsia" w:ascii="仿宋_GB2312" w:hAnsi="仿宋_GB2312" w:eastAsia="仿宋_GB2312" w:cs="仿宋_GB2312"/>
          <w:kern w:val="0"/>
          <w:sz w:val="32"/>
          <w:szCs w:val="32"/>
        </w:rPr>
        <w:t>道路路灯共203基641盏。特别是，中心</w:t>
      </w:r>
      <w:r>
        <w:rPr>
          <w:rFonts w:hint="eastAsia" w:ascii="仿宋_GB2312" w:hAnsi="仿宋_GB2312" w:eastAsia="仿宋_GB2312" w:cs="仿宋_GB2312"/>
          <w:kern w:val="0"/>
          <w:sz w:val="32"/>
          <w:szCs w:val="32"/>
          <w:lang w:val="en-US" w:eastAsia="zh-CN"/>
        </w:rPr>
        <w:t>支委会</w:t>
      </w:r>
      <w:r>
        <w:rPr>
          <w:rFonts w:hint="eastAsia" w:ascii="仿宋_GB2312" w:hAnsi="仿宋_GB2312" w:eastAsia="仿宋_GB2312" w:cs="仿宋_GB2312"/>
          <w:kern w:val="0"/>
          <w:sz w:val="32"/>
          <w:szCs w:val="32"/>
        </w:rPr>
        <w:t>提前出台雨雪冰冻天气应对预案，成立冰雪天气应急专班，及时恢复</w:t>
      </w:r>
      <w:r>
        <w:rPr>
          <w:rFonts w:hint="eastAsia" w:ascii="仿宋_GB2312" w:hAnsi="仿宋_GB2312" w:eastAsia="仿宋_GB2312" w:cs="仿宋_GB2312"/>
          <w:kern w:val="0"/>
          <w:sz w:val="32"/>
          <w:szCs w:val="32"/>
          <w:lang w:eastAsia="zh-CN"/>
        </w:rPr>
        <w:t>倒杆</w:t>
      </w:r>
      <w:r>
        <w:rPr>
          <w:rFonts w:hint="eastAsia" w:ascii="仿宋_GB2312" w:hAnsi="仿宋_GB2312" w:eastAsia="仿宋_GB2312" w:cs="仿宋_GB2312"/>
          <w:kern w:val="0"/>
          <w:sz w:val="32"/>
          <w:szCs w:val="32"/>
        </w:rPr>
        <w:t>路灯5基，拆换灯杆2基，更换赶山西路烧毁路灯专变1台；处理主城区路灯线路故障30起，景观照明故障10余起</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color w:val="auto"/>
          <w:kern w:val="0"/>
          <w:sz w:val="32"/>
          <w:szCs w:val="32"/>
        </w:rPr>
        <w:t>确保了中心城区</w:t>
      </w:r>
      <w:r>
        <w:rPr>
          <w:rFonts w:hint="eastAsia" w:ascii="仿宋_GB2312" w:hAnsi="仿宋_GB2312" w:eastAsia="仿宋_GB2312" w:cs="仿宋_GB2312"/>
          <w:color w:val="auto"/>
          <w:kern w:val="2"/>
          <w:sz w:val="32"/>
          <w:szCs w:val="32"/>
          <w:lang w:val="en-US" w:eastAsia="zh-CN" w:bidi="ar"/>
        </w:rPr>
        <w:t>装灯率达100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亮灯率、设施完好率</w:t>
      </w:r>
      <w:r>
        <w:rPr>
          <w:rFonts w:hint="eastAsia" w:ascii="仿宋_GB2312" w:hAnsi="仿宋_GB2312" w:eastAsia="仿宋_GB2312" w:cs="仿宋_GB2312"/>
          <w:color w:val="auto"/>
          <w:kern w:val="0"/>
          <w:sz w:val="32"/>
          <w:szCs w:val="32"/>
          <w:lang w:val="en-US" w:eastAsia="zh-CN"/>
        </w:rPr>
        <w:t>达</w:t>
      </w:r>
      <w:r>
        <w:rPr>
          <w:rFonts w:hint="eastAsia" w:ascii="仿宋_GB2312" w:hAnsi="仿宋_GB2312" w:eastAsia="仿宋_GB2312" w:cs="仿宋_GB2312"/>
          <w:color w:val="auto"/>
          <w:kern w:val="0"/>
          <w:sz w:val="32"/>
          <w:szCs w:val="32"/>
        </w:rPr>
        <w:t>98%以上，重大活动、重要节日期间达到99%以上</w:t>
      </w:r>
      <w:r>
        <w:rPr>
          <w:rFonts w:hint="eastAsia" w:ascii="仿宋_GB2312" w:hAnsi="仿宋_GB2312" w:eastAsia="仿宋_GB2312" w:cs="仿宋_GB2312"/>
          <w:color w:val="auto"/>
          <w:kern w:val="0"/>
          <w:sz w:val="32"/>
          <w:szCs w:val="32"/>
          <w:lang w:val="en-US" w:eastAsia="zh-CN"/>
        </w:rPr>
        <w:t>的</w:t>
      </w:r>
      <w:r>
        <w:rPr>
          <w:rFonts w:hint="eastAsia" w:ascii="仿宋_GB2312" w:hAnsi="仿宋_GB2312" w:eastAsia="仿宋_GB2312" w:cs="仿宋_GB2312"/>
          <w:color w:val="auto"/>
          <w:kern w:val="0"/>
          <w:sz w:val="32"/>
          <w:szCs w:val="32"/>
        </w:rPr>
        <w:t>目标</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为广大市民夜间出行提供了强有力的安全保障。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US"/>
        </w:rPr>
      </w:pPr>
      <w:r>
        <w:rPr>
          <w:rFonts w:hint="eastAsia" w:ascii="仿宋_GB2312" w:hAnsi="仿宋_GB2312" w:eastAsia="仿宋_GB2312" w:cs="仿宋_GB2312"/>
          <w:kern w:val="0"/>
          <w:sz w:val="32"/>
          <w:szCs w:val="32"/>
        </w:rPr>
        <w:t>按照年度</w:t>
      </w:r>
      <w:r>
        <w:rPr>
          <w:rFonts w:hint="eastAsia" w:ascii="仿宋_GB2312" w:hAnsi="仿宋_GB2312" w:eastAsia="仿宋_GB2312" w:cs="仿宋_GB2312"/>
          <w:kern w:val="0"/>
          <w:sz w:val="32"/>
          <w:szCs w:val="32"/>
          <w:lang w:val="en-US" w:eastAsia="zh-CN"/>
        </w:rPr>
        <w:t>工作</w:t>
      </w:r>
      <w:r>
        <w:rPr>
          <w:rFonts w:hint="eastAsia" w:ascii="仿宋_GB2312" w:hAnsi="仿宋_GB2312" w:eastAsia="仿宋_GB2312" w:cs="仿宋_GB2312"/>
          <w:kern w:val="0"/>
          <w:sz w:val="32"/>
          <w:szCs w:val="32"/>
        </w:rPr>
        <w:t>计划，</w:t>
      </w:r>
      <w:r>
        <w:rPr>
          <w:rFonts w:hint="eastAsia" w:ascii="仿宋_GB2312" w:hAnsi="仿宋_GB2312" w:eastAsia="仿宋_GB2312" w:cs="仿宋_GB2312"/>
          <w:kern w:val="0"/>
          <w:sz w:val="32"/>
          <w:szCs w:val="32"/>
          <w:lang w:eastAsia="zh-CN"/>
        </w:rPr>
        <w:t>中心</w:t>
      </w:r>
      <w:r>
        <w:rPr>
          <w:rFonts w:hint="eastAsia" w:ascii="仿宋_GB2312" w:hAnsi="仿宋_GB2312" w:eastAsia="仿宋_GB2312" w:cs="仿宋_GB2312"/>
          <w:kern w:val="0"/>
          <w:sz w:val="32"/>
          <w:szCs w:val="32"/>
        </w:rPr>
        <w:t>对市教体局等16</w:t>
      </w:r>
      <w:r>
        <w:rPr>
          <w:rFonts w:hint="eastAsia" w:ascii="仿宋_GB2312" w:hAnsi="仿宋_GB2312" w:eastAsia="仿宋_GB2312" w:cs="仿宋_GB2312"/>
          <w:kern w:val="0"/>
          <w:sz w:val="32"/>
          <w:szCs w:val="32"/>
          <w:lang w:eastAsia="zh-CN"/>
        </w:rPr>
        <w:t>栋楼宇</w:t>
      </w:r>
      <w:r>
        <w:rPr>
          <w:rFonts w:hint="eastAsia" w:ascii="仿宋_GB2312" w:hAnsi="仿宋_GB2312" w:eastAsia="仿宋_GB2312" w:cs="仿宋_GB2312"/>
          <w:kern w:val="0"/>
          <w:sz w:val="32"/>
          <w:szCs w:val="32"/>
        </w:rPr>
        <w:t>进行</w:t>
      </w:r>
      <w:r>
        <w:rPr>
          <w:rFonts w:hint="eastAsia" w:ascii="仿宋_GB2312" w:hAnsi="仿宋_GB2312" w:eastAsia="仿宋_GB2312" w:cs="仿宋_GB2312"/>
          <w:kern w:val="0"/>
          <w:sz w:val="32"/>
          <w:szCs w:val="32"/>
          <w:lang w:eastAsia="zh-CN"/>
        </w:rPr>
        <w:t>了</w:t>
      </w:r>
      <w:r>
        <w:rPr>
          <w:rFonts w:hint="eastAsia" w:ascii="仿宋_GB2312" w:hAnsi="仿宋_GB2312" w:eastAsia="仿宋_GB2312" w:cs="仿宋_GB2312"/>
          <w:kern w:val="0"/>
          <w:sz w:val="32"/>
          <w:szCs w:val="32"/>
        </w:rPr>
        <w:t>亮化大修</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确保城区景观照明的整体性、艺术性，形成了和谐、雅致、丰富的城市夜间景观</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增加了市民夜间休闲的空间。</w:t>
      </w:r>
      <w:r>
        <w:rPr>
          <w:rFonts w:hint="eastAsia" w:ascii="仿宋_GB2312" w:hAnsi="仿宋_GB2312" w:eastAsia="仿宋_GB2312" w:cs="仿宋_GB2312"/>
          <w:kern w:val="0"/>
          <w:sz w:val="32"/>
          <w:szCs w:val="32"/>
        </w:rPr>
        <w:t>春节前夕，在南湖广场、巴陵广场、岳阳大道隔离带共设置9处大型景观亮化造型，邕园路、新路口等18处主要路口及广场入口悬挂火红大灯笼</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营造</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喜庆祥和、平安幸福的节日氛围</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增加了市民的幸福感和获得感，得到了领导、市民和返乡旅客的称赞。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sz w:val="32"/>
          <w:szCs w:val="32"/>
        </w:rPr>
        <w:t>住建部节能改造和</w:t>
      </w:r>
      <w:r>
        <w:rPr>
          <w:rFonts w:hint="eastAsia" w:ascii="仿宋_GB2312" w:hAnsi="仿宋_GB2312" w:eastAsia="仿宋_GB2312" w:cs="仿宋_GB2312"/>
          <w:kern w:val="0"/>
          <w:sz w:val="32"/>
          <w:szCs w:val="32"/>
          <w:lang w:val="en-US" w:eastAsia="zh-CN" w:bidi="ar-SA"/>
        </w:rPr>
        <w:t>《岳阳市主城区城市照明专项规划（2021-2035）》</w:t>
      </w:r>
      <w:r>
        <w:rPr>
          <w:rFonts w:hint="eastAsia" w:ascii="仿宋_GB2312" w:hAnsi="仿宋_GB2312" w:eastAsia="仿宋_GB2312" w:cs="仿宋_GB2312"/>
          <w:sz w:val="32"/>
          <w:szCs w:val="32"/>
        </w:rPr>
        <w:t>相关要求</w:t>
      </w:r>
      <w:r>
        <w:rPr>
          <w:rFonts w:hint="eastAsia" w:ascii="仿宋_GB2312" w:hAnsi="仿宋_GB2312" w:eastAsia="仿宋_GB2312" w:cs="仿宋_GB2312"/>
          <w:sz w:val="32"/>
          <w:szCs w:val="32"/>
          <w:lang w:val="en-US" w:eastAsia="zh-CN"/>
        </w:rPr>
        <w:t>为指引，</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金凤桥北路、海关路、建湘南路等30条主次干道绿色照明改造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kern w:val="0"/>
          <w:sz w:val="32"/>
          <w:szCs w:val="32"/>
        </w:rPr>
        <w:t>积极推行路灯单灯控制，</w:t>
      </w:r>
      <w:r>
        <w:rPr>
          <w:rFonts w:hint="eastAsia" w:ascii="仿宋_GB2312" w:hAnsi="仿宋_GB2312" w:eastAsia="仿宋_GB2312" w:cs="仿宋_GB2312"/>
          <w:sz w:val="32"/>
          <w:szCs w:val="32"/>
        </w:rPr>
        <w:t>完成</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岳阳大道、洞庭大道、奇康路等10余条道路4052套单灯控制器的安装</w:t>
      </w:r>
      <w:r>
        <w:rPr>
          <w:rFonts w:hint="eastAsia" w:ascii="仿宋_GB2312" w:hAnsi="仿宋_GB2312" w:eastAsia="仿宋_GB2312" w:cs="仿宋_GB2312"/>
          <w:kern w:val="0"/>
          <w:sz w:val="32"/>
          <w:szCs w:val="32"/>
        </w:rPr>
        <w:t>，实现精细化按需照明。</w:t>
      </w:r>
      <w:r>
        <w:rPr>
          <w:rFonts w:hint="eastAsia" w:ascii="仿宋_GB2312" w:hAnsi="仿宋_GB2312" w:eastAsia="仿宋_GB2312" w:cs="仿宋_GB2312"/>
          <w:kern w:val="0"/>
          <w:sz w:val="32"/>
          <w:szCs w:val="32"/>
          <w:lang w:val="en-US" w:eastAsia="zh-CN"/>
        </w:rPr>
        <w:t>推动中心城区路灯及公用亮化设施向绿色、低碳、环保的方向发展，达到了</w:t>
      </w:r>
      <w:r>
        <w:rPr>
          <w:rFonts w:hint="eastAsia" w:ascii="仿宋_GB2312" w:hAnsi="仿宋_GB2312" w:eastAsia="仿宋_GB2312" w:cs="仿宋_GB2312"/>
          <w:sz w:val="32"/>
          <w:szCs w:val="32"/>
          <w:lang w:eastAsia="zh-CN"/>
        </w:rPr>
        <w:t>灯更亮、路更明、电更省</w:t>
      </w:r>
      <w:r>
        <w:rPr>
          <w:rFonts w:hint="eastAsia" w:ascii="仿宋_GB2312" w:hAnsi="仿宋_GB2312" w:eastAsia="仿宋_GB2312" w:cs="仿宋_GB2312"/>
          <w:sz w:val="32"/>
          <w:szCs w:val="32"/>
          <w:lang w:val="en-US" w:eastAsia="zh-CN"/>
        </w:rPr>
        <w:t>的良好效果。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val="0"/>
          <w:kern w:val="2"/>
          <w:sz w:val="32"/>
          <w:szCs w:val="32"/>
          <w:lang w:val="en-US" w:eastAsia="zh-CN" w:bidi="ar"/>
        </w:rPr>
        <w:t>深化落实“六区”标准化考核要求，对“六区”的333条主次干道和小街小巷的照明设施完好率、亮灯率</w:t>
      </w:r>
      <w:r>
        <w:rPr>
          <w:rFonts w:hint="eastAsia" w:ascii="仿宋_GB2312" w:hAnsi="仿宋_GB2312" w:eastAsia="仿宋_GB2312" w:cs="仿宋_GB2312"/>
          <w:b w:val="0"/>
          <w:bCs w:val="0"/>
          <w:sz w:val="32"/>
          <w:szCs w:val="32"/>
          <w:lang w:val="en-US" w:eastAsia="zh-CN"/>
        </w:rPr>
        <w:t>考评24次</w:t>
      </w:r>
      <w:r>
        <w:rPr>
          <w:rFonts w:hint="eastAsia" w:ascii="仿宋_GB2312" w:hAnsi="仿宋_GB2312" w:eastAsia="仿宋_GB2312" w:cs="仿宋_GB2312"/>
          <w:b w:val="0"/>
          <w:bCs w:val="0"/>
          <w:kern w:val="2"/>
          <w:sz w:val="32"/>
          <w:szCs w:val="32"/>
          <w:lang w:val="en-US" w:eastAsia="zh-CN" w:bidi="ar"/>
        </w:rPr>
        <w:t>，累计发现问题320处</w:t>
      </w:r>
      <w:r>
        <w:rPr>
          <w:rFonts w:hint="eastAsia" w:ascii="仿宋_GB2312" w:hAnsi="仿宋_GB2312" w:eastAsia="仿宋_GB2312" w:cs="仿宋_GB2312"/>
          <w:b w:val="0"/>
          <w:bCs w:val="0"/>
          <w:sz w:val="32"/>
          <w:szCs w:val="32"/>
          <w:lang w:eastAsia="zh-CN"/>
        </w:rPr>
        <w:t>，为</w:t>
      </w:r>
      <w:r>
        <w:rPr>
          <w:rFonts w:hint="eastAsia" w:ascii="仿宋_GB2312" w:hAnsi="仿宋_GB2312" w:eastAsia="仿宋_GB2312" w:cs="仿宋_GB2312"/>
          <w:b w:val="0"/>
          <w:bCs w:val="0"/>
          <w:kern w:val="2"/>
          <w:sz w:val="32"/>
          <w:szCs w:val="32"/>
          <w:lang w:val="en-US" w:eastAsia="zh-CN" w:bidi="ar"/>
        </w:rPr>
        <w:t>高标准高质量做好城市管理提供了重要抓手，推动了</w:t>
      </w:r>
      <w:r>
        <w:rPr>
          <w:rFonts w:hint="eastAsia" w:ascii="仿宋_GB2312" w:hAnsi="仿宋_GB2312" w:eastAsia="仿宋_GB2312" w:cs="仿宋_GB2312"/>
          <w:kern w:val="0"/>
          <w:sz w:val="32"/>
          <w:szCs w:val="32"/>
        </w:rPr>
        <w:t>城市照明</w:t>
      </w:r>
      <w:r>
        <w:rPr>
          <w:rFonts w:hint="eastAsia" w:ascii="仿宋_GB2312" w:hAnsi="仿宋_GB2312" w:eastAsia="仿宋_GB2312" w:cs="仿宋_GB2312"/>
          <w:kern w:val="0"/>
          <w:sz w:val="32"/>
          <w:szCs w:val="32"/>
          <w:lang w:val="en-US" w:eastAsia="zh-CN"/>
        </w:rPr>
        <w:t>事业</w:t>
      </w:r>
      <w:r>
        <w:rPr>
          <w:rFonts w:hint="eastAsia" w:ascii="仿宋_GB2312" w:hAnsi="仿宋_GB2312" w:eastAsia="仿宋_GB2312" w:cs="仿宋_GB2312"/>
          <w:kern w:val="0"/>
          <w:sz w:val="32"/>
          <w:szCs w:val="32"/>
        </w:rPr>
        <w:t>统一协调、有序发展</w:t>
      </w:r>
      <w:r>
        <w:rPr>
          <w:rFonts w:hint="eastAsia" w:ascii="仿宋_GB2312" w:hAnsi="仿宋_GB2312" w:eastAsia="仿宋_GB2312" w:cs="仿宋_GB231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 w:eastAsia="zh-CN"/>
        </w:rPr>
      </w:pPr>
      <w:r>
        <w:rPr>
          <w:rFonts w:hint="eastAsia" w:ascii="仿宋_GB2312" w:hAnsi="仿宋_GB2312" w:eastAsia="仿宋_GB2312" w:cs="仿宋_GB2312"/>
          <w:kern w:val="0"/>
          <w:sz w:val="32"/>
          <w:szCs w:val="32"/>
          <w:lang w:eastAsia="zh-CN"/>
        </w:rPr>
        <w:t>城市照明事业通过科学管理、智能技术应用及政策支持，实现了设施高效运行、社会效益最大化，推动城市照明事业向绿色、环保、节能的方向发展。对推动城市经济发展与产业升级起到了积极作用，助力了城市文化形象与软实力的提升。</w:t>
      </w:r>
    </w:p>
    <w:p>
      <w:pPr>
        <w:numPr>
          <w:ilvl w:val="0"/>
          <w:numId w:val="0"/>
        </w:numPr>
        <w:ind w:firstLine="640" w:firstLineChars="200"/>
        <w:rPr>
          <w:rFonts w:hint="eastAsia" w:ascii="方正黑体_GBK" w:hAnsi="方正黑体_GBK" w:eastAsia="方正黑体_GBK" w:cs="方正黑体_GBK"/>
          <w:b/>
          <w:bCs/>
          <w:color w:val="000000"/>
          <w:sz w:val="32"/>
          <w:szCs w:val="32"/>
          <w:highlight w:val="none"/>
          <w:lang w:val="en-US" w:eastAsia="zh-CN"/>
        </w:rPr>
      </w:pPr>
      <w:r>
        <w:rPr>
          <w:rFonts w:hint="eastAsia" w:ascii="方正黑体_GBK" w:hAnsi="方正黑体_GBK" w:eastAsia="方正黑体_GBK" w:cs="方正黑体_GBK"/>
          <w:b/>
          <w:bCs/>
          <w:color w:val="000000"/>
          <w:sz w:val="32"/>
          <w:szCs w:val="32"/>
          <w:highlight w:val="none"/>
          <w:lang w:val="en-US" w:eastAsia="zh-CN"/>
        </w:rPr>
        <w:t>六、存在的问题和下一步计划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val="0"/>
          <w:kern w:val="0"/>
          <w:sz w:val="32"/>
          <w:szCs w:val="32"/>
        </w:rPr>
        <w:t>照明经费保障</w:t>
      </w:r>
      <w:r>
        <w:rPr>
          <w:rFonts w:hint="eastAsia" w:ascii="仿宋_GB2312" w:hAnsi="仿宋_GB2312" w:eastAsia="仿宋_GB2312" w:cs="仿宋_GB2312"/>
          <w:b w:val="0"/>
          <w:bCs w:val="0"/>
          <w:kern w:val="0"/>
          <w:sz w:val="32"/>
          <w:szCs w:val="32"/>
          <w:lang w:val="en-US" w:eastAsia="zh-CN"/>
        </w:rPr>
        <w:t>压力大</w:t>
      </w:r>
      <w:r>
        <w:rPr>
          <w:rFonts w:hint="eastAsia" w:ascii="仿宋_GB2312" w:hAnsi="仿宋_GB2312" w:eastAsia="仿宋_GB2312" w:cs="仿宋_GB2312"/>
          <w:b w:val="0"/>
          <w:bCs w:val="0"/>
          <w:kern w:val="0"/>
          <w:sz w:val="32"/>
          <w:szCs w:val="32"/>
        </w:rPr>
        <w:t>。</w:t>
      </w:r>
      <w:r>
        <w:rPr>
          <w:rFonts w:hint="eastAsia" w:ascii="仿宋_GB2312" w:hAnsi="仿宋_GB2312" w:eastAsia="仿宋_GB2312" w:cs="仿宋_GB2312"/>
          <w:kern w:val="0"/>
          <w:sz w:val="32"/>
          <w:szCs w:val="32"/>
        </w:rPr>
        <w:t>路灯电费、维护费是城市管理运行的刚性支出，在经济下行大背景下，各级财政压力较大，路灯照明经费紧张，影响城市形象和夜间交通保畅，增加</w:t>
      </w:r>
      <w:r>
        <w:rPr>
          <w:rFonts w:hint="eastAsia" w:ascii="仿宋_GB2312" w:hAnsi="仿宋_GB2312" w:eastAsia="仿宋_GB2312" w:cs="仿宋_GB2312"/>
          <w:kern w:val="0"/>
          <w:sz w:val="32"/>
          <w:szCs w:val="32"/>
          <w:lang w:val="en-US" w:eastAsia="zh-CN"/>
        </w:rPr>
        <w:t>了</w:t>
      </w:r>
      <w:r>
        <w:rPr>
          <w:rFonts w:hint="eastAsia" w:ascii="仿宋_GB2312" w:hAnsi="仿宋_GB2312" w:eastAsia="仿宋_GB2312" w:cs="仿宋_GB2312"/>
          <w:kern w:val="0"/>
          <w:sz w:val="32"/>
          <w:szCs w:val="32"/>
        </w:rPr>
        <w:t>安全管理风险。</w:t>
      </w:r>
      <w:r>
        <w:rPr>
          <w:rFonts w:hint="eastAsia" w:ascii="仿宋_GB2312" w:hAnsi="仿宋_GB2312" w:eastAsia="仿宋_GB2312" w:cs="仿宋_GB2312"/>
          <w:kern w:val="0"/>
          <w:sz w:val="32"/>
          <w:szCs w:val="32"/>
          <w:lang w:val="en-US" w:eastAsia="zh-CN"/>
        </w:rPr>
        <w:t>下一步，中心将加强资金统筹调配，科学合理安排预算，加快路灯及公用亮化设施节能改造，降低城市公共服务运行成本。</w:t>
      </w:r>
    </w:p>
    <w:p>
      <w:pPr>
        <w:pStyle w:val="3"/>
        <w:rPr>
          <w:rFonts w:hint="eastAsia"/>
          <w:lang w:eastAsia="zh-CN"/>
        </w:rPr>
      </w:pPr>
    </w:p>
    <w:p>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4</w:t>
      </w:r>
      <w:r>
        <w:rPr>
          <w:rFonts w:hint="eastAsia" w:ascii="仿宋_GB2312" w:hAnsi="仿宋_GB2312" w:eastAsia="仿宋_GB2312" w:cs="仿宋_GB2312"/>
          <w:color w:val="000000"/>
          <w:sz w:val="32"/>
          <w:szCs w:val="32"/>
          <w:highlight w:val="none"/>
        </w:rPr>
        <w:t>年度</w:t>
      </w:r>
      <w:r>
        <w:rPr>
          <w:rFonts w:hint="eastAsia" w:ascii="仿宋_GB2312" w:hAnsi="仿宋_GB2312" w:eastAsia="仿宋_GB2312" w:cs="仿宋_GB2312"/>
          <w:sz w:val="32"/>
          <w:szCs w:val="32"/>
        </w:rPr>
        <w:t>项目支出绩效自评表（</w:t>
      </w:r>
      <w:r>
        <w:rPr>
          <w:rFonts w:hint="eastAsia" w:ascii="仿宋_GB2312" w:hAnsi="仿宋_GB2312" w:eastAsia="仿宋_GB2312" w:cs="仿宋_GB2312"/>
          <w:sz w:val="32"/>
          <w:szCs w:val="32"/>
          <w:lang w:val="en-US" w:eastAsia="zh-CN"/>
        </w:rPr>
        <w:t>1-1至1-7</w:t>
      </w:r>
      <w:r>
        <w:rPr>
          <w:rFonts w:hint="eastAsia" w:ascii="仿宋_GB2312" w:hAnsi="仿宋_GB2312" w:eastAsia="仿宋_GB2312" w:cs="仿宋_GB2312"/>
          <w:sz w:val="32"/>
          <w:szCs w:val="32"/>
        </w:rPr>
        <w:t>表）</w:t>
      </w:r>
    </w:p>
    <w:p>
      <w:pPr>
        <w:pStyle w:val="4"/>
        <w:rPr>
          <w:rFonts w:hint="eastAsia"/>
          <w:lang w:eastAsia="zh-CN"/>
        </w:rPr>
      </w:pPr>
    </w:p>
    <w:p>
      <w:pPr>
        <w:rPr>
          <w:rFonts w:hint="eastAsia"/>
          <w:lang w:eastAsia="zh-CN"/>
        </w:rPr>
      </w:pPr>
    </w:p>
    <w:p>
      <w:pPr>
        <w:pStyle w:val="4"/>
        <w:keepNext w:val="0"/>
        <w:keepLines w:val="0"/>
        <w:pageBreakBefore w:val="0"/>
        <w:wordWrap/>
        <w:overflowPunct/>
        <w:topLinePunct w:val="0"/>
        <w:bidi w:val="0"/>
        <w:spacing w:line="580" w:lineRule="exact"/>
        <w:ind w:firstLine="2240" w:firstLineChars="700"/>
        <w:jc w:val="right"/>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岳阳市城市照明管理中心</w:t>
      </w:r>
    </w:p>
    <w:p>
      <w:pPr>
        <w:keepNext w:val="0"/>
        <w:keepLines w:val="0"/>
        <w:pageBreakBefore w:val="0"/>
        <w:wordWrap/>
        <w:overflowPunct/>
        <w:topLinePunct w:val="0"/>
        <w:bidi w:val="0"/>
        <w:spacing w:line="580" w:lineRule="exact"/>
        <w:rPr>
          <w:rFonts w:hint="default" w:eastAsia="仿宋_GB2312"/>
          <w:lang w:val="en-US" w:eastAsia="zh-CN"/>
        </w:rPr>
      </w:pPr>
      <w:r>
        <w:rPr>
          <w:rFonts w:hint="eastAsia" w:ascii="仿宋_GB2312" w:hAnsi="仿宋_GB2312" w:eastAsia="仿宋_GB2312" w:cs="仿宋_GB2312"/>
          <w:b w:val="0"/>
          <w:bCs w:val="0"/>
          <w:color w:val="000000"/>
          <w:sz w:val="32"/>
          <w:szCs w:val="32"/>
          <w:lang w:val="en-US" w:eastAsia="zh-CN"/>
        </w:rPr>
        <w:t xml:space="preserve">                                 202</w:t>
      </w:r>
      <w:r>
        <w:rPr>
          <w:rFonts w:hint="default" w:ascii="仿宋_GB2312" w:hAnsi="仿宋_GB2312" w:eastAsia="仿宋_GB2312" w:cs="仿宋_GB2312"/>
          <w:b w:val="0"/>
          <w:bCs w:val="0"/>
          <w:color w:val="000000"/>
          <w:sz w:val="32"/>
          <w:szCs w:val="32"/>
          <w:lang w:val="en" w:eastAsia="zh-CN"/>
        </w:rPr>
        <w:t>5</w:t>
      </w:r>
      <w:r>
        <w:rPr>
          <w:rFonts w:hint="eastAsia" w:ascii="仿宋_GB2312" w:hAnsi="仿宋_GB2312" w:eastAsia="仿宋_GB2312" w:cs="仿宋_GB2312"/>
          <w:b w:val="0"/>
          <w:bCs w:val="0"/>
          <w:color w:val="000000"/>
          <w:sz w:val="32"/>
          <w:szCs w:val="32"/>
          <w:lang w:val="en-US" w:eastAsia="zh-CN"/>
        </w:rPr>
        <w:t>年6月25日</w:t>
      </w:r>
    </w:p>
    <w:p>
      <w:pPr>
        <w:rPr>
          <w:rFonts w:hint="eastAsia"/>
          <w:lang w:eastAsia="zh-CN"/>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sz w:val="22"/>
          <w:szCs w:val="2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黑体" w:hAnsi="黑体" w:eastAsia="黑体" w:cs="黑体"/>
          <w:sz w:val="32"/>
          <w:szCs w:val="32"/>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3"/>
        <w:rPr>
          <w:rFonts w:hint="eastAsia"/>
        </w:rPr>
      </w:pPr>
    </w:p>
    <w:tbl>
      <w:tblPr>
        <w:tblStyle w:val="9"/>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rPr>
              <w:t>城区路灯大修经费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4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对城区使用年限较长的变压器130台、配电箱249个等设施进行大修，保障路灯照明及亮化设施安全运行，将老旧变压器更换为节能型变压器，推动路灯节能改造，建设生态绿色城市</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 xml:space="preserve"> </w:t>
            </w:r>
            <w:r>
              <w:rPr>
                <w:rFonts w:hint="eastAsia" w:ascii="仿宋_GB2312" w:hAnsi="仿宋_GB2312" w:eastAsia="仿宋_GB2312" w:cs="仿宋_GB2312"/>
                <w:color w:val="000000"/>
                <w:sz w:val="20"/>
                <w:szCs w:val="20"/>
                <w:lang w:val="en-US" w:eastAsia="zh-CN"/>
              </w:rPr>
              <w:t>对</w:t>
            </w:r>
            <w:r>
              <w:rPr>
                <w:rFonts w:hint="eastAsia" w:ascii="仿宋_GB2312" w:hAnsi="仿宋_GB2312" w:eastAsia="仿宋_GB2312" w:cs="仿宋_GB2312"/>
                <w:color w:val="000000"/>
                <w:sz w:val="20"/>
                <w:szCs w:val="20"/>
              </w:rPr>
              <w:t>城区使用年限较长的变压器、配电箱</w:t>
            </w:r>
            <w:r>
              <w:rPr>
                <w:rFonts w:hint="eastAsia" w:ascii="仿宋_GB2312" w:hAnsi="仿宋_GB2312" w:eastAsia="仿宋_GB2312" w:cs="仿宋_GB2312"/>
                <w:color w:val="000000"/>
                <w:sz w:val="20"/>
                <w:szCs w:val="20"/>
                <w:lang w:eastAsia="zh-CN"/>
              </w:rPr>
              <w:t>等设施</w:t>
            </w:r>
            <w:r>
              <w:rPr>
                <w:rFonts w:hint="eastAsia" w:ascii="仿宋_GB2312" w:hAnsi="仿宋_GB2312" w:eastAsia="仿宋_GB2312" w:cs="仿宋_GB2312"/>
                <w:color w:val="000000"/>
                <w:sz w:val="20"/>
                <w:szCs w:val="20"/>
              </w:rPr>
              <w:t>进行</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大修，保障</w:t>
            </w:r>
            <w:r>
              <w:rPr>
                <w:rFonts w:hint="eastAsia" w:ascii="仿宋_GB2312" w:hAnsi="仿宋_GB2312" w:eastAsia="仿宋_GB2312" w:cs="仿宋_GB2312"/>
                <w:color w:val="000000"/>
                <w:sz w:val="20"/>
                <w:szCs w:val="20"/>
                <w:lang w:val="en-US" w:eastAsia="zh-CN"/>
              </w:rPr>
              <w:t>了</w:t>
            </w:r>
            <w:r>
              <w:rPr>
                <w:rFonts w:hint="eastAsia" w:ascii="仿宋_GB2312" w:hAnsi="仿宋_GB2312" w:eastAsia="仿宋_GB2312" w:cs="仿宋_GB2312"/>
                <w:color w:val="000000"/>
                <w:sz w:val="20"/>
                <w:szCs w:val="20"/>
              </w:rPr>
              <w:t>路灯照明及亮化设施安全运行</w:t>
            </w:r>
            <w:r>
              <w:rPr>
                <w:rFonts w:hint="eastAsia" w:ascii="仿宋_GB2312" w:hAnsi="仿宋_GB2312" w:eastAsia="仿宋_GB2312" w:cs="仿宋_GB2312"/>
                <w:color w:val="000000"/>
                <w:sz w:val="20"/>
                <w:szCs w:val="20"/>
                <w:lang w:eastAsia="zh-CN"/>
              </w:rPr>
              <w:t>，逐步</w:t>
            </w:r>
            <w:r>
              <w:rPr>
                <w:rFonts w:hint="eastAsia" w:ascii="仿宋_GB2312" w:hAnsi="仿宋_GB2312" w:eastAsia="仿宋_GB2312" w:cs="仿宋_GB2312"/>
                <w:color w:val="000000"/>
                <w:sz w:val="20"/>
                <w:szCs w:val="20"/>
              </w:rPr>
              <w:t>将老旧变压器更换为节能型变压器，</w:t>
            </w:r>
            <w:r>
              <w:rPr>
                <w:rFonts w:hint="eastAsia" w:ascii="仿宋_GB2312" w:hAnsi="仿宋_GB2312" w:eastAsia="仿宋_GB2312" w:cs="仿宋_GB2312"/>
                <w:color w:val="000000"/>
                <w:sz w:val="20"/>
                <w:szCs w:val="20"/>
                <w:lang w:eastAsia="zh-CN"/>
              </w:rPr>
              <w:t>为</w:t>
            </w:r>
            <w:r>
              <w:rPr>
                <w:rFonts w:hint="eastAsia" w:ascii="仿宋_GB2312" w:hAnsi="仿宋_GB2312" w:eastAsia="仿宋_GB2312" w:cs="仿宋_GB2312"/>
                <w:color w:val="000000"/>
                <w:sz w:val="20"/>
                <w:szCs w:val="20"/>
              </w:rPr>
              <w:t>推动路灯节能改造，建设生态绿色城市</w:t>
            </w:r>
            <w:r>
              <w:rPr>
                <w:rFonts w:hint="eastAsia" w:ascii="仿宋_GB2312" w:hAnsi="仿宋_GB2312" w:eastAsia="仿宋_GB2312" w:cs="仿宋_GB2312"/>
                <w:color w:val="000000"/>
                <w:sz w:val="20"/>
                <w:szCs w:val="20"/>
                <w:lang w:eastAsia="zh-CN"/>
              </w:rPr>
              <w:t>提供了有力保障。</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变压器维护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130</w:t>
            </w:r>
            <w:r>
              <w:rPr>
                <w:rFonts w:hint="eastAsia" w:ascii="仿宋_GB2312" w:hAnsi="仿宋_GB2312" w:eastAsia="仿宋_GB2312" w:cs="仿宋_GB2312"/>
                <w:color w:val="000000"/>
                <w:sz w:val="20"/>
                <w:szCs w:val="20"/>
                <w:highlight w:val="none"/>
              </w:rPr>
              <w:t>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130</w:t>
            </w:r>
            <w:r>
              <w:rPr>
                <w:rFonts w:hint="eastAsia" w:ascii="仿宋_GB2312" w:hAnsi="仿宋_GB2312" w:eastAsia="仿宋_GB2312" w:cs="仿宋_GB2312"/>
                <w:color w:val="000000"/>
                <w:sz w:val="20"/>
                <w:szCs w:val="20"/>
                <w:highlight w:val="none"/>
              </w:rPr>
              <w:t>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配电箱维护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249个</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249个</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质量符合相关标准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符合电力部门行业标准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均符合电力部门行业标准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按照计划和进度完成本年度维护管理工作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2024年全年</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均按计划如期完成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预算金额35万元内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51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经济成本指标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单台费用控制在0.5万元/台以内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kern w:val="0"/>
                <w:sz w:val="20"/>
                <w:szCs w:val="20"/>
                <w:lang w:val="en-US" w:eastAsia="zh-CN" w:bidi="ar-SA"/>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及时维护，减少次生维护成本。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有效控制维护成本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维护成本得到有效控制</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间接助力经济发展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对助力社会经济发展起到了积极作用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本项目为公益项目</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保障城区路灯设施正常运行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保障城区路灯设施正常运行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城区路灯设施正常运行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夜间出行环境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保障夜间道路交通安全，方便市民夜间出行。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保障了夜间道路交通安全，方便市民夜间出行。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将老旧变压器更换为节能型变压器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推动路灯节能改造，建设生态绿色城市，节约能源</w:t>
            </w:r>
            <w:r>
              <w:rPr>
                <w:rFonts w:hint="eastAsia" w:ascii="仿宋_GB2312" w:hAnsi="仿宋_GB2312" w:eastAsia="仿宋_GB2312" w:cs="仿宋_GB2312"/>
                <w:color w:val="000000"/>
                <w:kern w:val="0"/>
                <w:sz w:val="20"/>
                <w:szCs w:val="20"/>
                <w:lang w:val="en-US" w:eastAsia="zh-CN" w:bidi="ar-SA"/>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老旧变压器</w:t>
            </w:r>
            <w:r>
              <w:rPr>
                <w:rFonts w:hint="default" w:ascii="仿宋_GB2312" w:hAnsi="仿宋_GB2312" w:eastAsia="仿宋_GB2312" w:cs="仿宋_GB2312"/>
                <w:color w:val="000000"/>
                <w:kern w:val="0"/>
                <w:sz w:val="20"/>
                <w:szCs w:val="20"/>
                <w:lang w:val="en-US" w:eastAsia="zh-CN" w:bidi="ar-SA"/>
              </w:rPr>
              <w:t>节能改造</w:t>
            </w:r>
            <w:r>
              <w:rPr>
                <w:rFonts w:hint="eastAsia" w:ascii="仿宋_GB2312" w:hAnsi="仿宋_GB2312" w:eastAsia="仿宋_GB2312" w:cs="仿宋_GB2312"/>
                <w:color w:val="000000"/>
                <w:kern w:val="0"/>
                <w:sz w:val="20"/>
                <w:szCs w:val="20"/>
                <w:lang w:val="en-US" w:eastAsia="zh-CN" w:bidi="ar-SA"/>
              </w:rPr>
              <w:t>工作有序推进</w:t>
            </w:r>
            <w:r>
              <w:rPr>
                <w:rFonts w:hint="default" w:ascii="仿宋_GB2312" w:hAnsi="仿宋_GB2312" w:eastAsia="仿宋_GB2312" w:cs="仿宋_GB2312"/>
                <w:color w:val="000000"/>
                <w:kern w:val="0"/>
                <w:sz w:val="20"/>
                <w:szCs w:val="20"/>
                <w:lang w:val="en-US" w:eastAsia="zh-CN" w:bidi="ar-SA"/>
              </w:rPr>
              <w:t>，节约</w:t>
            </w:r>
            <w:r>
              <w:rPr>
                <w:rFonts w:hint="eastAsia" w:ascii="仿宋_GB2312" w:hAnsi="仿宋_GB2312" w:eastAsia="仿宋_GB2312" w:cs="仿宋_GB2312"/>
                <w:color w:val="000000"/>
                <w:kern w:val="0"/>
                <w:sz w:val="20"/>
                <w:szCs w:val="20"/>
                <w:lang w:val="en-US" w:eastAsia="zh-CN" w:bidi="ar-SA"/>
              </w:rPr>
              <w:t>了</w:t>
            </w:r>
            <w:r>
              <w:rPr>
                <w:rFonts w:hint="default" w:ascii="仿宋_GB2312" w:hAnsi="仿宋_GB2312" w:eastAsia="仿宋_GB2312" w:cs="仿宋_GB2312"/>
                <w:color w:val="000000"/>
                <w:kern w:val="0"/>
                <w:sz w:val="20"/>
                <w:szCs w:val="20"/>
                <w:lang w:val="en-US" w:eastAsia="zh-CN" w:bidi="ar-SA"/>
              </w:rPr>
              <w:t>能源</w:t>
            </w:r>
            <w:r>
              <w:rPr>
                <w:rFonts w:hint="eastAsia" w:ascii="仿宋_GB2312" w:hAnsi="仿宋_GB2312" w:eastAsia="仿宋_GB2312" w:cs="仿宋_GB2312"/>
                <w:color w:val="000000"/>
                <w:kern w:val="0"/>
                <w:sz w:val="20"/>
                <w:szCs w:val="20"/>
                <w:lang w:val="en-US" w:eastAsia="zh-CN" w:bidi="ar-SA"/>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变压器</w:t>
            </w:r>
            <w:r>
              <w:rPr>
                <w:rFonts w:hint="eastAsia" w:ascii="仿宋_GB2312" w:hAnsi="仿宋_GB2312" w:eastAsia="仿宋_GB2312" w:cs="仿宋_GB2312"/>
                <w:color w:val="000000"/>
                <w:sz w:val="20"/>
                <w:szCs w:val="20"/>
                <w:lang w:eastAsia="zh-CN"/>
              </w:rPr>
              <w:t>节能改造进程有待</w:t>
            </w:r>
            <w:r>
              <w:rPr>
                <w:rFonts w:hint="eastAsia" w:ascii="仿宋_GB2312" w:hAnsi="仿宋_GB2312" w:eastAsia="仿宋_GB2312" w:cs="仿宋_GB2312"/>
                <w:color w:val="000000"/>
                <w:sz w:val="20"/>
                <w:szCs w:val="20"/>
                <w:highlight w:val="none"/>
                <w:lang w:eastAsia="zh-CN"/>
              </w:rPr>
              <w:t>加快，下一步加大资金投入，加快更新改造</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路灯设备用电安全保障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保障城区路灯配套设备正常用电安全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保障了城区路灯配套设备正常用电安全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受益对象满意度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8%</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99%</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5"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 xml:space="preserve">2025.6.25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3"/>
        <w:rPr>
          <w:rFonts w:hint="eastAsia"/>
        </w:rPr>
      </w:pPr>
    </w:p>
    <w:tbl>
      <w:tblPr>
        <w:tblStyle w:val="9"/>
        <w:tblW w:w="9851" w:type="dxa"/>
        <w:jc w:val="center"/>
        <w:tblLayout w:type="autofit"/>
        <w:tblCellMar>
          <w:top w:w="0" w:type="dxa"/>
          <w:left w:w="108" w:type="dxa"/>
          <w:bottom w:w="0" w:type="dxa"/>
          <w:right w:w="108" w:type="dxa"/>
        </w:tblCellMar>
      </w:tblPr>
      <w:tblGrid>
        <w:gridCol w:w="1080"/>
        <w:gridCol w:w="1080"/>
        <w:gridCol w:w="1150"/>
        <w:gridCol w:w="1154"/>
        <w:gridCol w:w="1239"/>
        <w:gridCol w:w="1029"/>
        <w:gridCol w:w="828"/>
        <w:gridCol w:w="873"/>
        <w:gridCol w:w="1418"/>
      </w:tblGrid>
      <w:tr>
        <w:tblPrEx>
          <w:tblCellMar>
            <w:top w:w="0" w:type="dxa"/>
            <w:left w:w="108" w:type="dxa"/>
            <w:bottom w:w="0" w:type="dxa"/>
            <w:right w:w="108" w:type="dxa"/>
          </w:tblCellMar>
        </w:tblPrEx>
        <w:trPr>
          <w:trHeight w:val="770"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rPr>
              <w:t>亮化管理计量工作经费</w:t>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1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2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54.05</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54.05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54.05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4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42.00</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42.00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12.05</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12.05</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12.05</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23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4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2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4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34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62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1056"/>
                <w:tab w:val="center" w:pos="2411"/>
              </w:tabs>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对全市325家产权单位的楼宇及4座桥梁亮化进行跟踪管理，完成422块亮化电表的电费进行抄送、核算，保障楼宇及桥梁等亮化设施设备正常运行。</w:t>
            </w:r>
            <w:r>
              <w:rPr>
                <w:rFonts w:hint="default" w:ascii="仿宋_GB2312" w:hAnsi="仿宋_GB2312" w:eastAsia="仿宋_GB2312" w:cs="仿宋_GB2312"/>
                <w:color w:val="000000"/>
                <w:sz w:val="20"/>
                <w:szCs w:val="20"/>
                <w:highlight w:val="none"/>
                <w:lang w:val="en"/>
              </w:rPr>
              <w:tab/>
            </w:r>
            <w:r>
              <w:rPr>
                <w:rFonts w:hint="eastAsia" w:ascii="仿宋_GB2312" w:hAnsi="仿宋_GB2312" w:eastAsia="仿宋_GB2312" w:cs="仿宋_GB2312"/>
                <w:color w:val="000000"/>
                <w:sz w:val="20"/>
                <w:szCs w:val="20"/>
                <w:highlight w:val="none"/>
              </w:rPr>
              <w:t>　　</w:t>
            </w:r>
          </w:p>
        </w:tc>
        <w:tc>
          <w:tcPr>
            <w:tcW w:w="414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 xml:space="preserve"> </w:t>
            </w:r>
            <w:r>
              <w:rPr>
                <w:rFonts w:hint="eastAsia" w:ascii="仿宋_GB2312" w:hAnsi="仿宋_GB2312" w:eastAsia="仿宋_GB2312" w:cs="仿宋_GB2312"/>
                <w:color w:val="000000"/>
                <w:sz w:val="20"/>
                <w:szCs w:val="20"/>
              </w:rPr>
              <w:t>对全市325家产权单位的楼宇及4座桥梁亮化进行</w:t>
            </w:r>
            <w:r>
              <w:rPr>
                <w:rFonts w:hint="eastAsia" w:ascii="仿宋_GB2312" w:hAnsi="仿宋_GB2312" w:eastAsia="仿宋_GB2312" w:cs="仿宋_GB2312"/>
                <w:color w:val="000000"/>
                <w:sz w:val="20"/>
                <w:szCs w:val="20"/>
                <w:lang w:eastAsia="zh-CN"/>
              </w:rPr>
              <w:t>了</w:t>
            </w:r>
            <w:r>
              <w:rPr>
                <w:rFonts w:hint="eastAsia" w:ascii="仿宋_GB2312" w:hAnsi="仿宋_GB2312" w:eastAsia="仿宋_GB2312" w:cs="仿宋_GB2312"/>
                <w:color w:val="000000"/>
                <w:sz w:val="20"/>
                <w:szCs w:val="20"/>
              </w:rPr>
              <w:t>跟踪管理，</w:t>
            </w:r>
            <w:r>
              <w:rPr>
                <w:rFonts w:hint="eastAsia" w:ascii="仿宋_GB2312" w:hAnsi="仿宋_GB2312" w:eastAsia="仿宋_GB2312" w:cs="仿宋_GB2312"/>
                <w:color w:val="000000"/>
                <w:sz w:val="20"/>
                <w:szCs w:val="20"/>
                <w:lang w:eastAsia="zh-CN"/>
              </w:rPr>
              <w:t>及时</w:t>
            </w:r>
            <w:r>
              <w:rPr>
                <w:rFonts w:hint="eastAsia" w:ascii="仿宋_GB2312" w:hAnsi="仿宋_GB2312" w:eastAsia="仿宋_GB2312" w:cs="仿宋_GB2312"/>
                <w:color w:val="000000"/>
                <w:sz w:val="20"/>
                <w:szCs w:val="20"/>
              </w:rPr>
              <w:t>完成</w:t>
            </w:r>
            <w:r>
              <w:rPr>
                <w:rFonts w:hint="eastAsia" w:ascii="仿宋_GB2312" w:hAnsi="仿宋_GB2312" w:eastAsia="仿宋_GB2312" w:cs="仿宋_GB2312"/>
                <w:color w:val="000000"/>
                <w:sz w:val="20"/>
                <w:szCs w:val="20"/>
                <w:lang w:eastAsia="zh-CN"/>
              </w:rPr>
              <w:t>了</w:t>
            </w:r>
            <w:r>
              <w:rPr>
                <w:rFonts w:hint="eastAsia" w:ascii="仿宋_GB2312" w:hAnsi="仿宋_GB2312" w:eastAsia="仿宋_GB2312" w:cs="仿宋_GB2312"/>
                <w:color w:val="000000"/>
                <w:sz w:val="20"/>
                <w:szCs w:val="20"/>
              </w:rPr>
              <w:t>422块亮化电表的电费抄送、核算，保障楼宇及桥梁等亮化设施设备正常运行。</w:t>
            </w:r>
            <w:r>
              <w:rPr>
                <w:rFonts w:hint="default" w:ascii="仿宋_GB2312" w:hAnsi="仿宋_GB2312" w:eastAsia="仿宋_GB2312" w:cs="仿宋_GB2312"/>
                <w:color w:val="000000"/>
                <w:sz w:val="20"/>
                <w:szCs w:val="20"/>
                <w:highlight w:val="none"/>
                <w:lang w:val="en"/>
              </w:rPr>
              <w:tab/>
            </w: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抄表数</w:t>
            </w:r>
            <w:r>
              <w:rPr>
                <w:rFonts w:hint="eastAsia" w:ascii="仿宋_GB2312" w:hAnsi="仿宋_GB2312" w:eastAsia="仿宋_GB2312" w:cs="仿宋_GB2312"/>
                <w:color w:val="000000"/>
                <w:sz w:val="20"/>
                <w:szCs w:val="20"/>
                <w:highlight w:val="none"/>
                <w:lang w:val="en-US" w:eastAsia="zh-CN"/>
              </w:rPr>
              <w:t>量</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default" w:ascii="仿宋_GB2312" w:hAnsi="仿宋_GB2312" w:eastAsia="仿宋_GB2312" w:cs="仿宋_GB2312"/>
                <w:color w:val="000000"/>
                <w:sz w:val="20"/>
                <w:szCs w:val="20"/>
                <w:highlight w:val="none"/>
                <w:lang w:val="en"/>
              </w:rPr>
              <w:t>352</w:t>
            </w:r>
            <w:r>
              <w:rPr>
                <w:rFonts w:hint="eastAsia" w:ascii="仿宋_GB2312" w:hAnsi="仿宋_GB2312" w:eastAsia="仿宋_GB2312" w:cs="仿宋_GB2312"/>
                <w:color w:val="000000"/>
                <w:sz w:val="20"/>
                <w:szCs w:val="20"/>
                <w:highlight w:val="none"/>
                <w:lang w:val="en" w:eastAsia="zh-CN"/>
              </w:rPr>
              <w:t>块</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352块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巡查数</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1人次/晚</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1人次/晚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车辆运行数、巡查数</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2台/周</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2台/周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抄表计量率</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亮化电费支付率</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按计划完成亮化管理</w:t>
            </w:r>
            <w:r>
              <w:rPr>
                <w:rFonts w:hint="eastAsia" w:ascii="仿宋_GB2312" w:hAnsi="仿宋_GB2312" w:eastAsia="仿宋_GB2312" w:cs="仿宋_GB2312"/>
                <w:color w:val="000000"/>
                <w:sz w:val="20"/>
                <w:szCs w:val="20"/>
                <w:lang w:val="en-US" w:eastAsia="zh-CN"/>
              </w:rPr>
              <w:t>计量</w:t>
            </w:r>
            <w:r>
              <w:rPr>
                <w:rFonts w:hint="eastAsia" w:ascii="仿宋_GB2312" w:hAnsi="仿宋_GB2312" w:eastAsia="仿宋_GB2312" w:cs="仿宋_GB2312"/>
                <w:color w:val="000000"/>
                <w:sz w:val="20"/>
                <w:szCs w:val="20"/>
                <w:lang w:eastAsia="zh-CN"/>
              </w:rPr>
              <w:t>工作</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default" w:ascii="仿宋_GB2312" w:hAnsi="仿宋_GB2312" w:eastAsia="仿宋_GB2312" w:cs="仿宋_GB2312"/>
                <w:color w:val="000000"/>
                <w:sz w:val="20"/>
                <w:szCs w:val="20"/>
                <w:lang w:val="en" w:eastAsia="zh-CN"/>
              </w:rPr>
              <w:t>2024</w:t>
            </w:r>
            <w:r>
              <w:rPr>
                <w:rFonts w:hint="eastAsia" w:ascii="仿宋_GB2312" w:hAnsi="仿宋_GB2312" w:eastAsia="仿宋_GB2312" w:cs="仿宋_GB2312"/>
                <w:color w:val="000000"/>
                <w:sz w:val="20"/>
                <w:szCs w:val="20"/>
                <w:lang w:val="en" w:eastAsia="zh-CN"/>
              </w:rPr>
              <w:t>年</w:t>
            </w:r>
            <w:r>
              <w:rPr>
                <w:rFonts w:hint="eastAsia" w:ascii="仿宋_GB2312" w:hAnsi="仿宋_GB2312" w:eastAsia="仿宋_GB2312" w:cs="仿宋_GB2312"/>
                <w:color w:val="000000"/>
                <w:sz w:val="20"/>
                <w:szCs w:val="20"/>
                <w:lang w:val="en-US" w:eastAsia="zh-CN"/>
              </w:rPr>
              <w:t>12月31日前</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均如期完成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项目实施成本</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年度预算金额54.05万元内</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不适用</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不适用</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不适用</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保障城区楼宇</w:t>
            </w:r>
            <w:r>
              <w:rPr>
                <w:rFonts w:hint="eastAsia" w:ascii="仿宋_GB2312" w:hAnsi="仿宋_GB2312" w:eastAsia="仿宋_GB2312" w:cs="仿宋_GB2312"/>
                <w:color w:val="000000"/>
                <w:sz w:val="20"/>
                <w:szCs w:val="20"/>
                <w:highlight w:val="none"/>
                <w:lang w:eastAsia="zh-CN"/>
              </w:rPr>
              <w:t>、桥梁</w:t>
            </w:r>
            <w:r>
              <w:rPr>
                <w:rFonts w:hint="eastAsia" w:ascii="仿宋_GB2312" w:hAnsi="仿宋_GB2312" w:eastAsia="仿宋_GB2312" w:cs="仿宋_GB2312"/>
                <w:color w:val="000000"/>
                <w:sz w:val="20"/>
                <w:szCs w:val="20"/>
                <w:highlight w:val="none"/>
              </w:rPr>
              <w:t>亮化正常运行</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保障城区楼宇</w:t>
            </w:r>
            <w:r>
              <w:rPr>
                <w:rFonts w:hint="eastAsia" w:ascii="仿宋_GB2312" w:hAnsi="仿宋_GB2312" w:eastAsia="仿宋_GB2312" w:cs="仿宋_GB2312"/>
                <w:color w:val="000000"/>
                <w:sz w:val="20"/>
                <w:szCs w:val="20"/>
                <w:highlight w:val="none"/>
                <w:lang w:eastAsia="zh-CN"/>
              </w:rPr>
              <w:t>、桥梁</w:t>
            </w:r>
            <w:r>
              <w:rPr>
                <w:rFonts w:hint="eastAsia" w:ascii="仿宋_GB2312" w:hAnsi="仿宋_GB2312" w:eastAsia="仿宋_GB2312" w:cs="仿宋_GB2312"/>
                <w:color w:val="000000"/>
                <w:sz w:val="20"/>
                <w:szCs w:val="20"/>
                <w:highlight w:val="none"/>
              </w:rPr>
              <w:t>亮化正常运行</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全年正常运行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美化城市夜间环境</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改善城市夜间环境</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城市夜间环境得到</w:t>
            </w:r>
            <w:r>
              <w:rPr>
                <w:rFonts w:hint="eastAsia" w:ascii="仿宋_GB2312" w:hAnsi="仿宋_GB2312" w:eastAsia="仿宋_GB2312" w:cs="仿宋_GB2312"/>
                <w:color w:val="000000"/>
                <w:kern w:val="0"/>
                <w:sz w:val="20"/>
                <w:szCs w:val="20"/>
                <w:lang w:val="en-US" w:eastAsia="zh-CN" w:bidi="ar-SA"/>
              </w:rPr>
              <w:t>有效</w:t>
            </w:r>
            <w:r>
              <w:rPr>
                <w:rFonts w:hint="eastAsia" w:ascii="仿宋_GB2312" w:hAnsi="仿宋_GB2312" w:eastAsia="仿宋_GB2312" w:cs="仿宋_GB2312"/>
                <w:color w:val="000000"/>
                <w:sz w:val="20"/>
                <w:szCs w:val="20"/>
                <w:lang w:eastAsia="zh-CN"/>
              </w:rPr>
              <w:t>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节能减排，减少能源消耗污染</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推动</w:t>
            </w:r>
            <w:r>
              <w:rPr>
                <w:rFonts w:hint="eastAsia" w:ascii="仿宋_GB2312" w:hAnsi="仿宋_GB2312" w:eastAsia="仿宋_GB2312" w:cs="仿宋_GB2312"/>
                <w:color w:val="000000"/>
                <w:sz w:val="20"/>
                <w:szCs w:val="20"/>
                <w:highlight w:val="none"/>
                <w:lang w:eastAsia="zh-CN"/>
              </w:rPr>
              <w:t>亮化设施</w:t>
            </w:r>
            <w:r>
              <w:rPr>
                <w:rFonts w:hint="eastAsia" w:ascii="仿宋_GB2312" w:hAnsi="仿宋_GB2312" w:eastAsia="仿宋_GB2312" w:cs="仿宋_GB2312"/>
                <w:color w:val="000000"/>
                <w:sz w:val="20"/>
                <w:szCs w:val="20"/>
                <w:highlight w:val="none"/>
              </w:rPr>
              <w:t>节能改造，建设生态绿色城市</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有序推进</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改善城市夜间环境、提升</w:t>
            </w:r>
            <w:r>
              <w:rPr>
                <w:rFonts w:hint="eastAsia" w:ascii="仿宋_GB2312" w:hAnsi="仿宋_GB2312" w:eastAsia="仿宋_GB2312" w:cs="仿宋_GB2312"/>
                <w:color w:val="000000"/>
                <w:sz w:val="20"/>
                <w:szCs w:val="20"/>
                <w:lang w:val="en-US" w:eastAsia="zh-CN"/>
              </w:rPr>
              <w:t>城市整体</w:t>
            </w:r>
            <w:r>
              <w:rPr>
                <w:rFonts w:hint="eastAsia" w:ascii="仿宋_GB2312" w:hAnsi="仿宋_GB2312" w:eastAsia="仿宋_GB2312" w:cs="仿宋_GB2312"/>
                <w:color w:val="000000"/>
                <w:sz w:val="20"/>
                <w:szCs w:val="20"/>
                <w:lang w:eastAsia="zh-CN"/>
              </w:rPr>
              <w:t>形象</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改善城市夜间环境，提升</w:t>
            </w:r>
            <w:r>
              <w:rPr>
                <w:rFonts w:hint="eastAsia" w:ascii="仿宋_GB2312" w:hAnsi="仿宋_GB2312" w:eastAsia="仿宋_GB2312" w:cs="仿宋_GB2312"/>
                <w:color w:val="000000"/>
                <w:sz w:val="20"/>
                <w:szCs w:val="20"/>
                <w:lang w:val="en-US" w:eastAsia="zh-CN"/>
              </w:rPr>
              <w:t>城市整体</w:t>
            </w:r>
            <w:r>
              <w:rPr>
                <w:rFonts w:hint="eastAsia" w:ascii="仿宋_GB2312" w:hAnsi="仿宋_GB2312" w:eastAsia="仿宋_GB2312" w:cs="仿宋_GB2312"/>
                <w:color w:val="000000"/>
                <w:sz w:val="20"/>
                <w:szCs w:val="20"/>
                <w:lang w:eastAsia="zh-CN"/>
              </w:rPr>
              <w:t>形象，</w:t>
            </w:r>
            <w:r>
              <w:rPr>
                <w:rFonts w:hint="eastAsia" w:ascii="仿宋_GB2312" w:hAnsi="仿宋_GB2312" w:eastAsia="仿宋_GB2312" w:cs="仿宋_GB2312"/>
                <w:color w:val="000000"/>
                <w:sz w:val="20"/>
                <w:szCs w:val="20"/>
                <w:lang w:val="en-US" w:eastAsia="zh-CN"/>
              </w:rPr>
              <w:t>助力</w:t>
            </w:r>
            <w:r>
              <w:rPr>
                <w:rFonts w:hint="eastAsia" w:ascii="仿宋_GB2312" w:hAnsi="仿宋_GB2312" w:eastAsia="仿宋_GB2312" w:cs="仿宋_GB2312"/>
                <w:color w:val="000000"/>
                <w:sz w:val="20"/>
                <w:szCs w:val="20"/>
                <w:lang w:eastAsia="zh-CN"/>
              </w:rPr>
              <w:t>旅游</w:t>
            </w:r>
            <w:r>
              <w:rPr>
                <w:rFonts w:hint="eastAsia" w:ascii="仿宋_GB2312" w:hAnsi="仿宋_GB2312" w:eastAsia="仿宋_GB2312" w:cs="仿宋_GB2312"/>
                <w:color w:val="000000"/>
                <w:sz w:val="20"/>
                <w:szCs w:val="20"/>
                <w:lang w:val="en-US" w:eastAsia="zh-CN"/>
              </w:rPr>
              <w:t>发展</w:t>
            </w:r>
            <w:r>
              <w:rPr>
                <w:rFonts w:hint="eastAsia" w:ascii="仿宋_GB2312" w:hAnsi="仿宋_GB2312" w:eastAsia="仿宋_GB2312" w:cs="仿宋_GB2312"/>
                <w:color w:val="000000"/>
                <w:sz w:val="20"/>
                <w:szCs w:val="20"/>
                <w:lang w:eastAsia="zh-CN"/>
              </w:rPr>
              <w:t>。</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改善城市夜间环境，提升</w:t>
            </w:r>
            <w:r>
              <w:rPr>
                <w:rFonts w:hint="eastAsia" w:ascii="仿宋_GB2312" w:hAnsi="仿宋_GB2312" w:eastAsia="仿宋_GB2312" w:cs="仿宋_GB2312"/>
                <w:color w:val="000000"/>
                <w:sz w:val="20"/>
                <w:szCs w:val="20"/>
                <w:lang w:val="en-US" w:eastAsia="zh-CN"/>
              </w:rPr>
              <w:t>城市整体</w:t>
            </w:r>
            <w:r>
              <w:rPr>
                <w:rFonts w:hint="eastAsia" w:ascii="仿宋_GB2312" w:hAnsi="仿宋_GB2312" w:eastAsia="仿宋_GB2312" w:cs="仿宋_GB2312"/>
                <w:color w:val="000000"/>
                <w:sz w:val="20"/>
                <w:szCs w:val="20"/>
                <w:lang w:eastAsia="zh-CN"/>
              </w:rPr>
              <w:t>形象，</w:t>
            </w:r>
            <w:r>
              <w:rPr>
                <w:rFonts w:hint="eastAsia" w:ascii="仿宋_GB2312" w:hAnsi="仿宋_GB2312" w:eastAsia="仿宋_GB2312" w:cs="仿宋_GB2312"/>
                <w:color w:val="000000"/>
                <w:sz w:val="20"/>
                <w:szCs w:val="20"/>
                <w:lang w:val="en-US" w:eastAsia="zh-CN"/>
              </w:rPr>
              <w:t>助力</w:t>
            </w:r>
            <w:r>
              <w:rPr>
                <w:rFonts w:hint="eastAsia" w:ascii="仿宋_GB2312" w:hAnsi="仿宋_GB2312" w:eastAsia="仿宋_GB2312" w:cs="仿宋_GB2312"/>
                <w:color w:val="000000"/>
                <w:sz w:val="20"/>
                <w:szCs w:val="20"/>
                <w:lang w:eastAsia="zh-CN"/>
              </w:rPr>
              <w:t>旅游</w:t>
            </w:r>
            <w:r>
              <w:rPr>
                <w:rFonts w:hint="eastAsia" w:ascii="仿宋_GB2312" w:hAnsi="仿宋_GB2312" w:eastAsia="仿宋_GB2312" w:cs="仿宋_GB2312"/>
                <w:color w:val="000000"/>
                <w:sz w:val="20"/>
                <w:szCs w:val="20"/>
                <w:lang w:val="en-US" w:eastAsia="zh-CN"/>
              </w:rPr>
              <w:t>发展</w:t>
            </w:r>
            <w:r>
              <w:rPr>
                <w:rFonts w:hint="eastAsia" w:ascii="仿宋_GB2312" w:hAnsi="仿宋_GB2312" w:eastAsia="仿宋_GB2312" w:cs="仿宋_GB2312"/>
                <w:color w:val="000000"/>
                <w:sz w:val="20"/>
                <w:szCs w:val="20"/>
                <w:lang w:eastAsia="zh-CN"/>
              </w:rPr>
              <w:t>。</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5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2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p>
        </w:tc>
        <w:tc>
          <w:tcPr>
            <w:tcW w:w="102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1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18"/>
          <w:szCs w:val="18"/>
          <w:highlight w:val="none"/>
        </w:rPr>
      </w:pPr>
    </w:p>
    <w:p>
      <w:pPr>
        <w:keepNext w:val="0"/>
        <w:keepLines w:val="0"/>
        <w:pageBreakBefore w:val="0"/>
        <w:widowControl w:val="0"/>
        <w:kinsoku/>
        <w:wordWrap/>
        <w:overflowPunct/>
        <w:topLinePunct w:val="0"/>
        <w:autoSpaceDE/>
        <w:autoSpaceDN/>
        <w:bidi w:val="0"/>
        <w:adjustRightInd/>
        <w:snapToGrid/>
        <w:spacing w:afterLines="0" w:line="360" w:lineRule="exact"/>
        <w:ind w:right="0" w:rightChars="0"/>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2025.6.25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pStyle w:val="3"/>
        <w:rPr>
          <w:rFonts w:hint="eastAsia"/>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3"/>
        <w:rPr>
          <w:rFonts w:hint="eastAsia"/>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4"/>
        <w:gridCol w:w="1064"/>
        <w:gridCol w:w="1050"/>
        <w:gridCol w:w="1201"/>
        <w:gridCol w:w="1216"/>
        <w:gridCol w:w="1216"/>
        <w:gridCol w:w="811"/>
        <w:gridCol w:w="802"/>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7" w:type="dxa"/>
            <w:gridSpan w:val="8"/>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路灯及公用亮化设施维护费用</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5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050"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849.00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1046.25</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1046.25</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850.00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1019.05</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1019.05</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27.20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27.20</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27.20</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114"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6"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5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维护管理城区主次干道路灯20664盏，小街巷路灯4229盏，维护管理公共景观亮化设施，全市公共亮化设施功率4008.36KW，保障城区路灯及公用亮化设施正常运行，推动路灯节能改造，建设生态绿色城市</w:t>
            </w:r>
            <w:r>
              <w:rPr>
                <w:rFonts w:hint="eastAsia" w:ascii="仿宋_GB2312" w:hAnsi="仿宋_GB2312" w:eastAsia="仿宋_GB2312" w:cs="仿宋_GB2312"/>
                <w:color w:val="000000"/>
                <w:sz w:val="20"/>
                <w:szCs w:val="20"/>
                <w:lang w:eastAsia="zh-CN"/>
              </w:rPr>
              <w:t>。</w:t>
            </w:r>
          </w:p>
        </w:tc>
        <w:tc>
          <w:tcPr>
            <w:tcW w:w="4266"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lang w:eastAsia="zh-CN"/>
              </w:rPr>
              <w:t>对</w:t>
            </w:r>
            <w:r>
              <w:rPr>
                <w:rFonts w:hint="eastAsia" w:ascii="仿宋_GB2312" w:hAnsi="仿宋_GB2312" w:eastAsia="仿宋_GB2312" w:cs="仿宋_GB2312"/>
                <w:color w:val="000000"/>
                <w:sz w:val="20"/>
                <w:szCs w:val="20"/>
              </w:rPr>
              <w:t>城区主次干道及小街巷路灯和公用亮化设施</w:t>
            </w:r>
            <w:r>
              <w:rPr>
                <w:rFonts w:hint="eastAsia" w:ascii="仿宋_GB2312" w:hAnsi="仿宋_GB2312" w:eastAsia="仿宋_GB2312" w:cs="仿宋_GB2312"/>
                <w:color w:val="000000"/>
                <w:sz w:val="20"/>
                <w:szCs w:val="20"/>
                <w:lang w:eastAsia="zh-CN"/>
              </w:rPr>
              <w:t>进行了及时维护，保障了城区</w:t>
            </w:r>
            <w:r>
              <w:rPr>
                <w:rFonts w:hint="eastAsia" w:ascii="仿宋_GB2312" w:hAnsi="仿宋_GB2312" w:eastAsia="仿宋_GB2312" w:cs="仿宋_GB2312"/>
                <w:color w:val="000000"/>
                <w:sz w:val="20"/>
                <w:szCs w:val="20"/>
              </w:rPr>
              <w:t>路灯和公用亮化设施正常运行</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路灯节能改造</w:t>
            </w:r>
            <w:r>
              <w:rPr>
                <w:rFonts w:hint="eastAsia" w:ascii="仿宋_GB2312" w:hAnsi="仿宋_GB2312" w:eastAsia="仿宋_GB2312" w:cs="仿宋_GB2312"/>
                <w:color w:val="000000"/>
                <w:sz w:val="20"/>
                <w:szCs w:val="20"/>
                <w:lang w:eastAsia="zh-CN"/>
              </w:rPr>
              <w:t>工作有序推进</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eastAsia="zh-CN"/>
              </w:rPr>
              <w:t>为</w:t>
            </w:r>
            <w:r>
              <w:rPr>
                <w:rFonts w:hint="eastAsia" w:ascii="仿宋_GB2312" w:hAnsi="仿宋_GB2312" w:eastAsia="仿宋_GB2312" w:cs="仿宋_GB2312"/>
                <w:color w:val="000000"/>
                <w:sz w:val="20"/>
                <w:szCs w:val="20"/>
              </w:rPr>
              <w:t>建设生态绿色城市</w:t>
            </w:r>
            <w:r>
              <w:rPr>
                <w:rFonts w:hint="eastAsia" w:ascii="仿宋_GB2312" w:hAnsi="仿宋_GB2312" w:eastAsia="仿宋_GB2312" w:cs="仿宋_GB2312"/>
                <w:color w:val="000000"/>
                <w:sz w:val="20"/>
                <w:szCs w:val="20"/>
                <w:lang w:eastAsia="zh-CN"/>
              </w:rPr>
              <w:t>奠定了基础。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维护管理城区主次干道路灯</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20664盏</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lang w:val="en-US" w:eastAsia="zh-CN"/>
              </w:rPr>
              <w:t>20664盏</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维护管理小街巷路灯</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4229盏</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4229盏</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维护管理公共景观亮化设施</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w:t>
            </w:r>
            <w:r>
              <w:rPr>
                <w:rFonts w:hint="eastAsia" w:ascii="仿宋_GB2312" w:hAnsi="仿宋_GB2312" w:eastAsia="仿宋_GB2312" w:cs="仿宋_GB2312"/>
                <w:color w:val="000000"/>
                <w:sz w:val="20"/>
                <w:szCs w:val="20"/>
                <w:highlight w:val="none"/>
                <w:lang w:eastAsia="zh-CN"/>
              </w:rPr>
              <w:t>共</w:t>
            </w:r>
            <w:r>
              <w:rPr>
                <w:rFonts w:hint="eastAsia" w:ascii="仿宋_GB2312" w:hAnsi="仿宋_GB2312" w:eastAsia="仿宋_GB2312" w:cs="仿宋_GB2312"/>
                <w:color w:val="000000"/>
                <w:sz w:val="20"/>
                <w:szCs w:val="20"/>
                <w:highlight w:val="none"/>
              </w:rPr>
              <w:t>亮化设施功率4008.2</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KW</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公</w:t>
            </w:r>
            <w:r>
              <w:rPr>
                <w:rFonts w:hint="eastAsia" w:ascii="仿宋_GB2312" w:hAnsi="仿宋_GB2312" w:eastAsia="仿宋_GB2312" w:cs="仿宋_GB2312"/>
                <w:color w:val="000000"/>
                <w:sz w:val="20"/>
                <w:szCs w:val="20"/>
                <w:highlight w:val="none"/>
                <w:lang w:eastAsia="zh-CN"/>
              </w:rPr>
              <w:t>共</w:t>
            </w:r>
            <w:r>
              <w:rPr>
                <w:rFonts w:hint="eastAsia" w:ascii="仿宋_GB2312" w:hAnsi="仿宋_GB2312" w:eastAsia="仿宋_GB2312" w:cs="仿宋_GB2312"/>
                <w:color w:val="000000"/>
                <w:sz w:val="20"/>
                <w:szCs w:val="20"/>
                <w:highlight w:val="none"/>
              </w:rPr>
              <w:t>亮化设施功率4008.2</w:t>
            </w:r>
            <w:r>
              <w:rPr>
                <w:rFonts w:hint="eastAsia" w:ascii="仿宋_GB2312" w:hAnsi="仿宋_GB2312" w:eastAsia="仿宋_GB2312" w:cs="仿宋_GB2312"/>
                <w:color w:val="000000"/>
                <w:sz w:val="20"/>
                <w:szCs w:val="20"/>
                <w:highlight w:val="none"/>
                <w:lang w:val="en-US" w:eastAsia="zh-CN"/>
              </w:rPr>
              <w:t>6</w:t>
            </w:r>
            <w:r>
              <w:rPr>
                <w:rFonts w:hint="eastAsia" w:ascii="仿宋_GB2312" w:hAnsi="仿宋_GB2312" w:eastAsia="仿宋_GB2312" w:cs="仿宋_GB2312"/>
                <w:color w:val="000000"/>
                <w:sz w:val="20"/>
                <w:szCs w:val="20"/>
                <w:highlight w:val="none"/>
              </w:rPr>
              <w:t>KW</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路灯及公用亮化设施完好率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98%以上</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99%以上</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亮灯率</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路灯亮灯率达98%，景观亮化达96%</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均在98%以上</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综合考评</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合格</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合格</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按照计划和进度完成本年度维护管理工作</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均如期完成</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平台反馈维护信息</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及时处置</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均及时完成</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项目实施成本</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年度预算金额1046.25万元内</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未超预算</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及时维护，减少次生维护成本。</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kern w:val="0"/>
                <w:sz w:val="20"/>
                <w:szCs w:val="20"/>
                <w:lang w:val="en-US" w:eastAsia="zh-CN" w:bidi="ar-SA"/>
              </w:rPr>
              <w:t>有效控制维护成本</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维护成本得到有效控制</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本项目为公益项目，</w:t>
            </w:r>
            <w:r>
              <w:rPr>
                <w:rFonts w:hint="eastAsia" w:ascii="仿宋_GB2312" w:hAnsi="仿宋_GB2312" w:eastAsia="仿宋_GB2312" w:cs="仿宋_GB2312"/>
                <w:color w:val="000000"/>
                <w:sz w:val="20"/>
                <w:szCs w:val="20"/>
                <w:highlight w:val="none"/>
                <w:lang w:eastAsia="zh-CN"/>
              </w:rPr>
              <w:t>无直接经济收益。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城区路灯及公用亮化设施正常运行</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保障城区路灯及公用亮化设施正常运行</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lang w:eastAsia="zh-CN"/>
              </w:rPr>
              <w:t>全年</w:t>
            </w:r>
            <w:r>
              <w:rPr>
                <w:rFonts w:hint="eastAsia" w:ascii="仿宋_GB2312" w:hAnsi="仿宋_GB2312" w:eastAsia="仿宋_GB2312" w:cs="仿宋_GB2312"/>
                <w:color w:val="000000"/>
                <w:sz w:val="20"/>
                <w:szCs w:val="20"/>
              </w:rPr>
              <w:t>城区路灯及公用亮化设施正常运行</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改善城市夜间出行环境</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改善城市夜间出行环境</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有效改善了城市夜间出行环境</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推动路灯节能改造</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推动路灯节能改造，节约能源，建设生态绿色城市。</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路灯节能改造</w:t>
            </w:r>
            <w:r>
              <w:rPr>
                <w:rFonts w:hint="eastAsia" w:ascii="仿宋_GB2312" w:hAnsi="仿宋_GB2312" w:eastAsia="仿宋_GB2312" w:cs="仿宋_GB2312"/>
                <w:color w:val="000000"/>
                <w:sz w:val="20"/>
                <w:szCs w:val="20"/>
                <w:lang w:eastAsia="zh-CN"/>
              </w:rPr>
              <w:t>工作有序推进</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节能灯具更新进程有待加快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6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间接助力岳阳经济发展，为建设全国文明城市奠定基础</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间接助力岳阳经济发展，为建设全国文明城市奠定基础</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有效助力了岳阳经济发展，为建设全国文明城市贡献了城管力量</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6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0"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0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p>
        </w:tc>
        <w:tc>
          <w:tcPr>
            <w:tcW w:w="1216"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96%</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801"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02"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43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2025.6.25</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afterLines="0" w:line="360" w:lineRule="exact"/>
        <w:ind w:right="0" w:rightChars="0"/>
        <w:jc w:val="both"/>
        <w:textAlignment w:val="auto"/>
        <w:rPr>
          <w:rFonts w:hint="eastAsia" w:ascii="仿宋_GB2312" w:hAnsi="仿宋_GB2312" w:eastAsia="仿宋_GB2312" w:cs="仿宋_GB2312"/>
          <w:sz w:val="32"/>
          <w:szCs w:val="32"/>
          <w:highlight w:val="none"/>
          <w:lang w:eastAsia="zh-CN"/>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3"/>
        <w:rPr>
          <w:rFonts w:hint="eastAsia"/>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1049"/>
        <w:gridCol w:w="1022"/>
        <w:gridCol w:w="1188"/>
        <w:gridCol w:w="1387"/>
        <w:gridCol w:w="1434"/>
        <w:gridCol w:w="675"/>
        <w:gridCol w:w="724"/>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818" w:type="dxa"/>
            <w:gridSpan w:val="8"/>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路灯及公用亮化设施运行电费</w:t>
            </w:r>
            <w:r>
              <w:rPr>
                <w:rFonts w:hint="eastAsia" w:ascii="仿宋_GB2312" w:hAnsi="仿宋_GB2312" w:eastAsia="仿宋_GB2312" w:cs="仿宋_GB2312"/>
                <w:color w:val="auto"/>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3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646"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2738" w:type="dxa"/>
            <w:gridSpan w:val="3"/>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071"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071"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1796.00</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1719.00</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1719.00</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100%</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071"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1796.00</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1719.00</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1719.00</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071"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2071" w:type="dxa"/>
            <w:gridSpan w:val="2"/>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46"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72"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4646"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保障路灯及公用亮化设施正常运行，全年主城区路灯设施平均运行时间7小时/日，全年公共亮化设施平均运行时间4.5小时/日，努力降低能耗，实现绿色照明</w:t>
            </w:r>
            <w:r>
              <w:rPr>
                <w:rFonts w:hint="eastAsia" w:ascii="仿宋_GB2312" w:hAnsi="仿宋_GB2312" w:eastAsia="仿宋_GB2312" w:cs="仿宋_GB2312"/>
                <w:color w:val="000000"/>
                <w:sz w:val="20"/>
                <w:szCs w:val="20"/>
                <w:lang w:eastAsia="zh-CN"/>
              </w:rPr>
              <w:t>。</w:t>
            </w:r>
          </w:p>
        </w:tc>
        <w:tc>
          <w:tcPr>
            <w:tcW w:w="4172"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主城区</w:t>
            </w:r>
            <w:r>
              <w:rPr>
                <w:rFonts w:hint="eastAsia" w:ascii="仿宋_GB2312" w:hAnsi="仿宋_GB2312" w:eastAsia="仿宋_GB2312" w:cs="仿宋_GB2312"/>
                <w:color w:val="000000"/>
                <w:sz w:val="20"/>
                <w:szCs w:val="20"/>
              </w:rPr>
              <w:t>路灯及公用亮化设施</w:t>
            </w:r>
            <w:r>
              <w:rPr>
                <w:rFonts w:hint="eastAsia" w:ascii="仿宋_GB2312" w:hAnsi="仿宋_GB2312" w:eastAsia="仿宋_GB2312" w:cs="仿宋_GB2312"/>
                <w:color w:val="000000"/>
                <w:sz w:val="20"/>
                <w:szCs w:val="20"/>
                <w:lang w:eastAsia="zh-CN"/>
              </w:rPr>
              <w:t>全年</w:t>
            </w:r>
            <w:r>
              <w:rPr>
                <w:rFonts w:hint="eastAsia" w:ascii="仿宋_GB2312" w:hAnsi="仿宋_GB2312" w:eastAsia="仿宋_GB2312" w:cs="仿宋_GB2312"/>
                <w:color w:val="000000"/>
                <w:sz w:val="20"/>
                <w:szCs w:val="20"/>
              </w:rPr>
              <w:t>正常运行，路灯设施平均运行时间7小时/日，公共亮化设施平均运行时间4.5小时/日，降低</w:t>
            </w:r>
            <w:r>
              <w:rPr>
                <w:rFonts w:hint="eastAsia" w:ascii="仿宋_GB2312" w:hAnsi="仿宋_GB2312" w:eastAsia="仿宋_GB2312" w:cs="仿宋_GB2312"/>
                <w:color w:val="000000"/>
                <w:sz w:val="20"/>
                <w:szCs w:val="20"/>
                <w:lang w:eastAsia="zh-CN"/>
              </w:rPr>
              <w:t>了</w:t>
            </w:r>
            <w:r>
              <w:rPr>
                <w:rFonts w:hint="eastAsia" w:ascii="仿宋_GB2312" w:hAnsi="仿宋_GB2312" w:eastAsia="仿宋_GB2312" w:cs="仿宋_GB2312"/>
                <w:color w:val="000000"/>
                <w:sz w:val="20"/>
                <w:szCs w:val="20"/>
              </w:rPr>
              <w:t>能耗，绿色照明</w:t>
            </w:r>
            <w:r>
              <w:rPr>
                <w:rFonts w:hint="eastAsia" w:ascii="仿宋_GB2312" w:hAnsi="仿宋_GB2312" w:eastAsia="仿宋_GB2312" w:cs="仿宋_GB2312"/>
                <w:color w:val="000000"/>
                <w:sz w:val="20"/>
                <w:szCs w:val="20"/>
                <w:lang w:eastAsia="zh-CN"/>
              </w:rPr>
              <w:t>工程顺利推进。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03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4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2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路灯设施正常运行</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主次干道20664盏，小街巷4229盏</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保障主次干道20664盏，小街巷4229盏</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主城区主次干道及沿街景观亮化设施正常运行</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路灯功率7870.0</w:t>
            </w:r>
            <w:r>
              <w:rPr>
                <w:rFonts w:hint="default" w:ascii="仿宋_GB2312" w:hAnsi="仿宋_GB2312" w:eastAsia="仿宋_GB2312" w:cs="仿宋_GB2312"/>
                <w:color w:val="000000"/>
                <w:sz w:val="20"/>
                <w:szCs w:val="20"/>
                <w:lang w:val="en"/>
              </w:rPr>
              <w:t>4</w:t>
            </w:r>
            <w:r>
              <w:rPr>
                <w:rFonts w:hint="eastAsia" w:ascii="仿宋_GB2312" w:hAnsi="仿宋_GB2312" w:eastAsia="仿宋_GB2312" w:cs="仿宋_GB2312"/>
                <w:color w:val="000000"/>
                <w:sz w:val="20"/>
                <w:szCs w:val="20"/>
              </w:rPr>
              <w:t>KW，公共亮化设施功率4008.26KW</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路灯功率7870.0</w:t>
            </w:r>
            <w:r>
              <w:rPr>
                <w:rFonts w:hint="default" w:ascii="仿宋_GB2312" w:hAnsi="仿宋_GB2312" w:eastAsia="仿宋_GB2312" w:cs="仿宋_GB2312"/>
                <w:color w:val="000000"/>
                <w:sz w:val="20"/>
                <w:szCs w:val="20"/>
                <w:lang w:val="en"/>
              </w:rPr>
              <w:t>4</w:t>
            </w:r>
            <w:r>
              <w:rPr>
                <w:rFonts w:hint="eastAsia" w:ascii="仿宋_GB2312" w:hAnsi="仿宋_GB2312" w:eastAsia="仿宋_GB2312" w:cs="仿宋_GB2312"/>
                <w:color w:val="000000"/>
                <w:sz w:val="20"/>
                <w:szCs w:val="20"/>
              </w:rPr>
              <w:t>KW，公共亮化设施功率4008.26KW</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节能控制</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符合相关标准</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sz w:val="20"/>
                <w:szCs w:val="20"/>
                <w:lang w:val="en-US" w:eastAsia="zh-CN"/>
              </w:rPr>
              <w:t>符合湖南省城市照明设施维护标准</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保证亮灯率</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路灯亮灯率达98%，景观亮化率达96%</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均在98%以上</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22"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按照计划和进度完成电费抄送及结算工作</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按月结算，全年12次年度内完成</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如期完成</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12</w:t>
            </w:r>
            <w:r>
              <w:rPr>
                <w:rFonts w:hint="eastAsia" w:ascii="仿宋_GB2312" w:hAnsi="仿宋_GB2312" w:eastAsia="仿宋_GB2312" w:cs="仿宋_GB2312"/>
                <w:color w:val="000000"/>
                <w:sz w:val="20"/>
                <w:szCs w:val="20"/>
                <w:highlight w:val="none"/>
              </w:rPr>
              <w:t>　</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项目实施成本</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控制在年度预算1796万元内</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实际支出1719万元</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路灯运行成本</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路灯功率7870.04KW，平均亮灯时间为每日7小时</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符合目标要求</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电费单价为0.9796元/KW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公共亮化设施运行成本</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设施功率4008.26KW，平均亮灯时间为4.5小时</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符合目标要求</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电费单价0.9796元/KW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公益项目无直接收益</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公益项目，助力岳阳经济发展</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有效助力</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保障城区路灯设施正常运行</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保障夜间道路安全，社会效益良好</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rPr>
              <w:t>夜间</w:t>
            </w:r>
            <w:r>
              <w:rPr>
                <w:rFonts w:hint="eastAsia" w:ascii="仿宋_GB2312" w:hAnsi="仿宋_GB2312" w:eastAsia="仿宋_GB2312" w:cs="仿宋_GB2312"/>
                <w:color w:val="000000"/>
                <w:sz w:val="20"/>
                <w:szCs w:val="20"/>
                <w:lang w:eastAsia="zh-CN"/>
              </w:rPr>
              <w:t>交通</w:t>
            </w:r>
            <w:r>
              <w:rPr>
                <w:rFonts w:hint="eastAsia" w:ascii="仿宋_GB2312" w:hAnsi="仿宋_GB2312" w:eastAsia="仿宋_GB2312" w:cs="仿宋_GB2312"/>
                <w:color w:val="000000"/>
                <w:sz w:val="20"/>
                <w:szCs w:val="20"/>
              </w:rPr>
              <w:t>道路</w:t>
            </w:r>
            <w:r>
              <w:rPr>
                <w:rFonts w:hint="eastAsia" w:ascii="仿宋_GB2312" w:hAnsi="仿宋_GB2312" w:eastAsia="仿宋_GB2312" w:cs="仿宋_GB2312"/>
                <w:color w:val="000000"/>
                <w:sz w:val="20"/>
                <w:szCs w:val="20"/>
                <w:lang w:val="en-US" w:eastAsia="zh-CN"/>
              </w:rPr>
              <w:t>通行</w:t>
            </w:r>
            <w:r>
              <w:rPr>
                <w:rFonts w:hint="eastAsia" w:ascii="仿宋_GB2312" w:hAnsi="仿宋_GB2312" w:eastAsia="仿宋_GB2312" w:cs="仿宋_GB2312"/>
                <w:color w:val="000000"/>
                <w:sz w:val="20"/>
                <w:szCs w:val="20"/>
              </w:rPr>
              <w:t>安全</w:t>
            </w:r>
            <w:r>
              <w:rPr>
                <w:rFonts w:hint="eastAsia" w:ascii="仿宋_GB2312" w:hAnsi="仿宋_GB2312" w:eastAsia="仿宋_GB2312" w:cs="仿宋_GB2312"/>
                <w:color w:val="000000"/>
                <w:sz w:val="20"/>
                <w:szCs w:val="20"/>
                <w:lang w:eastAsia="zh-CN"/>
              </w:rPr>
              <w:t>，</w:t>
            </w:r>
            <w:r>
              <w:rPr>
                <w:rFonts w:hint="eastAsia" w:ascii="仿宋_GB2312" w:hAnsi="仿宋_GB2312" w:eastAsia="仿宋_GB2312" w:cs="仿宋_GB2312"/>
                <w:color w:val="000000"/>
                <w:sz w:val="20"/>
                <w:szCs w:val="20"/>
              </w:rPr>
              <w:t>社会效益良好</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改善市民夜间出行环境</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改善市民夜间出行环境</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城市夜间出行环境良好</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智能控制亮灯时间，实现低碳运行</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智能控制亮灯时间，实现低碳运行</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智能控制了亮灯时间，低碳运行实施效果好</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加快清洁能源灯具使用，助力生态环境改善。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22"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增加城市夜间休闲空间</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增加市民夜间休闲空间。</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增加了市民夜间休闲空间</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间接助力岳阳经济发展，提升</w:t>
            </w:r>
            <w:r>
              <w:rPr>
                <w:rFonts w:hint="eastAsia" w:ascii="仿宋_GB2312" w:hAnsi="仿宋_GB2312" w:eastAsia="仿宋_GB2312" w:cs="仿宋_GB2312"/>
                <w:color w:val="000000"/>
                <w:sz w:val="20"/>
                <w:szCs w:val="20"/>
                <w:lang w:val="en-US" w:eastAsia="zh-CN"/>
              </w:rPr>
              <w:t>城市整体</w:t>
            </w:r>
            <w:r>
              <w:rPr>
                <w:rFonts w:hint="eastAsia" w:ascii="仿宋_GB2312" w:hAnsi="仿宋_GB2312" w:eastAsia="仿宋_GB2312" w:cs="仿宋_GB2312"/>
                <w:color w:val="000000"/>
                <w:sz w:val="20"/>
                <w:szCs w:val="20"/>
                <w:lang w:eastAsia="zh-CN"/>
              </w:rPr>
              <w:t>形象</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提升城市</w:t>
            </w:r>
            <w:r>
              <w:rPr>
                <w:rFonts w:hint="eastAsia" w:ascii="仿宋_GB2312" w:hAnsi="仿宋_GB2312" w:eastAsia="仿宋_GB2312" w:cs="仿宋_GB2312"/>
                <w:color w:val="000000"/>
                <w:sz w:val="20"/>
                <w:szCs w:val="20"/>
                <w:lang w:eastAsia="zh-CN"/>
              </w:rPr>
              <w:t>形象，</w:t>
            </w:r>
            <w:r>
              <w:rPr>
                <w:rFonts w:hint="eastAsia" w:ascii="仿宋_GB2312" w:hAnsi="仿宋_GB2312" w:eastAsia="仿宋_GB2312" w:cs="仿宋_GB2312"/>
                <w:color w:val="000000"/>
                <w:sz w:val="20"/>
                <w:szCs w:val="20"/>
                <w:lang w:val="en-US" w:eastAsia="zh-CN"/>
              </w:rPr>
              <w:t>助力</w:t>
            </w:r>
            <w:r>
              <w:rPr>
                <w:rFonts w:hint="eastAsia" w:ascii="仿宋_GB2312" w:hAnsi="仿宋_GB2312" w:eastAsia="仿宋_GB2312" w:cs="仿宋_GB2312"/>
                <w:color w:val="000000"/>
                <w:sz w:val="20"/>
                <w:szCs w:val="20"/>
                <w:lang w:eastAsia="zh-CN"/>
              </w:rPr>
              <w:t>旅游</w:t>
            </w:r>
            <w:r>
              <w:rPr>
                <w:rFonts w:hint="eastAsia" w:ascii="仿宋_GB2312" w:hAnsi="仿宋_GB2312" w:eastAsia="仿宋_GB2312" w:cs="仿宋_GB2312"/>
                <w:color w:val="000000"/>
                <w:sz w:val="20"/>
                <w:szCs w:val="20"/>
                <w:lang w:val="en-US" w:eastAsia="zh-CN"/>
              </w:rPr>
              <w:t>发展</w:t>
            </w:r>
            <w:r>
              <w:rPr>
                <w:rFonts w:hint="eastAsia" w:ascii="仿宋_GB2312" w:hAnsi="仿宋_GB2312" w:eastAsia="仿宋_GB2312" w:cs="仿宋_GB2312"/>
                <w:color w:val="000000"/>
                <w:sz w:val="20"/>
                <w:szCs w:val="20"/>
                <w:lang w:eastAsia="zh-CN"/>
              </w:rPr>
              <w:t>。</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有效提升</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r>
              <w:rPr>
                <w:rFonts w:hint="eastAsia" w:ascii="仿宋_GB2312" w:hAnsi="仿宋_GB2312" w:eastAsia="仿宋_GB2312" w:cs="仿宋_GB2312"/>
                <w:color w:val="000000"/>
                <w:sz w:val="20"/>
                <w:szCs w:val="20"/>
                <w:highlight w:val="none"/>
              </w:rPr>
              <w:t>　</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p>
        </w:tc>
        <w:tc>
          <w:tcPr>
            <w:tcW w:w="1049"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22"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88"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387"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p>
        </w:tc>
        <w:tc>
          <w:tcPr>
            <w:tcW w:w="143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97%</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113" w:type="dxa"/>
            <w:gridSpan w:val="6"/>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675"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24"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339"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rPr>
          <w:rFonts w:hint="default" w:ascii="Times New Roman" w:hAnsi="Times New Roman" w:eastAsia="仿宋_GB2312" w:cs="Times New Roman"/>
          <w:sz w:val="18"/>
          <w:szCs w:val="18"/>
          <w:highlight w:val="none"/>
        </w:rPr>
      </w:pP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2025.6.25</w:t>
      </w:r>
      <w:r>
        <w:rPr>
          <w:rFonts w:hint="eastAsia" w:ascii="仿宋_GB2312" w:hAnsi="仿宋_GB2312" w:eastAsia="仿宋_GB2312" w:cs="仿宋_GB2312"/>
          <w:sz w:val="22"/>
          <w:szCs w:val="22"/>
        </w:rPr>
        <w:t xml:space="preserve"> 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3"/>
        <w:rPr>
          <w:rFonts w:hint="eastAsia"/>
        </w:rPr>
      </w:pPr>
    </w:p>
    <w:tbl>
      <w:tblPr>
        <w:tblStyle w:val="9"/>
        <w:tblW w:w="9851" w:type="dxa"/>
        <w:jc w:val="center"/>
        <w:tblLayout w:type="autofit"/>
        <w:tblCellMar>
          <w:top w:w="0" w:type="dxa"/>
          <w:left w:w="108" w:type="dxa"/>
          <w:bottom w:w="0" w:type="dxa"/>
          <w:right w:w="108" w:type="dxa"/>
        </w:tblCellMar>
      </w:tblPr>
      <w:tblGrid>
        <w:gridCol w:w="1076"/>
        <w:gridCol w:w="1077"/>
        <w:gridCol w:w="1076"/>
        <w:gridCol w:w="1221"/>
        <w:gridCol w:w="1132"/>
        <w:gridCol w:w="1132"/>
        <w:gridCol w:w="826"/>
        <w:gridCol w:w="816"/>
        <w:gridCol w:w="1495"/>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auto"/>
                <w:sz w:val="20"/>
                <w:szCs w:val="20"/>
                <w:lang w:val="en-US" w:eastAsia="zh-CN"/>
              </w:rPr>
              <w:t>中心城区景观亮化大修专项经费</w:t>
            </w:r>
            <w:r>
              <w:rPr>
                <w:rFonts w:hint="eastAsia" w:ascii="仿宋_GB2312" w:hAnsi="仿宋_GB2312" w:eastAsia="仿宋_GB2312" w:cs="仿宋_GB2312"/>
                <w:color w:val="auto"/>
                <w:sz w:val="20"/>
                <w:szCs w:val="20"/>
                <w:highlight w:val="none"/>
              </w:rPr>
              <w:t>　</w:t>
            </w:r>
          </w:p>
        </w:tc>
      </w:tr>
      <w:tr>
        <w:tblPrEx>
          <w:tblCellMar>
            <w:top w:w="0" w:type="dxa"/>
            <w:left w:w="108" w:type="dxa"/>
            <w:bottom w:w="0" w:type="dxa"/>
            <w:right w:w="108" w:type="dxa"/>
          </w:tblCellMar>
        </w:tblPrEx>
        <w:trPr>
          <w:trHeight w:val="465" w:hRule="atLeast"/>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5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270.00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270.00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197.81</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73.26%</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7.33</w:t>
            </w:r>
          </w:p>
        </w:tc>
      </w:tr>
      <w:tr>
        <w:tblPrEx>
          <w:tblCellMar>
            <w:top w:w="0" w:type="dxa"/>
            <w:left w:w="108" w:type="dxa"/>
            <w:bottom w:w="0" w:type="dxa"/>
            <w:right w:w="108" w:type="dxa"/>
          </w:tblCellMar>
        </w:tblPrEx>
        <w:trPr>
          <w:trHeight w:val="5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270.00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270.00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197.81</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2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0"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9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对城区老旧的景观亮化设施设备进行大修（共325处），确保景观照明正常运行，景观亮化亮灯率达到96%，维护质量符合湖南省城市照明设施维护标准，推动节能改造，建设生态绿色城市。</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及时</w:t>
            </w:r>
            <w:r>
              <w:rPr>
                <w:rFonts w:hint="eastAsia" w:ascii="仿宋_GB2312" w:hAnsi="仿宋_GB2312" w:eastAsia="仿宋_GB2312" w:cs="仿宋_GB2312"/>
                <w:color w:val="000000"/>
                <w:sz w:val="20"/>
                <w:szCs w:val="20"/>
                <w:lang w:val="en-US" w:eastAsia="zh-CN"/>
              </w:rPr>
              <w:t>对城区老旧的景观亮化设施设备进行了大修（共325处），全年景观照明正常运行，景观亮化亮灯率达到98%以上，维护质量符合湖南省城市照明设施维护标准，节能改造工作有序推进，为建设生态绿色城市奠定了基础。</w:t>
            </w:r>
          </w:p>
        </w:tc>
      </w:tr>
      <w:tr>
        <w:tblPrEx>
          <w:tblCellMar>
            <w:top w:w="0" w:type="dxa"/>
            <w:left w:w="108" w:type="dxa"/>
            <w:bottom w:w="0" w:type="dxa"/>
            <w:right w:w="108" w:type="dxa"/>
          </w:tblCellMar>
        </w:tblPrEx>
        <w:trPr>
          <w:trHeight w:val="725" w:hRule="atLeast"/>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主城区沿街、环湖景观亮化设施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325栋（处）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325栋（处）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保证亮灯率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达96%以上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达9</w:t>
            </w:r>
            <w:r>
              <w:rPr>
                <w:rFonts w:hint="eastAsia" w:ascii="仿宋_GB2312" w:hAnsi="仿宋_GB2312" w:eastAsia="仿宋_GB2312" w:cs="仿宋_GB2312"/>
                <w:color w:val="000000"/>
                <w:sz w:val="20"/>
                <w:szCs w:val="20"/>
                <w:lang w:val="en-US" w:eastAsia="zh-CN"/>
              </w:rPr>
              <w:t>8</w:t>
            </w:r>
            <w:r>
              <w:rPr>
                <w:rFonts w:hint="eastAsia" w:ascii="仿宋_GB2312" w:hAnsi="仿宋_GB2312" w:eastAsia="仿宋_GB2312" w:cs="仿宋_GB2312"/>
                <w:color w:val="000000"/>
                <w:sz w:val="20"/>
                <w:szCs w:val="20"/>
                <w:lang w:eastAsia="zh-CN"/>
              </w:rPr>
              <w:t>%以上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质量符合相关标准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符合湖南省城市照明设施维护标准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均符合湖南省城市照明设施维护标准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按照计划和进度完成本年度维护管理工作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2024年12月31日前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按计划如期完成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控制在年度预算金额270万元内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本项目为公益项目，间接助力岳阳经济发展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助力岳阳经济发展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有效助力了岳阳经济发展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城区景观亮化设施正常运行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保障城区景观亮化设施正常运行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城区景观亮化设施正常运行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19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打造城市夜间景观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打造城市夜间景观，美化城市夜间环境。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城市夜景标准不断提升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维护亮化设施设备时使用节能产品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w:t>
            </w:r>
            <w:r>
              <w:rPr>
                <w:rFonts w:hint="eastAsia" w:ascii="仿宋_GB2312" w:hAnsi="仿宋_GB2312" w:eastAsia="仿宋_GB2312" w:cs="仿宋_GB2312"/>
                <w:color w:val="000000"/>
                <w:kern w:val="0"/>
                <w:sz w:val="20"/>
                <w:szCs w:val="20"/>
                <w:lang w:val="en-US" w:eastAsia="zh-CN" w:bidi="ar-SA"/>
              </w:rPr>
              <w:t>亮化</w:t>
            </w:r>
            <w:r>
              <w:rPr>
                <w:rFonts w:hint="default" w:ascii="仿宋_GB2312" w:hAnsi="仿宋_GB2312" w:eastAsia="仿宋_GB2312" w:cs="仿宋_GB2312"/>
                <w:color w:val="000000"/>
                <w:kern w:val="0"/>
                <w:sz w:val="20"/>
                <w:szCs w:val="20"/>
                <w:lang w:val="en-US" w:eastAsia="zh-CN" w:bidi="ar-SA"/>
              </w:rPr>
              <w:t>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亮化</w:t>
            </w:r>
            <w:r>
              <w:rPr>
                <w:rFonts w:hint="default" w:ascii="仿宋_GB2312" w:hAnsi="仿宋_GB2312" w:eastAsia="仿宋_GB2312" w:cs="仿宋_GB2312"/>
                <w:color w:val="000000"/>
                <w:kern w:val="0"/>
                <w:sz w:val="20"/>
                <w:szCs w:val="20"/>
                <w:lang w:val="en-US" w:eastAsia="zh-CN" w:bidi="ar-SA"/>
              </w:rPr>
              <w:t>节能改造</w:t>
            </w:r>
            <w:r>
              <w:rPr>
                <w:rFonts w:hint="eastAsia" w:ascii="仿宋_GB2312" w:hAnsi="仿宋_GB2312" w:eastAsia="仿宋_GB2312" w:cs="仿宋_GB2312"/>
                <w:color w:val="000000"/>
                <w:kern w:val="0"/>
                <w:sz w:val="20"/>
                <w:szCs w:val="20"/>
                <w:lang w:val="en-US" w:eastAsia="zh-CN" w:bidi="ar-SA"/>
              </w:rPr>
              <w:t>工作有序推进</w:t>
            </w:r>
            <w:r>
              <w:rPr>
                <w:rFonts w:hint="default" w:ascii="仿宋_GB2312" w:hAnsi="仿宋_GB2312" w:eastAsia="仿宋_GB2312" w:cs="仿宋_GB2312"/>
                <w:color w:val="000000"/>
                <w:kern w:val="0"/>
                <w:sz w:val="20"/>
                <w:szCs w:val="20"/>
                <w:lang w:val="en-US" w:eastAsia="zh-CN" w:bidi="ar-SA"/>
              </w:rPr>
              <w:t>，</w:t>
            </w:r>
            <w:r>
              <w:rPr>
                <w:rFonts w:hint="eastAsia" w:ascii="仿宋_GB2312" w:hAnsi="仿宋_GB2312" w:eastAsia="仿宋_GB2312" w:cs="仿宋_GB2312"/>
                <w:color w:val="000000"/>
                <w:kern w:val="0"/>
                <w:sz w:val="20"/>
                <w:szCs w:val="20"/>
                <w:lang w:val="en-US" w:eastAsia="zh-CN" w:bidi="ar-SA"/>
              </w:rPr>
              <w:t>助力低碳绿色健康发展。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节能改造工作进度有待加快，统筹规划合理调配资金，提升节能改造工作实施进程。</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提升</w:t>
            </w:r>
            <w:r>
              <w:rPr>
                <w:rFonts w:hint="eastAsia" w:ascii="仿宋_GB2312" w:hAnsi="仿宋_GB2312" w:eastAsia="仿宋_GB2312" w:cs="仿宋_GB2312"/>
                <w:color w:val="000000"/>
                <w:sz w:val="20"/>
                <w:szCs w:val="20"/>
                <w:lang w:val="en-US" w:eastAsia="zh-CN"/>
              </w:rPr>
              <w:t>城市整体</w:t>
            </w:r>
            <w:r>
              <w:rPr>
                <w:rFonts w:hint="eastAsia" w:ascii="仿宋_GB2312" w:hAnsi="仿宋_GB2312" w:eastAsia="仿宋_GB2312" w:cs="仿宋_GB2312"/>
                <w:color w:val="000000"/>
                <w:sz w:val="20"/>
                <w:szCs w:val="20"/>
                <w:lang w:eastAsia="zh-CN"/>
              </w:rPr>
              <w:t>形象，助力岳阳经济发展。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提升城市</w:t>
            </w:r>
            <w:r>
              <w:rPr>
                <w:rFonts w:hint="eastAsia" w:ascii="仿宋_GB2312" w:hAnsi="仿宋_GB2312" w:eastAsia="仿宋_GB2312" w:cs="仿宋_GB2312"/>
                <w:color w:val="000000"/>
                <w:sz w:val="20"/>
                <w:szCs w:val="20"/>
                <w:lang w:eastAsia="zh-CN"/>
              </w:rPr>
              <w:t>形象，</w:t>
            </w:r>
            <w:r>
              <w:rPr>
                <w:rFonts w:hint="eastAsia" w:ascii="仿宋_GB2312" w:hAnsi="仿宋_GB2312" w:eastAsia="仿宋_GB2312" w:cs="仿宋_GB2312"/>
                <w:color w:val="000000"/>
                <w:sz w:val="20"/>
                <w:szCs w:val="20"/>
                <w:lang w:val="en-US" w:eastAsia="zh-CN"/>
              </w:rPr>
              <w:t>助力</w:t>
            </w:r>
            <w:r>
              <w:rPr>
                <w:rFonts w:hint="eastAsia" w:ascii="仿宋_GB2312" w:hAnsi="仿宋_GB2312" w:eastAsia="仿宋_GB2312" w:cs="仿宋_GB2312"/>
                <w:color w:val="000000"/>
                <w:sz w:val="20"/>
                <w:szCs w:val="20"/>
                <w:lang w:eastAsia="zh-CN"/>
              </w:rPr>
              <w:t>旅游业</w:t>
            </w:r>
            <w:r>
              <w:rPr>
                <w:rFonts w:hint="eastAsia" w:ascii="仿宋_GB2312" w:hAnsi="仿宋_GB2312" w:eastAsia="仿宋_GB2312" w:cs="仿宋_GB2312"/>
                <w:color w:val="000000"/>
                <w:sz w:val="20"/>
                <w:szCs w:val="20"/>
                <w:lang w:val="en-US" w:eastAsia="zh-CN"/>
              </w:rPr>
              <w:t>发展</w:t>
            </w:r>
            <w:r>
              <w:rPr>
                <w:rFonts w:hint="eastAsia" w:ascii="仿宋_GB2312" w:hAnsi="仿宋_GB2312" w:eastAsia="仿宋_GB2312" w:cs="仿宋_GB2312"/>
                <w:color w:val="000000"/>
                <w:sz w:val="20"/>
                <w:szCs w:val="20"/>
                <w:lang w:eastAsia="zh-CN"/>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有效助力了城市整体</w:t>
            </w:r>
            <w:r>
              <w:rPr>
                <w:rFonts w:hint="eastAsia" w:ascii="仿宋_GB2312" w:hAnsi="仿宋_GB2312" w:eastAsia="仿宋_GB2312" w:cs="仿宋_GB2312"/>
                <w:color w:val="000000"/>
                <w:sz w:val="20"/>
                <w:szCs w:val="20"/>
                <w:lang w:eastAsia="zh-CN"/>
              </w:rPr>
              <w:t>形象提升</w:t>
            </w:r>
            <w:r>
              <w:rPr>
                <w:rFonts w:hint="eastAsia" w:ascii="仿宋_GB2312" w:hAnsi="仿宋_GB2312" w:eastAsia="仿宋_GB2312" w:cs="仿宋_GB2312"/>
                <w:color w:val="000000"/>
                <w:sz w:val="20"/>
                <w:szCs w:val="20"/>
                <w:lang w:val="en-US" w:eastAsia="zh-CN"/>
              </w:rPr>
              <w:t>和旅游业发展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7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8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96.33</w:t>
            </w:r>
          </w:p>
        </w:tc>
        <w:tc>
          <w:tcPr>
            <w:tcW w:w="15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2025.6.25</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keepNext w:val="0"/>
        <w:keepLines w:val="0"/>
        <w:pageBreakBefore w:val="0"/>
        <w:widowControl w:val="0"/>
        <w:kinsoku/>
        <w:wordWrap/>
        <w:overflowPunct/>
        <w:topLinePunct w:val="0"/>
        <w:autoSpaceDE/>
        <w:autoSpaceDN/>
        <w:bidi w:val="0"/>
        <w:adjustRightInd/>
        <w:snapToGrid/>
        <w:spacing w:afterLines="0" w:line="360" w:lineRule="auto"/>
        <w:ind w:right="0" w:rightChars="0"/>
        <w:jc w:val="both"/>
        <w:textAlignment w:val="auto"/>
        <w:rPr>
          <w:rFonts w:hint="eastAsia" w:ascii="仿宋_GB2312" w:hAnsi="仿宋_GB2312" w:eastAsia="仿宋_GB2312" w:cs="仿宋_GB2312"/>
          <w:sz w:val="32"/>
          <w:szCs w:val="32"/>
          <w:highlight w:val="none"/>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3"/>
        <w:rPr>
          <w:rFonts w:hint="eastAsia"/>
        </w:rPr>
      </w:pPr>
    </w:p>
    <w:tbl>
      <w:tblPr>
        <w:tblStyle w:val="9"/>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063"/>
        <w:gridCol w:w="1049"/>
        <w:gridCol w:w="1200"/>
        <w:gridCol w:w="1119"/>
        <w:gridCol w:w="1119"/>
        <w:gridCol w:w="811"/>
        <w:gridCol w:w="912"/>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6" w:type="dxa"/>
            <w:gridSpan w:val="8"/>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auto"/>
                <w:sz w:val="20"/>
                <w:szCs w:val="20"/>
                <w:lang w:val="en-US" w:eastAsia="zh-CN"/>
              </w:rPr>
              <w:t>全城临街楼宇亮化设施电费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5"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4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246" w:type="dxa"/>
            <w:gridSpan w:val="3"/>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2"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2"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500.00</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400.00</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395.16</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98.79%</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2"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500.00</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400.00</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395.16</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2"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2" w:type="dxa"/>
            <w:gridSpan w:val="2"/>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5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4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65" w:type="dxa"/>
            <w:gridSpan w:val="4"/>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431"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保障城区325栋临街楼宇、15处桥梁和公园 亮化设备设施的正常运行，提高市民的幸福感、安全感，提升城市整体形象，间接助力岳阳经济发展。</w:t>
            </w:r>
          </w:p>
        </w:tc>
        <w:tc>
          <w:tcPr>
            <w:tcW w:w="4365" w:type="dxa"/>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城区325栋临街楼宇、15处桥梁和公园亮化设备设施正常运行，</w:t>
            </w:r>
            <w:r>
              <w:rPr>
                <w:rFonts w:hint="eastAsia" w:ascii="仿宋_GB2312" w:hAnsi="仿宋_GB2312" w:eastAsia="仿宋_GB2312" w:cs="仿宋_GB2312"/>
                <w:color w:val="000000"/>
                <w:sz w:val="20"/>
                <w:szCs w:val="20"/>
                <w:highlight w:val="none"/>
                <w:lang w:eastAsia="zh-CN"/>
              </w:rPr>
              <w:t>美化了城市夜间环境，增强了</w:t>
            </w:r>
            <w:r>
              <w:rPr>
                <w:rFonts w:hint="eastAsia" w:ascii="仿宋_GB2312" w:hAnsi="仿宋_GB2312" w:eastAsia="仿宋_GB2312" w:cs="仿宋_GB2312"/>
                <w:color w:val="000000"/>
                <w:sz w:val="20"/>
                <w:szCs w:val="20"/>
                <w:highlight w:val="none"/>
              </w:rPr>
              <w:t>市民的幸福感、安全感，城市整体形象</w:t>
            </w:r>
            <w:r>
              <w:rPr>
                <w:rFonts w:hint="eastAsia" w:ascii="仿宋_GB2312" w:hAnsi="仿宋_GB2312" w:eastAsia="仿宋_GB2312" w:cs="仿宋_GB2312"/>
                <w:color w:val="000000"/>
                <w:sz w:val="20"/>
                <w:szCs w:val="20"/>
                <w:highlight w:val="none"/>
                <w:lang w:eastAsia="zh-CN"/>
              </w:rPr>
              <w:t>不断</w:t>
            </w:r>
            <w:r>
              <w:rPr>
                <w:rFonts w:hint="eastAsia" w:ascii="仿宋_GB2312" w:hAnsi="仿宋_GB2312" w:eastAsia="仿宋_GB2312" w:cs="仿宋_GB2312"/>
                <w:color w:val="000000"/>
                <w:sz w:val="20"/>
                <w:szCs w:val="20"/>
                <w:highlight w:val="none"/>
              </w:rPr>
              <w:t>提升，间接助力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岳阳经济发展。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4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临街楼宇亮化</w:t>
            </w:r>
            <w:r>
              <w:rPr>
                <w:rFonts w:hint="eastAsia" w:ascii="仿宋_GB2312" w:hAnsi="仿宋_GB2312" w:eastAsia="仿宋_GB2312" w:cs="仿宋_GB2312"/>
                <w:color w:val="000000"/>
                <w:sz w:val="20"/>
                <w:szCs w:val="20"/>
                <w:lang w:val="en-US" w:eastAsia="zh-CN"/>
              </w:rPr>
              <w:t>数量</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325栋</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rPr>
              <w:t>325栋</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人行天桥、立交桥、等亮化设施</w:t>
            </w:r>
            <w:r>
              <w:rPr>
                <w:rFonts w:hint="eastAsia" w:ascii="仿宋_GB2312" w:hAnsi="仿宋_GB2312" w:eastAsia="仿宋_GB2312" w:cs="仿宋_GB2312"/>
                <w:color w:val="000000"/>
                <w:sz w:val="20"/>
                <w:szCs w:val="20"/>
                <w:lang w:val="en-US" w:eastAsia="zh-CN"/>
              </w:rPr>
              <w:t>数量</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共15处（座）</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共15处（座）</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亮化灯亮灯率</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98%</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98%以上</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亮化绿色照明达标率</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达80%以上</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达90%以上</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电费结算</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按季结算，年度内完成结算</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lang w:val="en-US" w:eastAsia="zh-CN"/>
              </w:rPr>
              <w:t>均按时完成</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经济成本指标</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控制在年度预算500万元之内</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未超预算</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益指标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lang w:val="en-US" w:eastAsia="zh-CN" w:bidi="ar-SA"/>
              </w:rPr>
              <w:t>间接助力岳阳经济发展</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lang w:val="en-US" w:eastAsia="zh-CN" w:bidi="ar-SA"/>
              </w:rPr>
              <w:t>助力岳阳经济发展</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lang w:val="en-US" w:eastAsia="zh-CN" w:bidi="ar-SA"/>
              </w:rPr>
              <w:t>有效助力了岳阳经济发展</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5</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kern w:val="0"/>
                <w:sz w:val="20"/>
                <w:szCs w:val="20"/>
                <w:lang w:val="en-US" w:eastAsia="zh-CN" w:bidi="ar-SA"/>
              </w:rPr>
              <w:t>公益项目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增强</w:t>
            </w:r>
            <w:r>
              <w:rPr>
                <w:rFonts w:hint="eastAsia" w:ascii="仿宋_GB2312" w:hAnsi="仿宋_GB2312" w:eastAsia="仿宋_GB2312" w:cs="仿宋_GB2312"/>
                <w:color w:val="000000"/>
                <w:sz w:val="20"/>
                <w:szCs w:val="20"/>
              </w:rPr>
              <w:t>市民幸福感、安全感</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增强</w:t>
            </w:r>
            <w:r>
              <w:rPr>
                <w:rFonts w:hint="eastAsia" w:ascii="仿宋_GB2312" w:hAnsi="仿宋_GB2312" w:eastAsia="仿宋_GB2312" w:cs="仿宋_GB2312"/>
                <w:color w:val="000000"/>
                <w:sz w:val="20"/>
                <w:szCs w:val="20"/>
              </w:rPr>
              <w:t>市民幸福感、安全感</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rPr>
              <w:t>有效提升，社会效益良好</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改善城市夜间出行</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改善市民夜间出行环境</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有效改善</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创造宜居城市环境</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default" w:ascii="仿宋_GB2312" w:hAnsi="仿宋_GB2312" w:eastAsia="仿宋_GB2312" w:cs="仿宋_GB2312"/>
                <w:color w:val="000000"/>
                <w:kern w:val="0"/>
                <w:sz w:val="20"/>
                <w:szCs w:val="20"/>
                <w:lang w:val="en-US" w:eastAsia="zh-CN" w:bidi="ar-SA"/>
              </w:rPr>
              <w:t>增加市民夜间休闲空间</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eastAsia="zh-CN"/>
              </w:rPr>
              <w:t>城市夜间休闲空间不断改善</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49"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间接助力生态环境改造</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推动</w:t>
            </w:r>
            <w:r>
              <w:rPr>
                <w:rFonts w:hint="eastAsia" w:ascii="仿宋_GB2312" w:hAnsi="仿宋_GB2312" w:eastAsia="仿宋_GB2312" w:cs="仿宋_GB2312"/>
                <w:color w:val="000000"/>
                <w:kern w:val="0"/>
                <w:sz w:val="20"/>
                <w:szCs w:val="20"/>
                <w:lang w:val="en-US" w:eastAsia="zh-CN" w:bidi="ar-SA"/>
              </w:rPr>
              <w:t>亮化设施</w:t>
            </w:r>
            <w:r>
              <w:rPr>
                <w:rFonts w:hint="default" w:ascii="仿宋_GB2312" w:hAnsi="仿宋_GB2312" w:eastAsia="仿宋_GB2312" w:cs="仿宋_GB2312"/>
                <w:color w:val="000000"/>
                <w:kern w:val="0"/>
                <w:sz w:val="20"/>
                <w:szCs w:val="20"/>
                <w:lang w:val="en-US" w:eastAsia="zh-CN" w:bidi="ar-SA"/>
              </w:rPr>
              <w:t>节能改造，建设绿色生态城市</w:t>
            </w:r>
            <w:r>
              <w:rPr>
                <w:rFonts w:hint="eastAsia" w:ascii="仿宋_GB2312" w:hAnsi="仿宋_GB2312" w:eastAsia="仿宋_GB2312" w:cs="仿宋_GB2312"/>
                <w:color w:val="000000"/>
                <w:kern w:val="0"/>
                <w:sz w:val="20"/>
                <w:szCs w:val="20"/>
                <w:lang w:val="en-US" w:eastAsia="zh-CN" w:bidi="ar-SA"/>
              </w:rPr>
              <w:t>。</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亮化设施</w:t>
            </w:r>
            <w:r>
              <w:rPr>
                <w:rFonts w:hint="default" w:ascii="仿宋_GB2312" w:hAnsi="仿宋_GB2312" w:eastAsia="仿宋_GB2312" w:cs="仿宋_GB2312"/>
                <w:color w:val="000000"/>
                <w:kern w:val="0"/>
                <w:sz w:val="20"/>
                <w:szCs w:val="20"/>
                <w:lang w:val="en-US" w:eastAsia="zh-CN" w:bidi="ar-SA"/>
              </w:rPr>
              <w:t>节能改造</w:t>
            </w:r>
            <w:r>
              <w:rPr>
                <w:rFonts w:hint="eastAsia" w:ascii="仿宋_GB2312" w:hAnsi="仿宋_GB2312" w:eastAsia="仿宋_GB2312" w:cs="仿宋_GB2312"/>
                <w:color w:val="000000"/>
                <w:kern w:val="0"/>
                <w:sz w:val="20"/>
                <w:szCs w:val="20"/>
                <w:lang w:val="en-US" w:eastAsia="zh-CN" w:bidi="ar-SA"/>
              </w:rPr>
              <w:t>工作有序推进</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lang w:val="en-US" w:eastAsia="zh-CN"/>
              </w:rPr>
              <w:t>亮化设施节能改造工作进度有待加快，合理调配资金，加快节能改造。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4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可持续影响指标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lang w:eastAsia="zh-CN"/>
              </w:rPr>
              <w:t>夜景亮化提升城市整体形象，</w:t>
            </w:r>
            <w:r>
              <w:rPr>
                <w:rFonts w:hint="eastAsia" w:ascii="仿宋_GB2312" w:hAnsi="仿宋_GB2312" w:eastAsia="仿宋_GB2312" w:cs="仿宋_GB2312"/>
                <w:color w:val="auto"/>
                <w:kern w:val="0"/>
                <w:sz w:val="20"/>
                <w:szCs w:val="20"/>
                <w:lang w:val="en-US" w:eastAsia="zh-CN" w:bidi="ar-SA"/>
              </w:rPr>
              <w:t>改善投资环境</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lang w:eastAsia="zh-CN"/>
              </w:rPr>
              <w:t>美化亮化城市，</w:t>
            </w:r>
            <w:r>
              <w:rPr>
                <w:rFonts w:hint="eastAsia" w:ascii="仿宋_GB2312" w:hAnsi="仿宋_GB2312" w:eastAsia="仿宋_GB2312" w:cs="仿宋_GB2312"/>
                <w:color w:val="auto"/>
                <w:sz w:val="20"/>
                <w:szCs w:val="20"/>
                <w:highlight w:val="none"/>
                <w:lang w:val="en" w:eastAsia="zh-CN"/>
              </w:rPr>
              <w:t>助力城市招商引资</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lang w:val="en-US" w:eastAsia="zh-CN"/>
              </w:rPr>
              <w:t>城市整体形象明显提升</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5</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5</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FF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5"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6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4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auto"/>
                <w:sz w:val="20"/>
                <w:szCs w:val="20"/>
                <w:highlight w:val="none"/>
              </w:rPr>
              <w:t>服务对象满意度指标</w:t>
            </w:r>
          </w:p>
        </w:tc>
        <w:tc>
          <w:tcPr>
            <w:tcW w:w="1200"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lang w:eastAsia="zh-CN"/>
              </w:rPr>
              <w:t>市民</w:t>
            </w:r>
            <w:r>
              <w:rPr>
                <w:rFonts w:hint="eastAsia" w:ascii="仿宋_GB2312" w:hAnsi="仿宋_GB2312" w:eastAsia="仿宋_GB2312" w:cs="仿宋_GB2312"/>
                <w:color w:val="auto"/>
                <w:sz w:val="20"/>
                <w:szCs w:val="20"/>
              </w:rPr>
              <w:t>满意度</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rPr>
              <w:t>　9</w:t>
            </w:r>
            <w:r>
              <w:rPr>
                <w:rFonts w:hint="eastAsia" w:ascii="仿宋_GB2312" w:hAnsi="仿宋_GB2312" w:eastAsia="仿宋_GB2312" w:cs="仿宋_GB2312"/>
                <w:color w:val="auto"/>
                <w:sz w:val="20"/>
                <w:szCs w:val="20"/>
                <w:lang w:val="en-US" w:eastAsia="zh-CN"/>
              </w:rPr>
              <w:t>5</w:t>
            </w:r>
            <w:r>
              <w:rPr>
                <w:rFonts w:hint="eastAsia" w:ascii="仿宋_GB2312" w:hAnsi="仿宋_GB2312" w:eastAsia="仿宋_GB2312" w:cs="仿宋_GB2312"/>
                <w:color w:val="auto"/>
                <w:sz w:val="20"/>
                <w:szCs w:val="20"/>
              </w:rPr>
              <w:t>%</w:t>
            </w:r>
            <w:r>
              <w:rPr>
                <w:rFonts w:hint="eastAsia" w:ascii="仿宋_GB2312" w:hAnsi="仿宋_GB2312" w:eastAsia="仿宋_GB2312" w:cs="仿宋_GB2312"/>
                <w:color w:val="auto"/>
                <w:sz w:val="20"/>
                <w:szCs w:val="20"/>
                <w:lang w:val="en-US" w:eastAsia="zh-CN"/>
              </w:rPr>
              <w:t>以上</w:t>
            </w:r>
          </w:p>
        </w:tc>
        <w:tc>
          <w:tcPr>
            <w:tcW w:w="1119"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rPr>
              <w:t>　</w:t>
            </w:r>
            <w:r>
              <w:rPr>
                <w:rFonts w:hint="eastAsia" w:ascii="仿宋_GB2312" w:hAnsi="仿宋_GB2312" w:eastAsia="仿宋_GB2312" w:cs="仿宋_GB2312"/>
                <w:color w:val="auto"/>
                <w:sz w:val="20"/>
                <w:szCs w:val="20"/>
                <w:lang w:val="en-US" w:eastAsia="zh-CN"/>
              </w:rPr>
              <w:t>9</w:t>
            </w:r>
            <w:r>
              <w:rPr>
                <w:rFonts w:hint="default" w:ascii="仿宋_GB2312" w:hAnsi="仿宋_GB2312" w:eastAsia="仿宋_GB2312" w:cs="仿宋_GB2312"/>
                <w:color w:val="auto"/>
                <w:sz w:val="20"/>
                <w:szCs w:val="20"/>
                <w:lang w:val="en" w:eastAsia="zh-CN"/>
              </w:rPr>
              <w:t>7</w:t>
            </w:r>
            <w:r>
              <w:rPr>
                <w:rFonts w:hint="eastAsia" w:ascii="仿宋_GB2312" w:hAnsi="仿宋_GB2312" w:eastAsia="仿宋_GB2312" w:cs="仿宋_GB2312"/>
                <w:color w:val="auto"/>
                <w:sz w:val="20"/>
                <w:szCs w:val="20"/>
                <w:lang w:val="en-US" w:eastAsia="zh-CN"/>
              </w:rPr>
              <w:t>%</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FF0000"/>
                <w:sz w:val="20"/>
                <w:szCs w:val="20"/>
                <w:highlight w:val="none"/>
              </w:rPr>
            </w:pPr>
            <w:r>
              <w:rPr>
                <w:rFonts w:hint="eastAsia" w:ascii="仿宋_GB2312" w:hAnsi="仿宋_GB2312" w:eastAsia="仿宋_GB2312" w:cs="仿宋_GB2312"/>
                <w:color w:val="FF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6605" w:type="dxa"/>
            <w:gridSpan w:val="6"/>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1"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2"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98.88</w:t>
            </w:r>
          </w:p>
        </w:tc>
        <w:tc>
          <w:tcPr>
            <w:tcW w:w="1523" w:type="dxa"/>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填报日期：</w:t>
      </w:r>
      <w:r>
        <w:rPr>
          <w:rFonts w:hint="eastAsia" w:ascii="仿宋_GB2312" w:hAnsi="仿宋_GB2312" w:eastAsia="仿宋_GB2312" w:cs="仿宋_GB2312"/>
          <w:sz w:val="22"/>
          <w:szCs w:val="22"/>
          <w:lang w:val="en-US" w:eastAsia="zh-CN"/>
        </w:rPr>
        <w:t>2025.6.25</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color w:val="auto"/>
          <w:sz w:val="22"/>
          <w:szCs w:val="22"/>
          <w:lang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w:t>
      </w:r>
      <w:r>
        <w:rPr>
          <w:rFonts w:hint="default" w:ascii="黑体" w:hAnsi="黑体" w:eastAsia="黑体" w:cs="黑体"/>
          <w:sz w:val="32"/>
          <w:szCs w:val="32"/>
          <w:highlight w:val="none"/>
          <w:lang w:val="en" w:eastAsia="zh-CN"/>
        </w:rPr>
        <w:t>-7</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tbl>
      <w:tblPr>
        <w:tblStyle w:val="9"/>
        <w:tblW w:w="9851" w:type="dxa"/>
        <w:jc w:val="center"/>
        <w:tblLayout w:type="autofit"/>
        <w:tblCellMar>
          <w:top w:w="0" w:type="dxa"/>
          <w:left w:w="108" w:type="dxa"/>
          <w:bottom w:w="0" w:type="dxa"/>
          <w:right w:w="108" w:type="dxa"/>
        </w:tblCellMar>
      </w:tblPr>
      <w:tblGrid>
        <w:gridCol w:w="1055"/>
        <w:gridCol w:w="1063"/>
        <w:gridCol w:w="1048"/>
        <w:gridCol w:w="1197"/>
        <w:gridCol w:w="1216"/>
        <w:gridCol w:w="1216"/>
        <w:gridCol w:w="811"/>
        <w:gridCol w:w="870"/>
        <w:gridCol w:w="1375"/>
      </w:tblGrid>
      <w:tr>
        <w:tblPrEx>
          <w:tblCellMar>
            <w:top w:w="0" w:type="dxa"/>
            <w:left w:w="108" w:type="dxa"/>
            <w:bottom w:w="0" w:type="dxa"/>
            <w:right w:w="108" w:type="dxa"/>
          </w:tblCellMar>
        </w:tblPrEx>
        <w:trPr>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6"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方正仿宋_GBK" w:hAnsi="方正仿宋_GBK" w:eastAsia="方正仿宋_GBK" w:cs="方正仿宋_GBK"/>
                <w:sz w:val="20"/>
                <w:szCs w:val="20"/>
                <w:lang w:val="en-US" w:eastAsia="zh-CN"/>
              </w:rPr>
              <w:t>非</w:t>
            </w:r>
            <w:r>
              <w:rPr>
                <w:rFonts w:hint="eastAsia" w:ascii="方正仿宋_GBK" w:hAnsi="方正仿宋_GBK" w:eastAsia="方正仿宋_GBK" w:cs="方正仿宋_GBK"/>
                <w:sz w:val="20"/>
                <w:szCs w:val="20"/>
                <w:lang w:val="en" w:eastAsia="zh-CN"/>
              </w:rPr>
              <w:t>税收入征管经费</w:t>
            </w:r>
          </w:p>
        </w:tc>
      </w:tr>
      <w:tr>
        <w:tblPrEx>
          <w:tblCellMar>
            <w:top w:w="0" w:type="dxa"/>
            <w:left w:w="108" w:type="dxa"/>
            <w:bottom w:w="0" w:type="dxa"/>
            <w:right w:w="108" w:type="dxa"/>
          </w:tblCellMar>
        </w:tblPrEx>
        <w:trPr>
          <w:trHeight w:val="420" w:hRule="atLeast"/>
          <w:jc w:val="center"/>
        </w:trPr>
        <w:tc>
          <w:tcPr>
            <w:tcW w:w="105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岳阳市城市管理和综合执法局</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实施单位</w:t>
            </w:r>
          </w:p>
        </w:tc>
        <w:tc>
          <w:tcPr>
            <w:tcW w:w="3056"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u w:val="none"/>
              </w:rPr>
              <w:t>岳阳市城市照明管理中心</w:t>
            </w:r>
          </w:p>
        </w:tc>
      </w:tr>
      <w:tr>
        <w:tblPrEx>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50"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78.87</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80.90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80.90</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480"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48.00</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53.03</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53.03</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5"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27.87</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27.87</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27.87</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5"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1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0" w:hRule="atLeast"/>
          <w:jc w:val="center"/>
        </w:trPr>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7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850"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24"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400" w:firstLineChars="200"/>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及时</w:t>
            </w:r>
            <w:r>
              <w:rPr>
                <w:rFonts w:hint="eastAsia" w:ascii="仿宋_GB2312" w:hAnsi="仿宋_GB2312" w:eastAsia="仿宋_GB2312" w:cs="仿宋_GB2312"/>
                <w:color w:val="000000"/>
                <w:sz w:val="20"/>
                <w:szCs w:val="20"/>
                <w:highlight w:val="none"/>
              </w:rPr>
              <w:t>收</w:t>
            </w:r>
            <w:r>
              <w:rPr>
                <w:rFonts w:hint="eastAsia" w:ascii="仿宋_GB2312" w:hAnsi="仿宋_GB2312" w:eastAsia="仿宋_GB2312" w:cs="仿宋_GB2312"/>
                <w:color w:val="000000"/>
                <w:sz w:val="20"/>
                <w:szCs w:val="20"/>
                <w:highlight w:val="none"/>
                <w:lang w:eastAsia="zh-CN"/>
              </w:rPr>
              <w:t>取</w:t>
            </w:r>
            <w:r>
              <w:rPr>
                <w:rFonts w:hint="eastAsia" w:ascii="仿宋_GB2312" w:hAnsi="仿宋_GB2312" w:eastAsia="仿宋_GB2312" w:cs="仿宋_GB2312"/>
                <w:color w:val="000000"/>
                <w:sz w:val="20"/>
                <w:szCs w:val="20"/>
                <w:highlight w:val="none"/>
              </w:rPr>
              <w:t>亮化监控设备款、路灯损坏赔偿款</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保障2024年度非税收入目标完成</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及时修复被损路灯，提升城市整体形象，推动亮化节能改造，建设绿色生态城市</w:t>
            </w:r>
            <w:r>
              <w:rPr>
                <w:rFonts w:hint="eastAsia" w:ascii="仿宋_GB2312" w:hAnsi="仿宋_GB2312" w:eastAsia="仿宋_GB2312" w:cs="仿宋_GB2312"/>
                <w:color w:val="000000"/>
                <w:sz w:val="20"/>
                <w:szCs w:val="20"/>
                <w:highlight w:val="none"/>
                <w:lang w:eastAsia="zh-CN"/>
              </w:rPr>
              <w:t>。</w:t>
            </w:r>
          </w:p>
        </w:tc>
        <w:tc>
          <w:tcPr>
            <w:tcW w:w="4272" w:type="dxa"/>
            <w:gridSpan w:val="4"/>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及时</w:t>
            </w:r>
            <w:r>
              <w:rPr>
                <w:rFonts w:hint="eastAsia" w:ascii="仿宋_GB2312" w:hAnsi="仿宋_GB2312" w:eastAsia="仿宋_GB2312" w:cs="仿宋_GB2312"/>
                <w:color w:val="000000"/>
                <w:sz w:val="20"/>
                <w:szCs w:val="20"/>
                <w:highlight w:val="none"/>
              </w:rPr>
              <w:t>收</w:t>
            </w:r>
            <w:r>
              <w:rPr>
                <w:rFonts w:hint="eastAsia" w:ascii="仿宋_GB2312" w:hAnsi="仿宋_GB2312" w:eastAsia="仿宋_GB2312" w:cs="仿宋_GB2312"/>
                <w:color w:val="000000"/>
                <w:sz w:val="20"/>
                <w:szCs w:val="20"/>
                <w:highlight w:val="none"/>
                <w:lang w:eastAsia="zh-CN"/>
              </w:rPr>
              <w:t>取了</w:t>
            </w:r>
            <w:r>
              <w:rPr>
                <w:rFonts w:hint="eastAsia" w:ascii="仿宋_GB2312" w:hAnsi="仿宋_GB2312" w:eastAsia="仿宋_GB2312" w:cs="仿宋_GB2312"/>
                <w:color w:val="000000"/>
                <w:sz w:val="20"/>
                <w:szCs w:val="20"/>
                <w:highlight w:val="none"/>
              </w:rPr>
              <w:t>亮化监控设备款、路灯损坏赔偿款</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完成2024年度非税收入目标</w:t>
            </w:r>
            <w:r>
              <w:rPr>
                <w:rFonts w:hint="eastAsia" w:ascii="仿宋_GB2312" w:hAnsi="仿宋_GB2312" w:eastAsia="仿宋_GB2312" w:cs="仿宋_GB2312"/>
                <w:color w:val="000000"/>
                <w:sz w:val="20"/>
                <w:szCs w:val="20"/>
                <w:highlight w:val="none"/>
                <w:lang w:eastAsia="zh-CN"/>
              </w:rPr>
              <w:t>。对</w:t>
            </w:r>
            <w:r>
              <w:rPr>
                <w:rFonts w:hint="eastAsia" w:ascii="仿宋_GB2312" w:hAnsi="仿宋_GB2312" w:eastAsia="仿宋_GB2312" w:cs="仿宋_GB2312"/>
                <w:color w:val="000000"/>
                <w:sz w:val="20"/>
                <w:szCs w:val="20"/>
                <w:highlight w:val="none"/>
              </w:rPr>
              <w:t>被损</w:t>
            </w:r>
            <w:r>
              <w:rPr>
                <w:rFonts w:hint="eastAsia" w:ascii="仿宋_GB2312" w:hAnsi="仿宋_GB2312" w:eastAsia="仿宋_GB2312" w:cs="仿宋_GB2312"/>
                <w:color w:val="000000"/>
                <w:sz w:val="20"/>
                <w:szCs w:val="20"/>
                <w:highlight w:val="none"/>
                <w:lang w:eastAsia="zh-CN"/>
              </w:rPr>
              <w:t>坏的</w:t>
            </w:r>
            <w:r>
              <w:rPr>
                <w:rFonts w:hint="eastAsia" w:ascii="仿宋_GB2312" w:hAnsi="仿宋_GB2312" w:eastAsia="仿宋_GB2312" w:cs="仿宋_GB2312"/>
                <w:color w:val="000000"/>
                <w:sz w:val="20"/>
                <w:szCs w:val="20"/>
                <w:highlight w:val="none"/>
              </w:rPr>
              <w:t>路灯</w:t>
            </w:r>
            <w:r>
              <w:rPr>
                <w:rFonts w:hint="eastAsia" w:ascii="仿宋_GB2312" w:hAnsi="仿宋_GB2312" w:eastAsia="仿宋_GB2312" w:cs="仿宋_GB2312"/>
                <w:color w:val="000000"/>
                <w:sz w:val="20"/>
                <w:szCs w:val="20"/>
                <w:highlight w:val="none"/>
                <w:lang w:eastAsia="zh-CN"/>
              </w:rPr>
              <w:t>及时进行了</w:t>
            </w:r>
            <w:r>
              <w:rPr>
                <w:rFonts w:hint="eastAsia" w:ascii="仿宋_GB2312" w:hAnsi="仿宋_GB2312" w:eastAsia="仿宋_GB2312" w:cs="仿宋_GB2312"/>
                <w:color w:val="000000"/>
                <w:sz w:val="20"/>
                <w:szCs w:val="20"/>
                <w:highlight w:val="none"/>
              </w:rPr>
              <w:t>修复</w:t>
            </w:r>
            <w:r>
              <w:rPr>
                <w:rFonts w:hint="eastAsia" w:ascii="仿宋_GB2312" w:hAnsi="仿宋_GB2312" w:eastAsia="仿宋_GB2312" w:cs="仿宋_GB2312"/>
                <w:color w:val="000000"/>
                <w:sz w:val="20"/>
                <w:szCs w:val="20"/>
                <w:highlight w:val="none"/>
                <w:lang w:eastAsia="zh-CN"/>
              </w:rPr>
              <w:t>处置，</w:t>
            </w:r>
            <w:r>
              <w:rPr>
                <w:rFonts w:hint="eastAsia" w:ascii="仿宋_GB2312" w:hAnsi="仿宋_GB2312" w:eastAsia="仿宋_GB2312" w:cs="仿宋_GB2312"/>
                <w:color w:val="000000"/>
                <w:sz w:val="20"/>
                <w:szCs w:val="20"/>
                <w:highlight w:val="none"/>
              </w:rPr>
              <w:t>提升城市整体形象，亮化节能改造</w:t>
            </w:r>
            <w:r>
              <w:rPr>
                <w:rFonts w:hint="eastAsia" w:ascii="仿宋_GB2312" w:hAnsi="仿宋_GB2312" w:eastAsia="仿宋_GB2312" w:cs="仿宋_GB2312"/>
                <w:color w:val="000000"/>
                <w:sz w:val="20"/>
                <w:szCs w:val="20"/>
                <w:highlight w:val="none"/>
                <w:lang w:eastAsia="zh-CN"/>
              </w:rPr>
              <w:t>工作顺利推进</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为</w:t>
            </w:r>
            <w:r>
              <w:rPr>
                <w:rFonts w:hint="eastAsia" w:ascii="仿宋_GB2312" w:hAnsi="仿宋_GB2312" w:eastAsia="仿宋_GB2312" w:cs="仿宋_GB2312"/>
                <w:color w:val="000000"/>
                <w:sz w:val="20"/>
                <w:szCs w:val="20"/>
                <w:highlight w:val="none"/>
              </w:rPr>
              <w:t>建设绿色生态城市</w:t>
            </w:r>
            <w:r>
              <w:rPr>
                <w:rFonts w:hint="eastAsia" w:ascii="仿宋_GB2312" w:hAnsi="仿宋_GB2312" w:eastAsia="仿宋_GB2312" w:cs="仿宋_GB2312"/>
                <w:color w:val="000000"/>
                <w:sz w:val="20"/>
                <w:szCs w:val="20"/>
                <w:highlight w:val="none"/>
                <w:lang w:eastAsia="zh-CN"/>
              </w:rPr>
              <w:t>奠定了基础。</w:t>
            </w:r>
          </w:p>
        </w:tc>
      </w:tr>
      <w:tr>
        <w:tblPrEx>
          <w:tblCellMar>
            <w:top w:w="0" w:type="dxa"/>
            <w:left w:w="108" w:type="dxa"/>
            <w:bottom w:w="0" w:type="dxa"/>
            <w:right w:w="108" w:type="dxa"/>
          </w:tblCellMar>
        </w:tblPrEx>
        <w:trPr>
          <w:jc w:val="center"/>
        </w:trPr>
        <w:tc>
          <w:tcPr>
            <w:tcW w:w="105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保障公用亮化设施正常运行</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亮化设施功率4008.26KW</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亮化设施功率4008.26KW</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保障小街巷路灯正常运行</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4229盏</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4229盏</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保障城区主次干道路灯正常运行</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20664盏</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20664盏</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5"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质量符合行业相关标准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符合湖南省城市照明设施维护标准</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符合行业相关标准</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5"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设施完好率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达98%</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达9</w:t>
            </w:r>
            <w:r>
              <w:rPr>
                <w:rFonts w:hint="eastAsia" w:ascii="仿宋_GB2312" w:hAnsi="仿宋_GB2312" w:eastAsia="仿宋_GB2312" w:cs="仿宋_GB2312"/>
                <w:color w:val="000000"/>
                <w:sz w:val="20"/>
                <w:szCs w:val="20"/>
                <w:highlight w:val="none"/>
                <w:lang w:val="en-US" w:eastAsia="zh-CN"/>
              </w:rPr>
              <w:t>9</w:t>
            </w: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eastAsia="zh-CN"/>
              </w:rPr>
              <w:t>以上</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25" w:hRule="atLeast"/>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保证亮灯率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达98%</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达98%</w:t>
            </w:r>
            <w:r>
              <w:rPr>
                <w:rFonts w:hint="eastAsia" w:ascii="仿宋_GB2312" w:hAnsi="仿宋_GB2312" w:eastAsia="仿宋_GB2312" w:cs="仿宋_GB2312"/>
                <w:color w:val="000000"/>
                <w:sz w:val="20"/>
                <w:szCs w:val="20"/>
                <w:highlight w:val="none"/>
                <w:lang w:eastAsia="zh-CN"/>
              </w:rPr>
              <w:t>以上</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完成本年度非税收入</w:t>
            </w:r>
            <w:r>
              <w:rPr>
                <w:rFonts w:hint="eastAsia" w:ascii="仿宋_GB2312" w:hAnsi="仿宋_GB2312" w:eastAsia="仿宋_GB2312" w:cs="仿宋_GB2312"/>
                <w:color w:val="000000"/>
                <w:sz w:val="20"/>
                <w:szCs w:val="20"/>
                <w:highlight w:val="none"/>
                <w:lang w:eastAsia="zh-CN"/>
              </w:rPr>
              <w:t>征收计划</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如期完成</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控制在预算金额80.9万元内</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含上年结转资金</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经济成本指标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成本率80%之内</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成本率控制在80%之内</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对社会造成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w:t>
            </w:r>
            <w:r>
              <w:rPr>
                <w:rFonts w:hint="eastAsia" w:ascii="仿宋_GB2312" w:hAnsi="仿宋_GB2312" w:eastAsia="仿宋_GB2312" w:cs="仿宋_GB2312"/>
                <w:color w:val="000000"/>
                <w:sz w:val="20"/>
                <w:szCs w:val="20"/>
                <w:highlight w:val="none"/>
                <w:lang w:val="en-US" w:eastAsia="zh-CN"/>
              </w:rPr>
              <w:t>生态环境</w:t>
            </w:r>
            <w:r>
              <w:rPr>
                <w:rFonts w:hint="eastAsia" w:ascii="仿宋_GB2312" w:hAnsi="仿宋_GB2312" w:eastAsia="仿宋_GB2312" w:cs="仿宋_GB2312"/>
                <w:color w:val="000000"/>
                <w:sz w:val="20"/>
                <w:szCs w:val="20"/>
                <w:highlight w:val="none"/>
              </w:rPr>
              <w:t>造成</w:t>
            </w:r>
            <w:r>
              <w:rPr>
                <w:rFonts w:hint="eastAsia" w:ascii="仿宋_GB2312" w:hAnsi="仿宋_GB2312" w:eastAsia="仿宋_GB2312" w:cs="仿宋_GB2312"/>
                <w:color w:val="000000"/>
                <w:sz w:val="20"/>
                <w:szCs w:val="20"/>
                <w:highlight w:val="none"/>
                <w:lang w:val="en-US" w:eastAsia="zh-CN"/>
              </w:rPr>
              <w:t>负面</w:t>
            </w:r>
            <w:r>
              <w:rPr>
                <w:rFonts w:hint="eastAsia" w:ascii="仿宋_GB2312" w:hAnsi="仿宋_GB2312" w:eastAsia="仿宋_GB2312" w:cs="仿宋_GB2312"/>
                <w:color w:val="000000"/>
                <w:sz w:val="20"/>
                <w:szCs w:val="20"/>
                <w:highlight w:val="none"/>
              </w:rPr>
              <w:t>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无负面</w:t>
            </w:r>
            <w:r>
              <w:rPr>
                <w:rFonts w:hint="eastAsia" w:ascii="仿宋_GB2312" w:hAnsi="仿宋_GB2312" w:eastAsia="仿宋_GB2312" w:cs="仿宋_GB2312"/>
                <w:color w:val="000000"/>
                <w:sz w:val="20"/>
                <w:szCs w:val="20"/>
                <w:highlight w:val="none"/>
              </w:rPr>
              <w:t>影响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非税项目创收</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达到60万元</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如期完成任务</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改善城市夜间出行环境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kern w:val="0"/>
                <w:sz w:val="20"/>
                <w:szCs w:val="20"/>
                <w:lang w:val="en-US" w:eastAsia="zh-CN" w:bidi="ar-SA"/>
              </w:rPr>
              <w:t>保障夜间道路安全，改善市民夜间出行环境</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有效改善</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及时修复被损路灯</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及时修复被损路灯，提升城市整体形象</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被损路灯均得到及时修复</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更换节能型亮化设施设备</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更换节能型亮化设施设备</w:t>
            </w:r>
            <w:r>
              <w:rPr>
                <w:rFonts w:hint="eastAsia" w:ascii="仿宋_GB2312" w:hAnsi="仿宋_GB2312" w:eastAsia="仿宋_GB2312" w:cs="仿宋_GB2312"/>
                <w:color w:val="000000"/>
                <w:kern w:val="0"/>
                <w:sz w:val="20"/>
                <w:szCs w:val="20"/>
                <w:lang w:val="en-US" w:eastAsia="zh-CN" w:bidi="ar-SA"/>
              </w:rPr>
              <w:t>，加快</w:t>
            </w:r>
            <w:r>
              <w:rPr>
                <w:rFonts w:hint="default" w:ascii="仿宋_GB2312" w:hAnsi="仿宋_GB2312" w:eastAsia="仿宋_GB2312" w:cs="仿宋_GB2312"/>
                <w:color w:val="000000"/>
                <w:kern w:val="0"/>
                <w:sz w:val="20"/>
                <w:szCs w:val="20"/>
                <w:lang w:val="en-US" w:eastAsia="zh-CN" w:bidi="ar-SA"/>
              </w:rPr>
              <w:t>路灯节能改造</w:t>
            </w:r>
            <w:r>
              <w:rPr>
                <w:rFonts w:hint="eastAsia" w:ascii="仿宋_GB2312" w:hAnsi="仿宋_GB2312" w:eastAsia="仿宋_GB2312" w:cs="仿宋_GB2312"/>
                <w:color w:val="000000"/>
                <w:kern w:val="0"/>
                <w:sz w:val="20"/>
                <w:szCs w:val="20"/>
                <w:lang w:val="en-US" w:eastAsia="zh-CN" w:bidi="ar-SA"/>
              </w:rPr>
              <w:t>进程</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default" w:ascii="仿宋_GB2312" w:hAnsi="仿宋_GB2312" w:eastAsia="仿宋_GB2312" w:cs="仿宋_GB2312"/>
                <w:color w:val="000000"/>
                <w:kern w:val="0"/>
                <w:sz w:val="20"/>
                <w:szCs w:val="20"/>
                <w:lang w:val="en-US" w:eastAsia="zh-CN" w:bidi="ar-SA"/>
              </w:rPr>
              <w:t>路灯节能改造</w:t>
            </w:r>
            <w:r>
              <w:rPr>
                <w:rFonts w:hint="eastAsia" w:ascii="仿宋_GB2312" w:hAnsi="仿宋_GB2312" w:eastAsia="仿宋_GB2312" w:cs="仿宋_GB2312"/>
                <w:color w:val="000000"/>
                <w:kern w:val="0"/>
                <w:sz w:val="20"/>
                <w:szCs w:val="20"/>
                <w:lang w:val="en-US" w:eastAsia="zh-CN" w:bidi="ar-SA"/>
              </w:rPr>
              <w:t>工作稳步推进</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节能改造工作进度有待加快，需更新灯具数量多，资金需求量大。合理调配资金，加快节能改造。</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间接助力岳阳经济发展</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助力城市旅游业发展</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有效助力</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4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改善人居环境，提高交通安全</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改善人居环境，提高交通安全</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kern w:val="0"/>
                <w:sz w:val="20"/>
                <w:szCs w:val="20"/>
                <w:lang w:val="en-US" w:eastAsia="zh-CN" w:bidi="ar-SA"/>
              </w:rPr>
              <w:t>得到有效改善</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5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9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eastAsia="zh-CN"/>
              </w:rPr>
              <w:t>市民</w:t>
            </w:r>
            <w:r>
              <w:rPr>
                <w:rFonts w:hint="eastAsia" w:ascii="仿宋_GB2312" w:hAnsi="仿宋_GB2312" w:eastAsia="仿宋_GB2312" w:cs="仿宋_GB2312"/>
                <w:color w:val="000000"/>
                <w:sz w:val="20"/>
                <w:szCs w:val="20"/>
              </w:rPr>
              <w:t>满意度</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9</w:t>
            </w:r>
            <w:r>
              <w:rPr>
                <w:rFonts w:hint="eastAsia" w:ascii="仿宋_GB2312" w:hAnsi="仿宋_GB2312" w:eastAsia="仿宋_GB2312" w:cs="仿宋_GB2312"/>
                <w:color w:val="000000"/>
                <w:sz w:val="20"/>
                <w:szCs w:val="20"/>
                <w:lang w:val="en-US" w:eastAsia="zh-CN"/>
              </w:rPr>
              <w:t>5</w:t>
            </w: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以上</w:t>
            </w:r>
          </w:p>
        </w:tc>
        <w:tc>
          <w:tcPr>
            <w:tcW w:w="12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rPr>
              <w:t>　</w:t>
            </w:r>
            <w:r>
              <w:rPr>
                <w:rFonts w:hint="eastAsia" w:ascii="仿宋_GB2312" w:hAnsi="仿宋_GB2312" w:eastAsia="仿宋_GB2312" w:cs="仿宋_GB2312"/>
                <w:color w:val="000000"/>
                <w:sz w:val="20"/>
                <w:szCs w:val="20"/>
                <w:lang w:val="en-US" w:eastAsia="zh-CN"/>
              </w:rPr>
              <w:t>96%</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6795"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w:t>
            </w:r>
          </w:p>
        </w:tc>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18"/>
          <w:szCs w:val="18"/>
          <w:highlight w:val="none"/>
        </w:rPr>
      </w:pPr>
    </w:p>
    <w:p>
      <w:pPr>
        <w:keepNext w:val="0"/>
        <w:keepLines w:val="0"/>
        <w:pageBreakBefore w:val="0"/>
        <w:kinsoku/>
        <w:wordWrap/>
        <w:overflowPunct/>
        <w:topLinePunct w:val="0"/>
        <w:autoSpaceDE/>
        <w:autoSpaceDN/>
        <w:bidi w:val="0"/>
        <w:adjustRightInd/>
        <w:snapToGrid/>
        <w:spacing w:line="340" w:lineRule="exact"/>
        <w:textAlignment w:val="auto"/>
        <w:rPr>
          <w:rFonts w:hint="eastAsia" w:ascii="CESI仿宋-GB2312" w:hAnsi="CESI仿宋-GB2312" w:eastAsia="CESI仿宋-GB2312" w:cs="CESI仿宋-GB2312"/>
          <w:color w:val="auto"/>
          <w:sz w:val="22"/>
          <w:szCs w:val="22"/>
          <w:lang w:eastAsia="zh-CN"/>
        </w:rPr>
      </w:pPr>
      <w:r>
        <w:rPr>
          <w:rFonts w:hint="eastAsia" w:ascii="仿宋_GB2312" w:hAnsi="仿宋_GB2312" w:eastAsia="仿宋_GB2312" w:cs="仿宋_GB2312"/>
          <w:sz w:val="22"/>
          <w:szCs w:val="22"/>
        </w:rPr>
        <w:t>填表人：</w:t>
      </w:r>
      <w:r>
        <w:rPr>
          <w:rFonts w:hint="eastAsia" w:ascii="仿宋_GB2312" w:hAnsi="仿宋_GB2312" w:eastAsia="仿宋_GB2312" w:cs="仿宋_GB2312"/>
          <w:sz w:val="22"/>
          <w:szCs w:val="22"/>
          <w:lang w:val="en-US" w:eastAsia="zh-CN"/>
        </w:rPr>
        <w:t>姜华</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填报日期：</w:t>
      </w:r>
      <w:r>
        <w:rPr>
          <w:rFonts w:hint="eastAsia" w:ascii="仿宋_GB2312" w:hAnsi="仿宋_GB2312" w:eastAsia="仿宋_GB2312" w:cs="仿宋_GB2312"/>
          <w:sz w:val="22"/>
          <w:szCs w:val="22"/>
          <w:lang w:val="en-US" w:eastAsia="zh-CN"/>
        </w:rPr>
        <w:t>2025.6.25</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联系电话：</w:t>
      </w:r>
      <w:r>
        <w:rPr>
          <w:rFonts w:hint="eastAsia" w:ascii="仿宋_GB2312" w:hAnsi="仿宋_GB2312" w:eastAsia="仿宋_GB2312" w:cs="仿宋_GB2312"/>
          <w:sz w:val="22"/>
          <w:szCs w:val="22"/>
          <w:lang w:val="en-US" w:eastAsia="zh-CN"/>
        </w:rPr>
        <w:t>8222406</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 xml:space="preserve"> </w:t>
      </w:r>
      <w:r>
        <w:rPr>
          <w:rFonts w:hint="eastAsia" w:ascii="仿宋_GB2312" w:hAnsi="仿宋_GB2312" w:eastAsia="仿宋_GB2312" w:cs="仿宋_GB2312"/>
          <w:color w:val="auto"/>
          <w:sz w:val="22"/>
          <w:szCs w:val="22"/>
          <w:lang w:val="en-US" w:eastAsia="zh-CN"/>
        </w:rPr>
        <w:t xml:space="preserve"> </w:t>
      </w:r>
      <w:r>
        <w:rPr>
          <w:rFonts w:hint="eastAsia" w:ascii="仿宋_GB2312" w:hAnsi="仿宋_GB2312" w:eastAsia="仿宋_GB2312" w:cs="仿宋_GB2312"/>
          <w:color w:val="auto"/>
          <w:sz w:val="22"/>
          <w:szCs w:val="22"/>
        </w:rPr>
        <w:t>单位负责人</w:t>
      </w:r>
      <w:r>
        <w:rPr>
          <w:rFonts w:hint="eastAsia" w:ascii="仿宋_GB2312" w:hAnsi="仿宋_GB2312" w:eastAsia="仿宋_GB2312" w:cs="仿宋_GB2312"/>
          <w:color w:val="auto"/>
          <w:sz w:val="22"/>
          <w:szCs w:val="22"/>
          <w:lang w:eastAsia="zh-CN"/>
        </w:rPr>
        <w:t>：</w:t>
      </w:r>
    </w:p>
    <w:p>
      <w:pPr>
        <w:pStyle w:val="4"/>
        <w:keepNext w:val="0"/>
        <w:keepLines w:val="0"/>
        <w:pageBreakBefore w:val="0"/>
        <w:kinsoku/>
        <w:wordWrap/>
        <w:overflowPunct/>
        <w:topLinePunct w:val="0"/>
        <w:autoSpaceDE/>
        <w:autoSpaceDN/>
        <w:bidi w:val="0"/>
        <w:adjustRightInd/>
        <w:snapToGrid/>
        <w:spacing w:line="340" w:lineRule="exact"/>
        <w:ind w:left="0" w:leftChars="0" w:firstLine="0" w:firstLineChars="0"/>
        <w:textAlignment w:val="auto"/>
        <w:rPr>
          <w:rFonts w:hint="eastAsia"/>
          <w:lang w:eastAsia="zh-CN"/>
        </w:rPr>
      </w:pPr>
    </w:p>
    <w:p>
      <w:pPr>
        <w:rPr>
          <w:rFonts w:hint="eastAsia"/>
          <w:lang w:eastAsia="zh-CN"/>
        </w:rPr>
      </w:pPr>
    </w:p>
    <w:p>
      <w:pPr>
        <w:pStyle w:val="4"/>
        <w:ind w:left="0" w:leftChars="0" w:firstLine="0" w:firstLineChars="0"/>
        <w:rPr>
          <w:rFonts w:hint="eastAsia"/>
          <w:lang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CESI仿宋-GB2312">
    <w:altName w:val="仿宋"/>
    <w:panose1 w:val="02000500000000000000"/>
    <w:charset w:val="86"/>
    <w:family w:val="auto"/>
    <w:pitch w:val="default"/>
    <w:sig w:usb0="00000000" w:usb1="00000000" w:usb2="00000010"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D4F8E"/>
    <w:multiLevelType w:val="singleLevel"/>
    <w:tmpl w:val="805D4F8E"/>
    <w:lvl w:ilvl="0" w:tentative="0">
      <w:start w:val="4"/>
      <w:numFmt w:val="chineseCounting"/>
      <w:suff w:val="nothing"/>
      <w:lvlText w:val="%1、"/>
      <w:lvlJc w:val="left"/>
      <w:rPr>
        <w:rFonts w:hint="eastAsia"/>
      </w:rPr>
    </w:lvl>
  </w:abstractNum>
  <w:abstractNum w:abstractNumId="1">
    <w:nsid w:val="DD1A013B"/>
    <w:multiLevelType w:val="singleLevel"/>
    <w:tmpl w:val="DD1A013B"/>
    <w:lvl w:ilvl="0" w:tentative="0">
      <w:start w:val="1"/>
      <w:numFmt w:val="chineseCounting"/>
      <w:suff w:val="nothing"/>
      <w:lvlText w:val="%1、"/>
      <w:lvlJc w:val="left"/>
      <w:rPr>
        <w:rFonts w:hint="eastAsia"/>
      </w:rPr>
    </w:lvl>
  </w:abstractNum>
  <w:abstractNum w:abstractNumId="2">
    <w:nsid w:val="49156B2E"/>
    <w:multiLevelType w:val="singleLevel"/>
    <w:tmpl w:val="49156B2E"/>
    <w:lvl w:ilvl="0" w:tentative="0">
      <w:start w:val="2"/>
      <w:numFmt w:val="chineseCounting"/>
      <w:suff w:val="nothing"/>
      <w:lvlText w:val="（%1）"/>
      <w:lvlJc w:val="left"/>
      <w:pPr>
        <w:ind w:left="-83"/>
      </w:pPr>
      <w:rPr>
        <w:rFonts w:hint="eastAsia" w:ascii="仿宋_GB2312" w:hAnsi="仿宋_GB2312" w:eastAsia="仿宋_GB2312" w:cs="仿宋_GB2312"/>
      </w:rPr>
    </w:lvl>
  </w:abstractNum>
  <w:abstractNum w:abstractNumId="3">
    <w:nsid w:val="5DDAF873"/>
    <w:multiLevelType w:val="singleLevel"/>
    <w:tmpl w:val="5DDAF873"/>
    <w:lvl w:ilvl="0" w:tentative="0">
      <w:start w:val="5"/>
      <w:numFmt w:val="chineseCounting"/>
      <w:suff w:val="nothing"/>
      <w:lvlText w:val="（%1）"/>
      <w:lvlJc w:val="left"/>
      <w:pPr>
        <w:ind w:left="640" w:firstLine="0"/>
      </w:pPr>
      <w:rPr>
        <w:rFonts w:hint="eastAsia"/>
      </w:rPr>
    </w:lvl>
  </w:abstractNum>
  <w:abstractNum w:abstractNumId="4">
    <w:nsid w:val="6EE7D32B"/>
    <w:multiLevelType w:val="singleLevel"/>
    <w:tmpl w:val="6EE7D32B"/>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ZmZhYjQ5ZWIyNWQ1MDk1ZGZjZmI4NGExNWQyMmUifQ=="/>
  </w:docVars>
  <w:rsids>
    <w:rsidRoot w:val="59886344"/>
    <w:rsid w:val="007200AE"/>
    <w:rsid w:val="008B7D2F"/>
    <w:rsid w:val="00F42F54"/>
    <w:rsid w:val="010A29DC"/>
    <w:rsid w:val="01320BFA"/>
    <w:rsid w:val="013C690E"/>
    <w:rsid w:val="016C0FA1"/>
    <w:rsid w:val="01C012ED"/>
    <w:rsid w:val="01CC7C92"/>
    <w:rsid w:val="023D46EC"/>
    <w:rsid w:val="02BA520D"/>
    <w:rsid w:val="03887BE8"/>
    <w:rsid w:val="038B1487"/>
    <w:rsid w:val="03947371"/>
    <w:rsid w:val="039A2A86"/>
    <w:rsid w:val="03D80B70"/>
    <w:rsid w:val="03EF7C67"/>
    <w:rsid w:val="04131BA8"/>
    <w:rsid w:val="04131D4A"/>
    <w:rsid w:val="044B331B"/>
    <w:rsid w:val="048B2A31"/>
    <w:rsid w:val="04CBF185"/>
    <w:rsid w:val="04E26BF7"/>
    <w:rsid w:val="055C132D"/>
    <w:rsid w:val="056D52E8"/>
    <w:rsid w:val="05A76A4C"/>
    <w:rsid w:val="05C0366A"/>
    <w:rsid w:val="06FF0D9C"/>
    <w:rsid w:val="075F4141"/>
    <w:rsid w:val="075F5104"/>
    <w:rsid w:val="07754928"/>
    <w:rsid w:val="07D14A31"/>
    <w:rsid w:val="081D70BD"/>
    <w:rsid w:val="083311CC"/>
    <w:rsid w:val="09127B58"/>
    <w:rsid w:val="09D973F0"/>
    <w:rsid w:val="0A29476A"/>
    <w:rsid w:val="0A2A7C4B"/>
    <w:rsid w:val="0A4B2358"/>
    <w:rsid w:val="0A7C7039"/>
    <w:rsid w:val="0A805ABD"/>
    <w:rsid w:val="0A8E361C"/>
    <w:rsid w:val="0AA70798"/>
    <w:rsid w:val="0AAF1EFF"/>
    <w:rsid w:val="0AC43BFC"/>
    <w:rsid w:val="0AEF054D"/>
    <w:rsid w:val="0B1E6035"/>
    <w:rsid w:val="0B3E52F2"/>
    <w:rsid w:val="0B7B6A8B"/>
    <w:rsid w:val="0B9C25CD"/>
    <w:rsid w:val="0BA776D8"/>
    <w:rsid w:val="0C1F444D"/>
    <w:rsid w:val="0C4F1BEB"/>
    <w:rsid w:val="0CEA22C9"/>
    <w:rsid w:val="0D104ECE"/>
    <w:rsid w:val="0D1C7D1F"/>
    <w:rsid w:val="0D22079D"/>
    <w:rsid w:val="0D437BE5"/>
    <w:rsid w:val="0DBA3094"/>
    <w:rsid w:val="0E4E4698"/>
    <w:rsid w:val="0E87741A"/>
    <w:rsid w:val="0ECA37AB"/>
    <w:rsid w:val="0EF7E335"/>
    <w:rsid w:val="0F1A24B5"/>
    <w:rsid w:val="0F267955"/>
    <w:rsid w:val="0F707EAE"/>
    <w:rsid w:val="0F9D2C6D"/>
    <w:rsid w:val="0FA91612"/>
    <w:rsid w:val="0FAF079F"/>
    <w:rsid w:val="0FB57FB7"/>
    <w:rsid w:val="0FCC3B6B"/>
    <w:rsid w:val="10014FAA"/>
    <w:rsid w:val="10246EEB"/>
    <w:rsid w:val="10481EE0"/>
    <w:rsid w:val="10675755"/>
    <w:rsid w:val="10961E1D"/>
    <w:rsid w:val="10BB1506"/>
    <w:rsid w:val="10EC17B7"/>
    <w:rsid w:val="11404570"/>
    <w:rsid w:val="11492E52"/>
    <w:rsid w:val="115832F0"/>
    <w:rsid w:val="11D16BFE"/>
    <w:rsid w:val="124C3827"/>
    <w:rsid w:val="12526F96"/>
    <w:rsid w:val="12C2329D"/>
    <w:rsid w:val="12EC1F42"/>
    <w:rsid w:val="12F2507E"/>
    <w:rsid w:val="135F6908"/>
    <w:rsid w:val="138D755E"/>
    <w:rsid w:val="13961EAE"/>
    <w:rsid w:val="13BD56CC"/>
    <w:rsid w:val="13BF2ED5"/>
    <w:rsid w:val="13EE5846"/>
    <w:rsid w:val="143A4F2F"/>
    <w:rsid w:val="14847F58"/>
    <w:rsid w:val="149614BC"/>
    <w:rsid w:val="14D80309"/>
    <w:rsid w:val="14FFB1E3"/>
    <w:rsid w:val="154528B2"/>
    <w:rsid w:val="15510782"/>
    <w:rsid w:val="15655FDB"/>
    <w:rsid w:val="15C154CF"/>
    <w:rsid w:val="15DD5B72"/>
    <w:rsid w:val="160475A2"/>
    <w:rsid w:val="16096967"/>
    <w:rsid w:val="16E762AF"/>
    <w:rsid w:val="16FFDE7F"/>
    <w:rsid w:val="171F0588"/>
    <w:rsid w:val="1763479D"/>
    <w:rsid w:val="17AD4DD1"/>
    <w:rsid w:val="17AF1790"/>
    <w:rsid w:val="17E94CA2"/>
    <w:rsid w:val="183E6567"/>
    <w:rsid w:val="18493992"/>
    <w:rsid w:val="185F4F64"/>
    <w:rsid w:val="18CD6371"/>
    <w:rsid w:val="18D25736"/>
    <w:rsid w:val="18FA4C8D"/>
    <w:rsid w:val="19200BE6"/>
    <w:rsid w:val="192B4E46"/>
    <w:rsid w:val="19510D51"/>
    <w:rsid w:val="1A2E2E40"/>
    <w:rsid w:val="1A3B9CEA"/>
    <w:rsid w:val="1A4245C3"/>
    <w:rsid w:val="1AC02F99"/>
    <w:rsid w:val="1AF38AE2"/>
    <w:rsid w:val="1B2D1349"/>
    <w:rsid w:val="1B4B17D0"/>
    <w:rsid w:val="1B7F2977"/>
    <w:rsid w:val="1BB76E46"/>
    <w:rsid w:val="1C1B3898"/>
    <w:rsid w:val="1C534DE0"/>
    <w:rsid w:val="1CC32D57"/>
    <w:rsid w:val="1CDD793F"/>
    <w:rsid w:val="1CDF4F7E"/>
    <w:rsid w:val="1CE95A02"/>
    <w:rsid w:val="1CFE11EF"/>
    <w:rsid w:val="1D6D0123"/>
    <w:rsid w:val="1D7FA836"/>
    <w:rsid w:val="1D94893A"/>
    <w:rsid w:val="1DAD49C3"/>
    <w:rsid w:val="1DF51B31"/>
    <w:rsid w:val="1E6F86CE"/>
    <w:rsid w:val="1E7F010E"/>
    <w:rsid w:val="1E90231B"/>
    <w:rsid w:val="1E9F7573"/>
    <w:rsid w:val="1EFACA2E"/>
    <w:rsid w:val="1F134CFA"/>
    <w:rsid w:val="1F1A22A4"/>
    <w:rsid w:val="1F3BE52E"/>
    <w:rsid w:val="1F3C3B5B"/>
    <w:rsid w:val="1F65554F"/>
    <w:rsid w:val="1F7C289F"/>
    <w:rsid w:val="1F9F2D5F"/>
    <w:rsid w:val="1FBEEB04"/>
    <w:rsid w:val="207812B9"/>
    <w:rsid w:val="20816757"/>
    <w:rsid w:val="216E446A"/>
    <w:rsid w:val="217C0935"/>
    <w:rsid w:val="2181419D"/>
    <w:rsid w:val="21BC701B"/>
    <w:rsid w:val="21EE1107"/>
    <w:rsid w:val="22482474"/>
    <w:rsid w:val="22482D43"/>
    <w:rsid w:val="22483303"/>
    <w:rsid w:val="225C42C2"/>
    <w:rsid w:val="22A939AB"/>
    <w:rsid w:val="22B8599C"/>
    <w:rsid w:val="22D7265F"/>
    <w:rsid w:val="231418B0"/>
    <w:rsid w:val="236E1660"/>
    <w:rsid w:val="239605DE"/>
    <w:rsid w:val="23B02B18"/>
    <w:rsid w:val="23D97AB7"/>
    <w:rsid w:val="23FF845B"/>
    <w:rsid w:val="24520ADF"/>
    <w:rsid w:val="2468515C"/>
    <w:rsid w:val="24CF521F"/>
    <w:rsid w:val="255D2739"/>
    <w:rsid w:val="25867FD4"/>
    <w:rsid w:val="25C74149"/>
    <w:rsid w:val="261B04A2"/>
    <w:rsid w:val="26212B85"/>
    <w:rsid w:val="26B172D2"/>
    <w:rsid w:val="26DF027F"/>
    <w:rsid w:val="26E43DCB"/>
    <w:rsid w:val="26EA6341"/>
    <w:rsid w:val="26F14BE3"/>
    <w:rsid w:val="26FC03BD"/>
    <w:rsid w:val="275434FD"/>
    <w:rsid w:val="2762237B"/>
    <w:rsid w:val="27DADB30"/>
    <w:rsid w:val="27E64D5A"/>
    <w:rsid w:val="27EA4D2F"/>
    <w:rsid w:val="27EEFD3F"/>
    <w:rsid w:val="27F5510A"/>
    <w:rsid w:val="27F71BB0"/>
    <w:rsid w:val="27F7A504"/>
    <w:rsid w:val="284877C3"/>
    <w:rsid w:val="289522DC"/>
    <w:rsid w:val="28B560BE"/>
    <w:rsid w:val="28C36E49"/>
    <w:rsid w:val="290D27BA"/>
    <w:rsid w:val="29AE18A7"/>
    <w:rsid w:val="29B35110"/>
    <w:rsid w:val="29DF6152"/>
    <w:rsid w:val="2A2878AC"/>
    <w:rsid w:val="2A5A5676"/>
    <w:rsid w:val="2A622692"/>
    <w:rsid w:val="2A86EA99"/>
    <w:rsid w:val="2AAE58D7"/>
    <w:rsid w:val="2ADE61BC"/>
    <w:rsid w:val="2B2D4A4E"/>
    <w:rsid w:val="2BA2543C"/>
    <w:rsid w:val="2BEB6DE3"/>
    <w:rsid w:val="2BFF1D57"/>
    <w:rsid w:val="2C167E8F"/>
    <w:rsid w:val="2C211588"/>
    <w:rsid w:val="2C387B4E"/>
    <w:rsid w:val="2C4E6D38"/>
    <w:rsid w:val="2CF557A9"/>
    <w:rsid w:val="2CFBE5BD"/>
    <w:rsid w:val="2D486799"/>
    <w:rsid w:val="2D6D383A"/>
    <w:rsid w:val="2D7124F1"/>
    <w:rsid w:val="2DD41AF8"/>
    <w:rsid w:val="2E20089A"/>
    <w:rsid w:val="2E555BD0"/>
    <w:rsid w:val="2EBE0079"/>
    <w:rsid w:val="2EBEC15B"/>
    <w:rsid w:val="2EDC8137"/>
    <w:rsid w:val="2EEC63A7"/>
    <w:rsid w:val="2EF20488"/>
    <w:rsid w:val="2F0B154A"/>
    <w:rsid w:val="2F287E07"/>
    <w:rsid w:val="2F3F2FA2"/>
    <w:rsid w:val="2F6B41A3"/>
    <w:rsid w:val="2F7CB1B4"/>
    <w:rsid w:val="2F874C11"/>
    <w:rsid w:val="2F8E07F4"/>
    <w:rsid w:val="2FA5FE0B"/>
    <w:rsid w:val="2FAA2B11"/>
    <w:rsid w:val="2FBE78C4"/>
    <w:rsid w:val="2FEA32E8"/>
    <w:rsid w:val="2FEE0B34"/>
    <w:rsid w:val="2FF1F9B8"/>
    <w:rsid w:val="2FFBB3D0"/>
    <w:rsid w:val="2FFDAF4F"/>
    <w:rsid w:val="301E15CC"/>
    <w:rsid w:val="3036513C"/>
    <w:rsid w:val="303C36D4"/>
    <w:rsid w:val="304F7540"/>
    <w:rsid w:val="30721F21"/>
    <w:rsid w:val="30FA3624"/>
    <w:rsid w:val="31061FC9"/>
    <w:rsid w:val="31181CFC"/>
    <w:rsid w:val="31683035"/>
    <w:rsid w:val="31715F0D"/>
    <w:rsid w:val="31D579CD"/>
    <w:rsid w:val="31D76F4E"/>
    <w:rsid w:val="31E87920"/>
    <w:rsid w:val="32546D64"/>
    <w:rsid w:val="32A41A99"/>
    <w:rsid w:val="32F04CDF"/>
    <w:rsid w:val="33072028"/>
    <w:rsid w:val="3338058E"/>
    <w:rsid w:val="335EF974"/>
    <w:rsid w:val="33A3F913"/>
    <w:rsid w:val="33B127AD"/>
    <w:rsid w:val="33B77EFA"/>
    <w:rsid w:val="33CB09A0"/>
    <w:rsid w:val="33D62DD7"/>
    <w:rsid w:val="33DA0AC3"/>
    <w:rsid w:val="33E517FA"/>
    <w:rsid w:val="340842AA"/>
    <w:rsid w:val="341430B6"/>
    <w:rsid w:val="34164C19"/>
    <w:rsid w:val="342D5B84"/>
    <w:rsid w:val="343E7CCC"/>
    <w:rsid w:val="343F2D95"/>
    <w:rsid w:val="347D07F4"/>
    <w:rsid w:val="349B6ECC"/>
    <w:rsid w:val="34D96C06"/>
    <w:rsid w:val="34EB57C1"/>
    <w:rsid w:val="34F36D08"/>
    <w:rsid w:val="353943A0"/>
    <w:rsid w:val="354632DC"/>
    <w:rsid w:val="35613C72"/>
    <w:rsid w:val="356B1C82"/>
    <w:rsid w:val="359B692C"/>
    <w:rsid w:val="35D73F34"/>
    <w:rsid w:val="361B02C4"/>
    <w:rsid w:val="361B4247"/>
    <w:rsid w:val="364C2B74"/>
    <w:rsid w:val="36A572C5"/>
    <w:rsid w:val="36CFA034"/>
    <w:rsid w:val="36DA1F2E"/>
    <w:rsid w:val="36EF07CF"/>
    <w:rsid w:val="37054AD1"/>
    <w:rsid w:val="372907BF"/>
    <w:rsid w:val="3767D9F7"/>
    <w:rsid w:val="37DF3574"/>
    <w:rsid w:val="37EF1A09"/>
    <w:rsid w:val="37FF23F9"/>
    <w:rsid w:val="38547ABE"/>
    <w:rsid w:val="385F1BB6"/>
    <w:rsid w:val="387A364E"/>
    <w:rsid w:val="387B329C"/>
    <w:rsid w:val="38860F79"/>
    <w:rsid w:val="389053A4"/>
    <w:rsid w:val="38A345A1"/>
    <w:rsid w:val="38C764E2"/>
    <w:rsid w:val="391C1547"/>
    <w:rsid w:val="39206C80"/>
    <w:rsid w:val="393B0C7E"/>
    <w:rsid w:val="394A14BD"/>
    <w:rsid w:val="395E009F"/>
    <w:rsid w:val="39BB26CB"/>
    <w:rsid w:val="39C3314D"/>
    <w:rsid w:val="39D21CBE"/>
    <w:rsid w:val="39F3338F"/>
    <w:rsid w:val="3A0D261A"/>
    <w:rsid w:val="3A612443"/>
    <w:rsid w:val="3A6410F5"/>
    <w:rsid w:val="3A724D7F"/>
    <w:rsid w:val="3A9748E4"/>
    <w:rsid w:val="3AB12F54"/>
    <w:rsid w:val="3AF5513B"/>
    <w:rsid w:val="3B143762"/>
    <w:rsid w:val="3B2B6CC2"/>
    <w:rsid w:val="3B2C6AD0"/>
    <w:rsid w:val="3B31058A"/>
    <w:rsid w:val="3B3B1656"/>
    <w:rsid w:val="3B3FB746"/>
    <w:rsid w:val="3B5E64E9"/>
    <w:rsid w:val="3B787F67"/>
    <w:rsid w:val="3B7EA8A0"/>
    <w:rsid w:val="3B950B19"/>
    <w:rsid w:val="3B9FEFF2"/>
    <w:rsid w:val="3BD473FF"/>
    <w:rsid w:val="3BEDEDCC"/>
    <w:rsid w:val="3BFD046C"/>
    <w:rsid w:val="3BFD60D2"/>
    <w:rsid w:val="3BFDF7F9"/>
    <w:rsid w:val="3BFE0BB8"/>
    <w:rsid w:val="3C7E105D"/>
    <w:rsid w:val="3C7E647A"/>
    <w:rsid w:val="3CBE7BFC"/>
    <w:rsid w:val="3CCB40C7"/>
    <w:rsid w:val="3CF78D04"/>
    <w:rsid w:val="3CFE5603"/>
    <w:rsid w:val="3D1912D6"/>
    <w:rsid w:val="3D1E069A"/>
    <w:rsid w:val="3D1FF435"/>
    <w:rsid w:val="3D5F8BF9"/>
    <w:rsid w:val="3D5FB45F"/>
    <w:rsid w:val="3D6D197D"/>
    <w:rsid w:val="3D760F0C"/>
    <w:rsid w:val="3D8DB456"/>
    <w:rsid w:val="3DA6700D"/>
    <w:rsid w:val="3DACF173"/>
    <w:rsid w:val="3DBC8514"/>
    <w:rsid w:val="3DD9D71E"/>
    <w:rsid w:val="3DDFE9DD"/>
    <w:rsid w:val="3DF169C2"/>
    <w:rsid w:val="3DF60279"/>
    <w:rsid w:val="3DFB736F"/>
    <w:rsid w:val="3DFF64D7"/>
    <w:rsid w:val="3DFFCDBE"/>
    <w:rsid w:val="3E1A257C"/>
    <w:rsid w:val="3E278565"/>
    <w:rsid w:val="3E3FD2B3"/>
    <w:rsid w:val="3E864749"/>
    <w:rsid w:val="3E8857B0"/>
    <w:rsid w:val="3E9C4E5F"/>
    <w:rsid w:val="3EB03043"/>
    <w:rsid w:val="3EDFACE0"/>
    <w:rsid w:val="3EF59FB3"/>
    <w:rsid w:val="3EFD0A22"/>
    <w:rsid w:val="3EFDFC1E"/>
    <w:rsid w:val="3EFF7AF5"/>
    <w:rsid w:val="3EFFF366"/>
    <w:rsid w:val="3F0264C5"/>
    <w:rsid w:val="3F41168B"/>
    <w:rsid w:val="3F47EFB6"/>
    <w:rsid w:val="3F5ABA59"/>
    <w:rsid w:val="3F5F2F4B"/>
    <w:rsid w:val="3F672711"/>
    <w:rsid w:val="3F717ED1"/>
    <w:rsid w:val="3F7CC23A"/>
    <w:rsid w:val="3F84512C"/>
    <w:rsid w:val="3FAB7148"/>
    <w:rsid w:val="3FB355BD"/>
    <w:rsid w:val="3FB3A3A7"/>
    <w:rsid w:val="3FB744D2"/>
    <w:rsid w:val="3FD7B59D"/>
    <w:rsid w:val="3FDB9D25"/>
    <w:rsid w:val="3FEEDFB7"/>
    <w:rsid w:val="3FEFB42C"/>
    <w:rsid w:val="3FF72AE8"/>
    <w:rsid w:val="3FFB9C87"/>
    <w:rsid w:val="3FFBD86A"/>
    <w:rsid w:val="3FFE3770"/>
    <w:rsid w:val="3FFE3C53"/>
    <w:rsid w:val="3FFF4131"/>
    <w:rsid w:val="4024246B"/>
    <w:rsid w:val="4076305F"/>
    <w:rsid w:val="4090365D"/>
    <w:rsid w:val="40A02997"/>
    <w:rsid w:val="40D06A32"/>
    <w:rsid w:val="41087697"/>
    <w:rsid w:val="41CE6B33"/>
    <w:rsid w:val="425A1820"/>
    <w:rsid w:val="42E6665E"/>
    <w:rsid w:val="4363EA9A"/>
    <w:rsid w:val="4367503F"/>
    <w:rsid w:val="436F7031"/>
    <w:rsid w:val="437C436D"/>
    <w:rsid w:val="43A61958"/>
    <w:rsid w:val="43B56F07"/>
    <w:rsid w:val="43D857DF"/>
    <w:rsid w:val="43EE526A"/>
    <w:rsid w:val="4420603D"/>
    <w:rsid w:val="444F55DD"/>
    <w:rsid w:val="44AA6BF6"/>
    <w:rsid w:val="44ED5522"/>
    <w:rsid w:val="45163CE2"/>
    <w:rsid w:val="458B4EDE"/>
    <w:rsid w:val="45997458"/>
    <w:rsid w:val="459B31D0"/>
    <w:rsid w:val="45F79CE4"/>
    <w:rsid w:val="45FB4CB6"/>
    <w:rsid w:val="46D30747"/>
    <w:rsid w:val="477B1BEF"/>
    <w:rsid w:val="47A34110"/>
    <w:rsid w:val="47B642F1"/>
    <w:rsid w:val="47B82C8D"/>
    <w:rsid w:val="47C54534"/>
    <w:rsid w:val="47DC012C"/>
    <w:rsid w:val="47ED6974"/>
    <w:rsid w:val="47F46BC7"/>
    <w:rsid w:val="481D7ECC"/>
    <w:rsid w:val="48CC36A0"/>
    <w:rsid w:val="48F0738F"/>
    <w:rsid w:val="49055509"/>
    <w:rsid w:val="490E0657"/>
    <w:rsid w:val="498D1081"/>
    <w:rsid w:val="49BD76A2"/>
    <w:rsid w:val="49CA7329"/>
    <w:rsid w:val="49DA094E"/>
    <w:rsid w:val="4A240A3A"/>
    <w:rsid w:val="4A7DFBA6"/>
    <w:rsid w:val="4A7F11C3"/>
    <w:rsid w:val="4A9A1CA8"/>
    <w:rsid w:val="4AE8767D"/>
    <w:rsid w:val="4AF02A73"/>
    <w:rsid w:val="4B0931B1"/>
    <w:rsid w:val="4B6DEE55"/>
    <w:rsid w:val="4B955BD4"/>
    <w:rsid w:val="4B9594DD"/>
    <w:rsid w:val="4BB26BAB"/>
    <w:rsid w:val="4C0B3D31"/>
    <w:rsid w:val="4CF6F607"/>
    <w:rsid w:val="4D1F1C40"/>
    <w:rsid w:val="4D3F7F18"/>
    <w:rsid w:val="4D4128AF"/>
    <w:rsid w:val="4DB25BBD"/>
    <w:rsid w:val="4DECA137"/>
    <w:rsid w:val="4DEF6E7C"/>
    <w:rsid w:val="4DFA60DA"/>
    <w:rsid w:val="4DFBA9BE"/>
    <w:rsid w:val="4DFF69B7"/>
    <w:rsid w:val="4EA36C51"/>
    <w:rsid w:val="4EB34E8E"/>
    <w:rsid w:val="4EDF237F"/>
    <w:rsid w:val="4F2303BC"/>
    <w:rsid w:val="4F4E6C90"/>
    <w:rsid w:val="4F4FA06E"/>
    <w:rsid w:val="4FB018D1"/>
    <w:rsid w:val="4FBF770B"/>
    <w:rsid w:val="4FCFC79A"/>
    <w:rsid w:val="4FDDF222"/>
    <w:rsid w:val="4FEA60E5"/>
    <w:rsid w:val="4FFD515B"/>
    <w:rsid w:val="4FFD92F9"/>
    <w:rsid w:val="4FFF3A80"/>
    <w:rsid w:val="50105B92"/>
    <w:rsid w:val="503B09BB"/>
    <w:rsid w:val="50543912"/>
    <w:rsid w:val="50953061"/>
    <w:rsid w:val="51387B25"/>
    <w:rsid w:val="519F5DF6"/>
    <w:rsid w:val="51C27D36"/>
    <w:rsid w:val="51DB6702"/>
    <w:rsid w:val="521136F2"/>
    <w:rsid w:val="52D86E22"/>
    <w:rsid w:val="52FFE478"/>
    <w:rsid w:val="5344363A"/>
    <w:rsid w:val="53584AD8"/>
    <w:rsid w:val="53BF3D9C"/>
    <w:rsid w:val="53ED1536"/>
    <w:rsid w:val="53EF61AF"/>
    <w:rsid w:val="53EFC499"/>
    <w:rsid w:val="53FEACAA"/>
    <w:rsid w:val="5452714F"/>
    <w:rsid w:val="5486329D"/>
    <w:rsid w:val="54C17E31"/>
    <w:rsid w:val="54FC355F"/>
    <w:rsid w:val="551F6C2A"/>
    <w:rsid w:val="551FA81B"/>
    <w:rsid w:val="555C7B5A"/>
    <w:rsid w:val="5563056F"/>
    <w:rsid w:val="55697BA1"/>
    <w:rsid w:val="55D44A61"/>
    <w:rsid w:val="55F74B08"/>
    <w:rsid w:val="562C3D97"/>
    <w:rsid w:val="56525419"/>
    <w:rsid w:val="565E52F5"/>
    <w:rsid w:val="569F5791"/>
    <w:rsid w:val="56EFE4A1"/>
    <w:rsid w:val="575C5F22"/>
    <w:rsid w:val="575F7BEB"/>
    <w:rsid w:val="5763CA04"/>
    <w:rsid w:val="5776C8E2"/>
    <w:rsid w:val="577E9FE7"/>
    <w:rsid w:val="57EC1669"/>
    <w:rsid w:val="57F3EC6D"/>
    <w:rsid w:val="57FF44A8"/>
    <w:rsid w:val="58634275"/>
    <w:rsid w:val="59710513"/>
    <w:rsid w:val="597F858A"/>
    <w:rsid w:val="59886344"/>
    <w:rsid w:val="59A33FA9"/>
    <w:rsid w:val="59A50A85"/>
    <w:rsid w:val="59B368E2"/>
    <w:rsid w:val="59DB5F0C"/>
    <w:rsid w:val="59F39FEE"/>
    <w:rsid w:val="59FF2AEF"/>
    <w:rsid w:val="59FF56FB"/>
    <w:rsid w:val="5AA6B76A"/>
    <w:rsid w:val="5ABB6EF3"/>
    <w:rsid w:val="5ABF378F"/>
    <w:rsid w:val="5AD92379"/>
    <w:rsid w:val="5AF3223C"/>
    <w:rsid w:val="5AFB0388"/>
    <w:rsid w:val="5B6F5728"/>
    <w:rsid w:val="5B7B51DE"/>
    <w:rsid w:val="5B9D966C"/>
    <w:rsid w:val="5BB5B672"/>
    <w:rsid w:val="5BBF4B9A"/>
    <w:rsid w:val="5BEECC7C"/>
    <w:rsid w:val="5BEF1B44"/>
    <w:rsid w:val="5BFE62FA"/>
    <w:rsid w:val="5BFFC59E"/>
    <w:rsid w:val="5C425CFC"/>
    <w:rsid w:val="5C91D0B9"/>
    <w:rsid w:val="5CFD7C41"/>
    <w:rsid w:val="5D192F00"/>
    <w:rsid w:val="5D423AD9"/>
    <w:rsid w:val="5D4D4958"/>
    <w:rsid w:val="5D6C283D"/>
    <w:rsid w:val="5D70A480"/>
    <w:rsid w:val="5D7F8D24"/>
    <w:rsid w:val="5D883BE2"/>
    <w:rsid w:val="5DB76B13"/>
    <w:rsid w:val="5DBD3FF3"/>
    <w:rsid w:val="5DBEAB4B"/>
    <w:rsid w:val="5DFBFF3F"/>
    <w:rsid w:val="5DFF4C5C"/>
    <w:rsid w:val="5DFFCD30"/>
    <w:rsid w:val="5E0D40E7"/>
    <w:rsid w:val="5E5E4E8E"/>
    <w:rsid w:val="5E9F82B4"/>
    <w:rsid w:val="5ED87B25"/>
    <w:rsid w:val="5EFD62C1"/>
    <w:rsid w:val="5EFD78E1"/>
    <w:rsid w:val="5EFD7E4E"/>
    <w:rsid w:val="5F2A4C7A"/>
    <w:rsid w:val="5F2D50F6"/>
    <w:rsid w:val="5F434264"/>
    <w:rsid w:val="5F5DDA56"/>
    <w:rsid w:val="5F6E89AC"/>
    <w:rsid w:val="5F7DCC55"/>
    <w:rsid w:val="5F7E1DEF"/>
    <w:rsid w:val="5F812FDF"/>
    <w:rsid w:val="5FA3C02E"/>
    <w:rsid w:val="5FA7A721"/>
    <w:rsid w:val="5FB30413"/>
    <w:rsid w:val="5FB7A60E"/>
    <w:rsid w:val="5FB7EC16"/>
    <w:rsid w:val="5FB7EDEA"/>
    <w:rsid w:val="5FBB2F2B"/>
    <w:rsid w:val="5FBB8116"/>
    <w:rsid w:val="5FC7AA1B"/>
    <w:rsid w:val="5FD05D15"/>
    <w:rsid w:val="5FDF6F84"/>
    <w:rsid w:val="5FEA621E"/>
    <w:rsid w:val="5FEE0F3A"/>
    <w:rsid w:val="5FF21DBC"/>
    <w:rsid w:val="5FF47294"/>
    <w:rsid w:val="5FF718AF"/>
    <w:rsid w:val="5FF79DC0"/>
    <w:rsid w:val="5FFB245D"/>
    <w:rsid w:val="5FFF1C43"/>
    <w:rsid w:val="5FFF4FD2"/>
    <w:rsid w:val="5FFFA205"/>
    <w:rsid w:val="5FFFF6F2"/>
    <w:rsid w:val="600C7EAE"/>
    <w:rsid w:val="60123C37"/>
    <w:rsid w:val="6042276E"/>
    <w:rsid w:val="613320B7"/>
    <w:rsid w:val="61357BDD"/>
    <w:rsid w:val="619D03E1"/>
    <w:rsid w:val="6280757E"/>
    <w:rsid w:val="62D96C8E"/>
    <w:rsid w:val="634467FD"/>
    <w:rsid w:val="635602DE"/>
    <w:rsid w:val="639C1CC3"/>
    <w:rsid w:val="63E61C94"/>
    <w:rsid w:val="644B5969"/>
    <w:rsid w:val="64644AA1"/>
    <w:rsid w:val="646B7DB9"/>
    <w:rsid w:val="64B21544"/>
    <w:rsid w:val="64DA62A1"/>
    <w:rsid w:val="651106A3"/>
    <w:rsid w:val="65532D27"/>
    <w:rsid w:val="65654809"/>
    <w:rsid w:val="657FC307"/>
    <w:rsid w:val="65C15EE3"/>
    <w:rsid w:val="65C43C25"/>
    <w:rsid w:val="65DD6E5B"/>
    <w:rsid w:val="65FF9521"/>
    <w:rsid w:val="6645323B"/>
    <w:rsid w:val="664D2C8C"/>
    <w:rsid w:val="665DD92F"/>
    <w:rsid w:val="66680A54"/>
    <w:rsid w:val="66B95D38"/>
    <w:rsid w:val="66F01801"/>
    <w:rsid w:val="66FD9BCE"/>
    <w:rsid w:val="673FB79E"/>
    <w:rsid w:val="675F8B90"/>
    <w:rsid w:val="677B015F"/>
    <w:rsid w:val="67C972D1"/>
    <w:rsid w:val="67DF6E3E"/>
    <w:rsid w:val="67EFDD76"/>
    <w:rsid w:val="67F58C9F"/>
    <w:rsid w:val="67F5E0EE"/>
    <w:rsid w:val="67F913CB"/>
    <w:rsid w:val="67FB3E7A"/>
    <w:rsid w:val="67FF66EE"/>
    <w:rsid w:val="67FFDC58"/>
    <w:rsid w:val="685F3791"/>
    <w:rsid w:val="6893201C"/>
    <w:rsid w:val="69157FD2"/>
    <w:rsid w:val="697FB809"/>
    <w:rsid w:val="69FDB13D"/>
    <w:rsid w:val="6A3D7B02"/>
    <w:rsid w:val="6AB35D65"/>
    <w:rsid w:val="6AD6A8A8"/>
    <w:rsid w:val="6AEC33C3"/>
    <w:rsid w:val="6AFF6918"/>
    <w:rsid w:val="6B225676"/>
    <w:rsid w:val="6B43383E"/>
    <w:rsid w:val="6B504DD7"/>
    <w:rsid w:val="6B6F1F3D"/>
    <w:rsid w:val="6B7D3C93"/>
    <w:rsid w:val="6BA6A898"/>
    <w:rsid w:val="6BA77929"/>
    <w:rsid w:val="6BAA6777"/>
    <w:rsid w:val="6BBFEBAD"/>
    <w:rsid w:val="6BDF31F2"/>
    <w:rsid w:val="6BE3DF72"/>
    <w:rsid w:val="6BFE70E1"/>
    <w:rsid w:val="6BFF00DD"/>
    <w:rsid w:val="6BFF2463"/>
    <w:rsid w:val="6C0240CA"/>
    <w:rsid w:val="6C5ED9EF"/>
    <w:rsid w:val="6C77379F"/>
    <w:rsid w:val="6C9D1E7E"/>
    <w:rsid w:val="6CCB5899"/>
    <w:rsid w:val="6CDF9347"/>
    <w:rsid w:val="6CFB66B2"/>
    <w:rsid w:val="6D056FFD"/>
    <w:rsid w:val="6D34343E"/>
    <w:rsid w:val="6D3ED8BA"/>
    <w:rsid w:val="6D5F75A5"/>
    <w:rsid w:val="6D774E5E"/>
    <w:rsid w:val="6D9739CD"/>
    <w:rsid w:val="6D9F6CB6"/>
    <w:rsid w:val="6DB602F7"/>
    <w:rsid w:val="6DCC420E"/>
    <w:rsid w:val="6DED534C"/>
    <w:rsid w:val="6E1A6AD8"/>
    <w:rsid w:val="6E1D4012"/>
    <w:rsid w:val="6E4A53A7"/>
    <w:rsid w:val="6E7AE9A1"/>
    <w:rsid w:val="6E7B28DB"/>
    <w:rsid w:val="6E7B6775"/>
    <w:rsid w:val="6E7D9BBD"/>
    <w:rsid w:val="6E7FF360"/>
    <w:rsid w:val="6E9426BA"/>
    <w:rsid w:val="6E9F564A"/>
    <w:rsid w:val="6EB6EE6D"/>
    <w:rsid w:val="6EBF58A5"/>
    <w:rsid w:val="6EDFDF1A"/>
    <w:rsid w:val="6EEF1973"/>
    <w:rsid w:val="6EEF22A9"/>
    <w:rsid w:val="6EFBBF4A"/>
    <w:rsid w:val="6EFC2DAB"/>
    <w:rsid w:val="6F0B7228"/>
    <w:rsid w:val="6F0F97FD"/>
    <w:rsid w:val="6F31DF28"/>
    <w:rsid w:val="6F373CA7"/>
    <w:rsid w:val="6F4F27B2"/>
    <w:rsid w:val="6F7F7B03"/>
    <w:rsid w:val="6F900BA5"/>
    <w:rsid w:val="6F939A9D"/>
    <w:rsid w:val="6FBBE654"/>
    <w:rsid w:val="6FBF01E5"/>
    <w:rsid w:val="6FD24268"/>
    <w:rsid w:val="6FDF3C65"/>
    <w:rsid w:val="6FED4A51"/>
    <w:rsid w:val="6FEECB5F"/>
    <w:rsid w:val="6FEF3669"/>
    <w:rsid w:val="6FF63533"/>
    <w:rsid w:val="6FF7B318"/>
    <w:rsid w:val="6FF89649"/>
    <w:rsid w:val="6FFB6B74"/>
    <w:rsid w:val="6FFE04BD"/>
    <w:rsid w:val="6FFF1825"/>
    <w:rsid w:val="6FFF8125"/>
    <w:rsid w:val="6FFF8891"/>
    <w:rsid w:val="7027728A"/>
    <w:rsid w:val="70515912"/>
    <w:rsid w:val="70C34E1B"/>
    <w:rsid w:val="70E39782"/>
    <w:rsid w:val="711A10F8"/>
    <w:rsid w:val="71765FA0"/>
    <w:rsid w:val="71BB5646"/>
    <w:rsid w:val="71BF9FBF"/>
    <w:rsid w:val="71C9627C"/>
    <w:rsid w:val="71D21478"/>
    <w:rsid w:val="71F779AC"/>
    <w:rsid w:val="726F193A"/>
    <w:rsid w:val="72B172DF"/>
    <w:rsid w:val="72B50B7E"/>
    <w:rsid w:val="72B83070"/>
    <w:rsid w:val="72BE4196"/>
    <w:rsid w:val="72EE22E1"/>
    <w:rsid w:val="7309711B"/>
    <w:rsid w:val="732777FD"/>
    <w:rsid w:val="73727B75"/>
    <w:rsid w:val="73783623"/>
    <w:rsid w:val="739A7D73"/>
    <w:rsid w:val="73B4F690"/>
    <w:rsid w:val="73D12489"/>
    <w:rsid w:val="73DFD37C"/>
    <w:rsid w:val="73EF1C73"/>
    <w:rsid w:val="73F7430A"/>
    <w:rsid w:val="73FF419D"/>
    <w:rsid w:val="73FF677A"/>
    <w:rsid w:val="7419505C"/>
    <w:rsid w:val="743C7467"/>
    <w:rsid w:val="744F5002"/>
    <w:rsid w:val="748F53FE"/>
    <w:rsid w:val="74B74CEC"/>
    <w:rsid w:val="74C4154C"/>
    <w:rsid w:val="74E474F8"/>
    <w:rsid w:val="74FD6DFA"/>
    <w:rsid w:val="74FF89A7"/>
    <w:rsid w:val="750C4564"/>
    <w:rsid w:val="751029E3"/>
    <w:rsid w:val="753366D1"/>
    <w:rsid w:val="756F2257"/>
    <w:rsid w:val="757A974C"/>
    <w:rsid w:val="757FFDB2"/>
    <w:rsid w:val="75B47650"/>
    <w:rsid w:val="75DC9751"/>
    <w:rsid w:val="75F9797D"/>
    <w:rsid w:val="75FEC274"/>
    <w:rsid w:val="75FF03C2"/>
    <w:rsid w:val="75FFC3C2"/>
    <w:rsid w:val="767622FD"/>
    <w:rsid w:val="767B20DE"/>
    <w:rsid w:val="76A07D97"/>
    <w:rsid w:val="76A56AB8"/>
    <w:rsid w:val="76B71FBF"/>
    <w:rsid w:val="76B81D61"/>
    <w:rsid w:val="76C515AB"/>
    <w:rsid w:val="76DF167A"/>
    <w:rsid w:val="76F7D236"/>
    <w:rsid w:val="76F974D5"/>
    <w:rsid w:val="76FF090D"/>
    <w:rsid w:val="773F310C"/>
    <w:rsid w:val="775D3300"/>
    <w:rsid w:val="77730B72"/>
    <w:rsid w:val="77738939"/>
    <w:rsid w:val="777CB687"/>
    <w:rsid w:val="777FE264"/>
    <w:rsid w:val="779CD38C"/>
    <w:rsid w:val="779F3E48"/>
    <w:rsid w:val="77B2BD92"/>
    <w:rsid w:val="77BC58AD"/>
    <w:rsid w:val="77BCC758"/>
    <w:rsid w:val="77BE3B00"/>
    <w:rsid w:val="77BEBD81"/>
    <w:rsid w:val="77BF519B"/>
    <w:rsid w:val="77BF70B8"/>
    <w:rsid w:val="77C52B3F"/>
    <w:rsid w:val="77D1C06C"/>
    <w:rsid w:val="77D443FE"/>
    <w:rsid w:val="77D72716"/>
    <w:rsid w:val="77D753B9"/>
    <w:rsid w:val="77D987F7"/>
    <w:rsid w:val="77DFE2C6"/>
    <w:rsid w:val="77E293FF"/>
    <w:rsid w:val="77ED1AA1"/>
    <w:rsid w:val="77EDFF72"/>
    <w:rsid w:val="77F5906D"/>
    <w:rsid w:val="77F7262B"/>
    <w:rsid w:val="77F79056"/>
    <w:rsid w:val="77FD00B0"/>
    <w:rsid w:val="77FD36CB"/>
    <w:rsid w:val="77FE683F"/>
    <w:rsid w:val="77FF633D"/>
    <w:rsid w:val="78300CA6"/>
    <w:rsid w:val="783E52C8"/>
    <w:rsid w:val="785901FD"/>
    <w:rsid w:val="785A08FF"/>
    <w:rsid w:val="786D1560"/>
    <w:rsid w:val="786F3CEB"/>
    <w:rsid w:val="787F6313"/>
    <w:rsid w:val="7893165C"/>
    <w:rsid w:val="7897455F"/>
    <w:rsid w:val="789D7B25"/>
    <w:rsid w:val="78D15997"/>
    <w:rsid w:val="78DDAF4B"/>
    <w:rsid w:val="78EF77FE"/>
    <w:rsid w:val="78F543CA"/>
    <w:rsid w:val="78FB6C5A"/>
    <w:rsid w:val="78FF20F5"/>
    <w:rsid w:val="790548F2"/>
    <w:rsid w:val="79206F6D"/>
    <w:rsid w:val="792A3948"/>
    <w:rsid w:val="797FBF13"/>
    <w:rsid w:val="79BF9AC3"/>
    <w:rsid w:val="79F301DD"/>
    <w:rsid w:val="79FD80C2"/>
    <w:rsid w:val="79FFC3E5"/>
    <w:rsid w:val="79FFCF1A"/>
    <w:rsid w:val="7A37448C"/>
    <w:rsid w:val="7A3C7DD6"/>
    <w:rsid w:val="7A4830E1"/>
    <w:rsid w:val="7A772BBC"/>
    <w:rsid w:val="7AA81971"/>
    <w:rsid w:val="7AD5EE06"/>
    <w:rsid w:val="7ADC3BA9"/>
    <w:rsid w:val="7AE824EF"/>
    <w:rsid w:val="7B095F0A"/>
    <w:rsid w:val="7B3ED3E4"/>
    <w:rsid w:val="7B3FC154"/>
    <w:rsid w:val="7B5DA4FB"/>
    <w:rsid w:val="7B6165B2"/>
    <w:rsid w:val="7B6C46EB"/>
    <w:rsid w:val="7B6F9231"/>
    <w:rsid w:val="7B701E79"/>
    <w:rsid w:val="7B722D85"/>
    <w:rsid w:val="7B777368"/>
    <w:rsid w:val="7B7F2719"/>
    <w:rsid w:val="7B9FF6B6"/>
    <w:rsid w:val="7BA619AB"/>
    <w:rsid w:val="7BB7528E"/>
    <w:rsid w:val="7BB760F2"/>
    <w:rsid w:val="7BBF6C62"/>
    <w:rsid w:val="7BBFD164"/>
    <w:rsid w:val="7BC95D88"/>
    <w:rsid w:val="7BD76E0D"/>
    <w:rsid w:val="7BDB4236"/>
    <w:rsid w:val="7BDF0330"/>
    <w:rsid w:val="7BDFB41C"/>
    <w:rsid w:val="7BE9F6AE"/>
    <w:rsid w:val="7BEF4D81"/>
    <w:rsid w:val="7BEF80FF"/>
    <w:rsid w:val="7BF12816"/>
    <w:rsid w:val="7BF35F9B"/>
    <w:rsid w:val="7BF9EA63"/>
    <w:rsid w:val="7BFBF8C4"/>
    <w:rsid w:val="7BFF122E"/>
    <w:rsid w:val="7BFF3A38"/>
    <w:rsid w:val="7BFFEF43"/>
    <w:rsid w:val="7BFFFCE0"/>
    <w:rsid w:val="7C37699B"/>
    <w:rsid w:val="7C605FFE"/>
    <w:rsid w:val="7C7A407B"/>
    <w:rsid w:val="7CADCB92"/>
    <w:rsid w:val="7CAED0A8"/>
    <w:rsid w:val="7CDFD062"/>
    <w:rsid w:val="7CF70BDB"/>
    <w:rsid w:val="7CFCD1BF"/>
    <w:rsid w:val="7D1D5B5B"/>
    <w:rsid w:val="7D3E4A17"/>
    <w:rsid w:val="7D511DEB"/>
    <w:rsid w:val="7D5FE72C"/>
    <w:rsid w:val="7D6047CB"/>
    <w:rsid w:val="7D6FB977"/>
    <w:rsid w:val="7D77F8CE"/>
    <w:rsid w:val="7DAF1C83"/>
    <w:rsid w:val="7DBD5238"/>
    <w:rsid w:val="7DC76261"/>
    <w:rsid w:val="7DE14F1D"/>
    <w:rsid w:val="7DED2370"/>
    <w:rsid w:val="7DF2C6E8"/>
    <w:rsid w:val="7DF472BB"/>
    <w:rsid w:val="7DF98DEB"/>
    <w:rsid w:val="7DFAB792"/>
    <w:rsid w:val="7DFB6E5D"/>
    <w:rsid w:val="7DFB7392"/>
    <w:rsid w:val="7DFB83E6"/>
    <w:rsid w:val="7DFDAC0B"/>
    <w:rsid w:val="7DFDB2E9"/>
    <w:rsid w:val="7DFDD048"/>
    <w:rsid w:val="7DFFDBB0"/>
    <w:rsid w:val="7DFFDD44"/>
    <w:rsid w:val="7E0D3F64"/>
    <w:rsid w:val="7E4C4AA1"/>
    <w:rsid w:val="7E503BFB"/>
    <w:rsid w:val="7E584AB3"/>
    <w:rsid w:val="7E7A2C7B"/>
    <w:rsid w:val="7E7ED09C"/>
    <w:rsid w:val="7E9957F7"/>
    <w:rsid w:val="7EB1E3B4"/>
    <w:rsid w:val="7EB5875B"/>
    <w:rsid w:val="7EB79F01"/>
    <w:rsid w:val="7EB853C8"/>
    <w:rsid w:val="7EBF1DBE"/>
    <w:rsid w:val="7EDFCCA0"/>
    <w:rsid w:val="7EE03426"/>
    <w:rsid w:val="7EFE6DDA"/>
    <w:rsid w:val="7EFEF176"/>
    <w:rsid w:val="7F0013D2"/>
    <w:rsid w:val="7F3EC271"/>
    <w:rsid w:val="7F4F38AF"/>
    <w:rsid w:val="7F53D408"/>
    <w:rsid w:val="7F5CA754"/>
    <w:rsid w:val="7F5FC629"/>
    <w:rsid w:val="7F5FE62B"/>
    <w:rsid w:val="7F7382E6"/>
    <w:rsid w:val="7F75216D"/>
    <w:rsid w:val="7F756D9D"/>
    <w:rsid w:val="7F75E11D"/>
    <w:rsid w:val="7F7B7EE4"/>
    <w:rsid w:val="7F7BE94E"/>
    <w:rsid w:val="7F7FC5D7"/>
    <w:rsid w:val="7F7FE351"/>
    <w:rsid w:val="7F97D6DF"/>
    <w:rsid w:val="7FA3C321"/>
    <w:rsid w:val="7FAB253B"/>
    <w:rsid w:val="7FAF9994"/>
    <w:rsid w:val="7FAFC4DA"/>
    <w:rsid w:val="7FAFE28F"/>
    <w:rsid w:val="7FB30EFF"/>
    <w:rsid w:val="7FBA9245"/>
    <w:rsid w:val="7FBE4C77"/>
    <w:rsid w:val="7FBF02F0"/>
    <w:rsid w:val="7FBFC3A3"/>
    <w:rsid w:val="7FCF92CD"/>
    <w:rsid w:val="7FD72BD1"/>
    <w:rsid w:val="7FDDC43A"/>
    <w:rsid w:val="7FDF2109"/>
    <w:rsid w:val="7FDF435F"/>
    <w:rsid w:val="7FE508C4"/>
    <w:rsid w:val="7FEBEC56"/>
    <w:rsid w:val="7FEDC429"/>
    <w:rsid w:val="7FEECABC"/>
    <w:rsid w:val="7FEF47A7"/>
    <w:rsid w:val="7FEFCA72"/>
    <w:rsid w:val="7FEFCC46"/>
    <w:rsid w:val="7FF34A2F"/>
    <w:rsid w:val="7FF34DB5"/>
    <w:rsid w:val="7FF69A20"/>
    <w:rsid w:val="7FF7BABD"/>
    <w:rsid w:val="7FF8566F"/>
    <w:rsid w:val="7FF94B9F"/>
    <w:rsid w:val="7FFB2976"/>
    <w:rsid w:val="7FFBDFC1"/>
    <w:rsid w:val="7FFC8170"/>
    <w:rsid w:val="7FFD7B6A"/>
    <w:rsid w:val="7FFE6298"/>
    <w:rsid w:val="7FFEACDD"/>
    <w:rsid w:val="7FFEC8C8"/>
    <w:rsid w:val="7FFF2052"/>
    <w:rsid w:val="7FFF4394"/>
    <w:rsid w:val="7FFF54BF"/>
    <w:rsid w:val="7FFF8230"/>
    <w:rsid w:val="7FFFA2B6"/>
    <w:rsid w:val="7FFFA700"/>
    <w:rsid w:val="7FFFD02E"/>
    <w:rsid w:val="82E787AF"/>
    <w:rsid w:val="8B9FA1B2"/>
    <w:rsid w:val="8DCF14E0"/>
    <w:rsid w:val="8DFD706D"/>
    <w:rsid w:val="8F8C54AE"/>
    <w:rsid w:val="8FBE9E0A"/>
    <w:rsid w:val="8FCEF2CC"/>
    <w:rsid w:val="8FFA32A6"/>
    <w:rsid w:val="95A571C7"/>
    <w:rsid w:val="97ABF80B"/>
    <w:rsid w:val="97B575CF"/>
    <w:rsid w:val="97FFBDD9"/>
    <w:rsid w:val="996FEA6B"/>
    <w:rsid w:val="9A5B1CA2"/>
    <w:rsid w:val="9B6F3B8E"/>
    <w:rsid w:val="9B7BDE62"/>
    <w:rsid w:val="9BAF2AB5"/>
    <w:rsid w:val="9BDB9CFC"/>
    <w:rsid w:val="9C7D4470"/>
    <w:rsid w:val="9CEF0BB9"/>
    <w:rsid w:val="9D3D35C2"/>
    <w:rsid w:val="9D5F9C95"/>
    <w:rsid w:val="9DE74BAB"/>
    <w:rsid w:val="9ECDD6DE"/>
    <w:rsid w:val="9F5B7E6A"/>
    <w:rsid w:val="9F77EA62"/>
    <w:rsid w:val="9F7F7476"/>
    <w:rsid w:val="9FCE1A34"/>
    <w:rsid w:val="9FEB0896"/>
    <w:rsid w:val="9FEB4C87"/>
    <w:rsid w:val="A1F5E76D"/>
    <w:rsid w:val="A3F3C98A"/>
    <w:rsid w:val="A6BA419C"/>
    <w:rsid w:val="A6FC4A06"/>
    <w:rsid w:val="A7FBE3FD"/>
    <w:rsid w:val="A8FFDED6"/>
    <w:rsid w:val="A9FDE3F2"/>
    <w:rsid w:val="ABF2B939"/>
    <w:rsid w:val="AEAF8C7E"/>
    <w:rsid w:val="AFBE4036"/>
    <w:rsid w:val="AFDD2FE9"/>
    <w:rsid w:val="AFFBF9A9"/>
    <w:rsid w:val="AFFD604C"/>
    <w:rsid w:val="B0EB3187"/>
    <w:rsid w:val="B1357F45"/>
    <w:rsid w:val="B1FFEEC7"/>
    <w:rsid w:val="B2E3839E"/>
    <w:rsid w:val="B2F648B2"/>
    <w:rsid w:val="B2FF6DAA"/>
    <w:rsid w:val="B366F0DB"/>
    <w:rsid w:val="B3EF102D"/>
    <w:rsid w:val="B3FE799B"/>
    <w:rsid w:val="B3FFD7FF"/>
    <w:rsid w:val="B4BF812E"/>
    <w:rsid w:val="B537DDC3"/>
    <w:rsid w:val="B5D30236"/>
    <w:rsid w:val="B73F290B"/>
    <w:rsid w:val="B77583EE"/>
    <w:rsid w:val="B77AEFF1"/>
    <w:rsid w:val="B7AE936C"/>
    <w:rsid w:val="B7FB9C14"/>
    <w:rsid w:val="B7FD8CBE"/>
    <w:rsid w:val="B7FE775B"/>
    <w:rsid w:val="B7FFA084"/>
    <w:rsid w:val="B7FFBBC7"/>
    <w:rsid w:val="B7FFBEBD"/>
    <w:rsid w:val="B9CDAEEA"/>
    <w:rsid w:val="B9DF2C84"/>
    <w:rsid w:val="BA1F00AE"/>
    <w:rsid w:val="BABD33FB"/>
    <w:rsid w:val="BAF994BA"/>
    <w:rsid w:val="BAFE0AB0"/>
    <w:rsid w:val="BB3611A7"/>
    <w:rsid w:val="BB5DC74D"/>
    <w:rsid w:val="BB871270"/>
    <w:rsid w:val="BB8790AA"/>
    <w:rsid w:val="BBB78E8A"/>
    <w:rsid w:val="BBDD0756"/>
    <w:rsid w:val="BBE7D378"/>
    <w:rsid w:val="BBF6B870"/>
    <w:rsid w:val="BBFFBFDF"/>
    <w:rsid w:val="BC3BD924"/>
    <w:rsid w:val="BCF5B7DE"/>
    <w:rsid w:val="BCF9A1AD"/>
    <w:rsid w:val="BCFB0446"/>
    <w:rsid w:val="BCFF0B5A"/>
    <w:rsid w:val="BD38CE7F"/>
    <w:rsid w:val="BD3948DF"/>
    <w:rsid w:val="BD7AA883"/>
    <w:rsid w:val="BDBF8E5F"/>
    <w:rsid w:val="BDF78B94"/>
    <w:rsid w:val="BDFBCD65"/>
    <w:rsid w:val="BEBF10D2"/>
    <w:rsid w:val="BEF5023F"/>
    <w:rsid w:val="BEF73B6C"/>
    <w:rsid w:val="BEF97839"/>
    <w:rsid w:val="BEFEA32E"/>
    <w:rsid w:val="BEFEE56F"/>
    <w:rsid w:val="BF3A43C4"/>
    <w:rsid w:val="BF5B1450"/>
    <w:rsid w:val="BF5FECD2"/>
    <w:rsid w:val="BF7E7E95"/>
    <w:rsid w:val="BF7FD736"/>
    <w:rsid w:val="BFBBA2AD"/>
    <w:rsid w:val="BFBBB6AB"/>
    <w:rsid w:val="BFBD6FD2"/>
    <w:rsid w:val="BFBF9837"/>
    <w:rsid w:val="BFDEB254"/>
    <w:rsid w:val="BFEDE40C"/>
    <w:rsid w:val="BFEDE5AE"/>
    <w:rsid w:val="BFEF2DBA"/>
    <w:rsid w:val="BFEF3456"/>
    <w:rsid w:val="BFEFBA25"/>
    <w:rsid w:val="BFF72201"/>
    <w:rsid w:val="BFFE0122"/>
    <w:rsid w:val="BFFFD535"/>
    <w:rsid w:val="C0EFD860"/>
    <w:rsid w:val="C3BBB2C3"/>
    <w:rsid w:val="C3FFC173"/>
    <w:rsid w:val="C46744B4"/>
    <w:rsid w:val="C7AF1DB3"/>
    <w:rsid w:val="C7E36ED3"/>
    <w:rsid w:val="C7ED674B"/>
    <w:rsid w:val="CA3AD3B5"/>
    <w:rsid w:val="CB33F264"/>
    <w:rsid w:val="CBBE578A"/>
    <w:rsid w:val="CD3767B3"/>
    <w:rsid w:val="CD6FC016"/>
    <w:rsid w:val="CDB76022"/>
    <w:rsid w:val="CDEFDF3E"/>
    <w:rsid w:val="CDFA558B"/>
    <w:rsid w:val="CDFF4611"/>
    <w:rsid w:val="CEAF2054"/>
    <w:rsid w:val="CEBD7125"/>
    <w:rsid w:val="CEBF08F3"/>
    <w:rsid w:val="CF1F77A7"/>
    <w:rsid w:val="CF6A4E2C"/>
    <w:rsid w:val="CF7BC76E"/>
    <w:rsid w:val="CF7D973F"/>
    <w:rsid w:val="CFBF769B"/>
    <w:rsid w:val="CFC7F095"/>
    <w:rsid w:val="CFDE8B6B"/>
    <w:rsid w:val="CFF77C7E"/>
    <w:rsid w:val="CFFB9C0A"/>
    <w:rsid w:val="CFFD6773"/>
    <w:rsid w:val="CFFD91CB"/>
    <w:rsid w:val="D03F3B12"/>
    <w:rsid w:val="D37F4100"/>
    <w:rsid w:val="D5E7CE9D"/>
    <w:rsid w:val="D5EED253"/>
    <w:rsid w:val="D5FA63CA"/>
    <w:rsid w:val="D6D7C2E8"/>
    <w:rsid w:val="D77E37D0"/>
    <w:rsid w:val="D77FC077"/>
    <w:rsid w:val="D7B7B304"/>
    <w:rsid w:val="D7BF41F2"/>
    <w:rsid w:val="D7BF6D05"/>
    <w:rsid w:val="D7FD5376"/>
    <w:rsid w:val="D8D737CA"/>
    <w:rsid w:val="D966C220"/>
    <w:rsid w:val="DABBBCB8"/>
    <w:rsid w:val="DBF623B1"/>
    <w:rsid w:val="DBF7DA05"/>
    <w:rsid w:val="DBFD9150"/>
    <w:rsid w:val="DC9721E2"/>
    <w:rsid w:val="DC99C040"/>
    <w:rsid w:val="DCB3CB57"/>
    <w:rsid w:val="DCDB6836"/>
    <w:rsid w:val="DCFA0656"/>
    <w:rsid w:val="DD75A09D"/>
    <w:rsid w:val="DD7FB0BD"/>
    <w:rsid w:val="DD932717"/>
    <w:rsid w:val="DDAF52AB"/>
    <w:rsid w:val="DDBF6141"/>
    <w:rsid w:val="DDDEE9D4"/>
    <w:rsid w:val="DDFDDD31"/>
    <w:rsid w:val="DDFE1E5D"/>
    <w:rsid w:val="DDFF1539"/>
    <w:rsid w:val="DDFF9582"/>
    <w:rsid w:val="DE7FF679"/>
    <w:rsid w:val="DE91367B"/>
    <w:rsid w:val="DEB74D15"/>
    <w:rsid w:val="DEDF6869"/>
    <w:rsid w:val="DEFA27BE"/>
    <w:rsid w:val="DEFF0687"/>
    <w:rsid w:val="DF3FC7DF"/>
    <w:rsid w:val="DF4FD545"/>
    <w:rsid w:val="DF5ACF96"/>
    <w:rsid w:val="DF5E6A4F"/>
    <w:rsid w:val="DF77C2C2"/>
    <w:rsid w:val="DF7B47FF"/>
    <w:rsid w:val="DF7F132F"/>
    <w:rsid w:val="DF98150C"/>
    <w:rsid w:val="DF9DDAE2"/>
    <w:rsid w:val="DFBEB2C6"/>
    <w:rsid w:val="DFCD046A"/>
    <w:rsid w:val="DFCF9AD6"/>
    <w:rsid w:val="DFD56C01"/>
    <w:rsid w:val="DFD9484A"/>
    <w:rsid w:val="DFDDA34A"/>
    <w:rsid w:val="DFDDD654"/>
    <w:rsid w:val="DFDF2CBA"/>
    <w:rsid w:val="DFEF884A"/>
    <w:rsid w:val="DFF687CE"/>
    <w:rsid w:val="DFF70A22"/>
    <w:rsid w:val="DFF7398E"/>
    <w:rsid w:val="DFFBB1C3"/>
    <w:rsid w:val="DFFBC916"/>
    <w:rsid w:val="DFFD2510"/>
    <w:rsid w:val="DFFEB3A5"/>
    <w:rsid w:val="DFFFE1F0"/>
    <w:rsid w:val="E1ED59F6"/>
    <w:rsid w:val="E1F36091"/>
    <w:rsid w:val="E2F70961"/>
    <w:rsid w:val="E2FEF9F3"/>
    <w:rsid w:val="E37F1D1E"/>
    <w:rsid w:val="E37F933B"/>
    <w:rsid w:val="E3FCDD51"/>
    <w:rsid w:val="E3FDB587"/>
    <w:rsid w:val="E3FFAE64"/>
    <w:rsid w:val="E45FB368"/>
    <w:rsid w:val="E52F30D6"/>
    <w:rsid w:val="E57F781C"/>
    <w:rsid w:val="E59FBE16"/>
    <w:rsid w:val="E5BBB78D"/>
    <w:rsid w:val="E6F55AB0"/>
    <w:rsid w:val="E6FB600B"/>
    <w:rsid w:val="E6FE0F75"/>
    <w:rsid w:val="E72F0147"/>
    <w:rsid w:val="E77672C7"/>
    <w:rsid w:val="E7AAC673"/>
    <w:rsid w:val="E7B98638"/>
    <w:rsid w:val="E7DDADF7"/>
    <w:rsid w:val="E7F7207F"/>
    <w:rsid w:val="E7FF7B5B"/>
    <w:rsid w:val="E7FFBC4F"/>
    <w:rsid w:val="E95F6C66"/>
    <w:rsid w:val="E9FBD408"/>
    <w:rsid w:val="EA776643"/>
    <w:rsid w:val="EB4B5DC2"/>
    <w:rsid w:val="EB4B6268"/>
    <w:rsid w:val="EB6F86FF"/>
    <w:rsid w:val="EBEF05E0"/>
    <w:rsid w:val="EBF79625"/>
    <w:rsid w:val="ECFB3AFD"/>
    <w:rsid w:val="ED7B55F0"/>
    <w:rsid w:val="ED7BEB1A"/>
    <w:rsid w:val="EDBFD268"/>
    <w:rsid w:val="EDF717BC"/>
    <w:rsid w:val="EDFAE3BD"/>
    <w:rsid w:val="EDFBDD3E"/>
    <w:rsid w:val="EDFE68BF"/>
    <w:rsid w:val="EDFF1485"/>
    <w:rsid w:val="EDFFE48F"/>
    <w:rsid w:val="EE3BCC43"/>
    <w:rsid w:val="EE7A895A"/>
    <w:rsid w:val="EEBDC3BA"/>
    <w:rsid w:val="EECB9966"/>
    <w:rsid w:val="EEFE1555"/>
    <w:rsid w:val="EF1BEA69"/>
    <w:rsid w:val="EF3D8AD8"/>
    <w:rsid w:val="EF5B697C"/>
    <w:rsid w:val="EF8D34E9"/>
    <w:rsid w:val="EFCF50F5"/>
    <w:rsid w:val="EFDBB13B"/>
    <w:rsid w:val="EFE7B2A9"/>
    <w:rsid w:val="EFEE7D0F"/>
    <w:rsid w:val="EFFB0AAF"/>
    <w:rsid w:val="EFFD90ED"/>
    <w:rsid w:val="EFFE1B47"/>
    <w:rsid w:val="EFFEA9E2"/>
    <w:rsid w:val="EFFF4DB8"/>
    <w:rsid w:val="EFFF55A8"/>
    <w:rsid w:val="EFFF7215"/>
    <w:rsid w:val="F1D70445"/>
    <w:rsid w:val="F27E9596"/>
    <w:rsid w:val="F34F0394"/>
    <w:rsid w:val="F35C8FD5"/>
    <w:rsid w:val="F37DDC06"/>
    <w:rsid w:val="F37E7B81"/>
    <w:rsid w:val="F37E808B"/>
    <w:rsid w:val="F3E75718"/>
    <w:rsid w:val="F3ED2150"/>
    <w:rsid w:val="F3FB27EC"/>
    <w:rsid w:val="F3FBA7A0"/>
    <w:rsid w:val="F3FF574B"/>
    <w:rsid w:val="F4FB65F8"/>
    <w:rsid w:val="F51F4095"/>
    <w:rsid w:val="F58D88EE"/>
    <w:rsid w:val="F59F7864"/>
    <w:rsid w:val="F5CD46D5"/>
    <w:rsid w:val="F5E1B436"/>
    <w:rsid w:val="F5EF4457"/>
    <w:rsid w:val="F5F3C194"/>
    <w:rsid w:val="F5FE2B16"/>
    <w:rsid w:val="F5FF739D"/>
    <w:rsid w:val="F62ED69F"/>
    <w:rsid w:val="F66D12D5"/>
    <w:rsid w:val="F679290B"/>
    <w:rsid w:val="F67D57A2"/>
    <w:rsid w:val="F6FF1245"/>
    <w:rsid w:val="F6FFEA4E"/>
    <w:rsid w:val="F73CEED0"/>
    <w:rsid w:val="F747D36B"/>
    <w:rsid w:val="F75E310B"/>
    <w:rsid w:val="F75F998A"/>
    <w:rsid w:val="F76CF7F2"/>
    <w:rsid w:val="F777B9A7"/>
    <w:rsid w:val="F795B073"/>
    <w:rsid w:val="F79F70D0"/>
    <w:rsid w:val="F7AF2EE5"/>
    <w:rsid w:val="F7AF4BF9"/>
    <w:rsid w:val="F7BD2405"/>
    <w:rsid w:val="F7BD2B9A"/>
    <w:rsid w:val="F7BF71BE"/>
    <w:rsid w:val="F7CF1C69"/>
    <w:rsid w:val="F7DA2389"/>
    <w:rsid w:val="F7E474A3"/>
    <w:rsid w:val="F7EE6594"/>
    <w:rsid w:val="F7EF35DA"/>
    <w:rsid w:val="F7F354A3"/>
    <w:rsid w:val="F7F4BC8D"/>
    <w:rsid w:val="F7F71A1E"/>
    <w:rsid w:val="F7FF371F"/>
    <w:rsid w:val="F7FFB119"/>
    <w:rsid w:val="F7FFF6D7"/>
    <w:rsid w:val="F8FBEC42"/>
    <w:rsid w:val="F93E474A"/>
    <w:rsid w:val="F9AF4DC9"/>
    <w:rsid w:val="F9BB0337"/>
    <w:rsid w:val="F9BFC443"/>
    <w:rsid w:val="F9CF9B68"/>
    <w:rsid w:val="F9CFEF94"/>
    <w:rsid w:val="F9EF9D65"/>
    <w:rsid w:val="F9EFDFE0"/>
    <w:rsid w:val="F9F9AACA"/>
    <w:rsid w:val="F9FE4831"/>
    <w:rsid w:val="FABBEE01"/>
    <w:rsid w:val="FAD7D7F0"/>
    <w:rsid w:val="FAE9BE0C"/>
    <w:rsid w:val="FAFDAD0F"/>
    <w:rsid w:val="FAFEE623"/>
    <w:rsid w:val="FAFF546D"/>
    <w:rsid w:val="FAFFB5CB"/>
    <w:rsid w:val="FB2697BC"/>
    <w:rsid w:val="FB3F7263"/>
    <w:rsid w:val="FB438D05"/>
    <w:rsid w:val="FB7DEF12"/>
    <w:rsid w:val="FB7FE9F6"/>
    <w:rsid w:val="FB950DAF"/>
    <w:rsid w:val="FBB36605"/>
    <w:rsid w:val="FBBA07A5"/>
    <w:rsid w:val="FBDBD655"/>
    <w:rsid w:val="FBDDD3F7"/>
    <w:rsid w:val="FBDE8648"/>
    <w:rsid w:val="FBDF6041"/>
    <w:rsid w:val="FBE99334"/>
    <w:rsid w:val="FBEC31DB"/>
    <w:rsid w:val="FBF7857C"/>
    <w:rsid w:val="FBFB09EC"/>
    <w:rsid w:val="FBFC08DB"/>
    <w:rsid w:val="FBFDA5DB"/>
    <w:rsid w:val="FBFF6073"/>
    <w:rsid w:val="FBFFA5C0"/>
    <w:rsid w:val="FC5739CB"/>
    <w:rsid w:val="FC7F2A90"/>
    <w:rsid w:val="FCAF92A9"/>
    <w:rsid w:val="FCBB0ABC"/>
    <w:rsid w:val="FCBED0F6"/>
    <w:rsid w:val="FCBFA70C"/>
    <w:rsid w:val="FCE71E58"/>
    <w:rsid w:val="FD3DD933"/>
    <w:rsid w:val="FD4FFDFE"/>
    <w:rsid w:val="FD75D44B"/>
    <w:rsid w:val="FD7BCC61"/>
    <w:rsid w:val="FD97427F"/>
    <w:rsid w:val="FD9D597D"/>
    <w:rsid w:val="FDB74B8C"/>
    <w:rsid w:val="FDBC8530"/>
    <w:rsid w:val="FDD6850E"/>
    <w:rsid w:val="FDD728B4"/>
    <w:rsid w:val="FDE5231B"/>
    <w:rsid w:val="FDE78803"/>
    <w:rsid w:val="FDE7C4B3"/>
    <w:rsid w:val="FDED5079"/>
    <w:rsid w:val="FDED6169"/>
    <w:rsid w:val="FDEF4C43"/>
    <w:rsid w:val="FDF5B2C4"/>
    <w:rsid w:val="FDF7AAF0"/>
    <w:rsid w:val="FDF9C540"/>
    <w:rsid w:val="FDFD2337"/>
    <w:rsid w:val="FDFD7ED2"/>
    <w:rsid w:val="FDFE8177"/>
    <w:rsid w:val="FDFF0B90"/>
    <w:rsid w:val="FDFF8931"/>
    <w:rsid w:val="FDFFB142"/>
    <w:rsid w:val="FDFFC8DA"/>
    <w:rsid w:val="FE4B1979"/>
    <w:rsid w:val="FE761969"/>
    <w:rsid w:val="FE7AB0E0"/>
    <w:rsid w:val="FE7BF479"/>
    <w:rsid w:val="FE7DAC93"/>
    <w:rsid w:val="FE7F89C2"/>
    <w:rsid w:val="FE957670"/>
    <w:rsid w:val="FEAD3E62"/>
    <w:rsid w:val="FEB7DC77"/>
    <w:rsid w:val="FEBB1594"/>
    <w:rsid w:val="FEBB65CB"/>
    <w:rsid w:val="FED9B2F7"/>
    <w:rsid w:val="FEDEB389"/>
    <w:rsid w:val="FEDF69AC"/>
    <w:rsid w:val="FEEFE2BB"/>
    <w:rsid w:val="FEF33A23"/>
    <w:rsid w:val="FEF70731"/>
    <w:rsid w:val="FEF74F1A"/>
    <w:rsid w:val="FEF953A3"/>
    <w:rsid w:val="FEFB0492"/>
    <w:rsid w:val="FEFBE4B9"/>
    <w:rsid w:val="FEFBFBEF"/>
    <w:rsid w:val="FEFDAAE1"/>
    <w:rsid w:val="FEFF0CE7"/>
    <w:rsid w:val="FEFF5ABD"/>
    <w:rsid w:val="FEFF80C9"/>
    <w:rsid w:val="FF177A71"/>
    <w:rsid w:val="FF33AA56"/>
    <w:rsid w:val="FF3DE661"/>
    <w:rsid w:val="FF452612"/>
    <w:rsid w:val="FF4B3D44"/>
    <w:rsid w:val="FF66F352"/>
    <w:rsid w:val="FF678DED"/>
    <w:rsid w:val="FF6C1EBB"/>
    <w:rsid w:val="FF6F10E9"/>
    <w:rsid w:val="FF6FDDC4"/>
    <w:rsid w:val="FF773C03"/>
    <w:rsid w:val="FF797123"/>
    <w:rsid w:val="FF7A9490"/>
    <w:rsid w:val="FF7BEF5B"/>
    <w:rsid w:val="FF7C063C"/>
    <w:rsid w:val="FF7ECFF4"/>
    <w:rsid w:val="FF7F9152"/>
    <w:rsid w:val="FF9F9285"/>
    <w:rsid w:val="FFA45AF0"/>
    <w:rsid w:val="FFA7FC8E"/>
    <w:rsid w:val="FFBA8D9C"/>
    <w:rsid w:val="FFBB0602"/>
    <w:rsid w:val="FFBCD6B9"/>
    <w:rsid w:val="FFBD0089"/>
    <w:rsid w:val="FFBF8D4D"/>
    <w:rsid w:val="FFBFCD8C"/>
    <w:rsid w:val="FFBFE85E"/>
    <w:rsid w:val="FFCDA642"/>
    <w:rsid w:val="FFD03F37"/>
    <w:rsid w:val="FFD2AE38"/>
    <w:rsid w:val="FFD718FA"/>
    <w:rsid w:val="FFDD8AEC"/>
    <w:rsid w:val="FFDE0FE1"/>
    <w:rsid w:val="FFDE911B"/>
    <w:rsid w:val="FFDF8314"/>
    <w:rsid w:val="FFE3C855"/>
    <w:rsid w:val="FFE982CB"/>
    <w:rsid w:val="FFED17E1"/>
    <w:rsid w:val="FFED55C4"/>
    <w:rsid w:val="FFEDF21C"/>
    <w:rsid w:val="FFEE5662"/>
    <w:rsid w:val="FFEF28F2"/>
    <w:rsid w:val="FFEFD1FF"/>
    <w:rsid w:val="FFF59DC9"/>
    <w:rsid w:val="FFF63D72"/>
    <w:rsid w:val="FFF75D3E"/>
    <w:rsid w:val="FFF77F6D"/>
    <w:rsid w:val="FFF788B4"/>
    <w:rsid w:val="FFF99F41"/>
    <w:rsid w:val="FFFA1E77"/>
    <w:rsid w:val="FFFB948B"/>
    <w:rsid w:val="FFFC7890"/>
    <w:rsid w:val="FFFD4A3B"/>
    <w:rsid w:val="FFFD4C97"/>
    <w:rsid w:val="FFFDF51E"/>
    <w:rsid w:val="FFFE50AD"/>
    <w:rsid w:val="FFFE7A61"/>
    <w:rsid w:val="FFFE9039"/>
    <w:rsid w:val="FFFF6494"/>
    <w:rsid w:val="FFFF758A"/>
    <w:rsid w:val="FFFF78E6"/>
    <w:rsid w:val="FFFFB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仿宋" w:hAnsi="仿宋" w:eastAsia="仿宋" w:cs="仿宋"/>
      <w:sz w:val="31"/>
      <w:szCs w:val="31"/>
      <w:lang w:val="en-US" w:eastAsia="en-US" w:bidi="ar-SA"/>
    </w:rPr>
  </w:style>
  <w:style w:type="paragraph" w:styleId="4">
    <w:name w:val="toc 5"/>
    <w:basedOn w:val="1"/>
    <w:next w:val="1"/>
    <w:qFormat/>
    <w:uiPriority w:val="0"/>
    <w:pPr>
      <w:ind w:left="1680" w:leftChars="8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3"/>
    <w:unhideWhenUsed/>
    <w:qFormat/>
    <w:uiPriority w:val="99"/>
    <w:pPr>
      <w:ind w:firstLine="420" w:firstLineChars="100"/>
    </w:p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17772</Words>
  <Characters>19658</Characters>
  <Lines>0</Lines>
  <Paragraphs>0</Paragraphs>
  <TotalTime>39</TotalTime>
  <ScaleCrop>false</ScaleCrop>
  <LinksUpToDate>false</LinksUpToDate>
  <CharactersWithSpaces>20447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2024-03-28T08:36:00Z</dcterms:created>
  <dc:creator>Administrator</dc:creator>
  <cp:lastModifiedBy>Administrator</cp:lastModifiedBy>
  <cp:lastPrinted>2025-06-26T02:38:38Z</cp:lastPrinted>
  <dcterms:modified xsi:type="dcterms:W3CDTF">2025-06-27T02:04:47Z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6182D3A10D564617983F46DEE354AEAF</vt:lpwstr>
  </property>
  <property fmtid="{D5CDD505-2E9C-101B-9397-08002B2CF9AE}" pid="4" name="KSOTemplateDocerSaveRecord">
    <vt:lpwstr>eyJoZGlkIjoiMTQ5OTBlMjkxOGJkZTY2YWVjYTkxNWZjODEzNjkwZDciLCJ1c2VySWQiOiI3MzkwMTIwMjYifQ==</vt:lpwstr>
  </property>
</Properties>
</file>