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highlight w:val="none"/>
        </w:rPr>
      </w:pPr>
    </w:p>
    <w:p>
      <w:pPr>
        <w:jc w:val="center"/>
        <w:rPr>
          <w:rFonts w:hint="eastAsia" w:ascii="方正小标宋简体" w:hAnsi="方正小标宋简体" w:eastAsia="方正小标宋简体" w:cs="方正小标宋简体"/>
          <w:sz w:val="44"/>
          <w:szCs w:val="44"/>
          <w:highlight w:val="none"/>
        </w:rPr>
      </w:pPr>
    </w:p>
    <w:p>
      <w:pPr>
        <w:pStyle w:val="2"/>
        <w:rPr>
          <w:rFonts w:hint="eastAsia"/>
        </w:rPr>
      </w:pPr>
    </w:p>
    <w:p>
      <w:pPr>
        <w:jc w:val="center"/>
        <w:rPr>
          <w:rFonts w:hint="eastAsia" w:ascii="方正小标宋简体" w:hAnsi="方正小标宋简体" w:eastAsia="方正小标宋简体" w:cs="方正小标宋简体"/>
          <w:sz w:val="44"/>
          <w:szCs w:val="44"/>
          <w:highlight w:val="none"/>
          <w:u w:val="none"/>
          <w:lang w:val="en-US" w:eastAsia="zh-CN"/>
        </w:rPr>
      </w:pPr>
      <w:r>
        <w:rPr>
          <w:rFonts w:hint="eastAsia" w:ascii="方正小标宋简体" w:hAnsi="方正小标宋简体" w:eastAsia="方正小标宋简体" w:cs="方正小标宋简体"/>
          <w:sz w:val="44"/>
          <w:szCs w:val="44"/>
          <w:highlight w:val="none"/>
        </w:rPr>
        <w:t>202</w:t>
      </w:r>
      <w:r>
        <w:rPr>
          <w:rFonts w:hint="eastAsia" w:ascii="方正小标宋简体" w:hAnsi="方正小标宋简体" w:eastAsia="方正小标宋简体" w:cs="方正小标宋简体"/>
          <w:sz w:val="44"/>
          <w:szCs w:val="44"/>
          <w:highlight w:val="none"/>
          <w:lang w:val="en-US" w:eastAsia="zh-CN"/>
        </w:rPr>
        <w:t>4</w:t>
      </w:r>
      <w:r>
        <w:rPr>
          <w:rFonts w:hint="eastAsia" w:ascii="方正小标宋简体" w:hAnsi="方正小标宋简体" w:eastAsia="方正小标宋简体" w:cs="方正小标宋简体"/>
          <w:sz w:val="44"/>
          <w:szCs w:val="44"/>
          <w:highlight w:val="none"/>
        </w:rPr>
        <w:t>年度</w:t>
      </w:r>
      <w:r>
        <w:rPr>
          <w:rFonts w:hint="eastAsia" w:ascii="方正小标宋简体" w:hAnsi="方正小标宋简体" w:eastAsia="方正小标宋简体" w:cs="方正小标宋简体"/>
          <w:sz w:val="44"/>
          <w:szCs w:val="44"/>
          <w:highlight w:val="none"/>
          <w:u w:val="none"/>
          <w:lang w:val="en-US" w:eastAsia="zh-CN"/>
        </w:rPr>
        <w:t>岳阳市停车管理服务中心</w:t>
      </w:r>
    </w:p>
    <w:p>
      <w:pPr>
        <w:jc w:val="center"/>
        <w:rPr>
          <w:rFonts w:hint="eastAsia"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整体支出绩效自评报告</w:t>
      </w:r>
    </w:p>
    <w:p>
      <w:pPr>
        <w:jc w:val="center"/>
        <w:rPr>
          <w:rFonts w:hint="default" w:ascii="Times New Roman" w:hAnsi="Times New Roman" w:eastAsia="方正小标宋_GBK" w:cs="Times New Roman"/>
          <w:b/>
          <w:sz w:val="52"/>
          <w:szCs w:val="5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楷体_GB2312" w:cs="Times New Roman"/>
          <w:b/>
          <w:sz w:val="32"/>
          <w:szCs w:val="32"/>
          <w:highlight w:val="none"/>
        </w:rPr>
      </w:pPr>
    </w:p>
    <w:p>
      <w:pPr>
        <w:jc w:val="center"/>
        <w:rPr>
          <w:rFonts w:hint="default" w:ascii="Times New Roman" w:hAnsi="Times New Roman" w:eastAsia="黑体" w:cs="Times New Roman"/>
          <w:sz w:val="32"/>
          <w:szCs w:val="32"/>
          <w:highlight w:val="none"/>
        </w:rPr>
      </w:pPr>
    </w:p>
    <w:p>
      <w:pPr>
        <w:jc w:val="both"/>
        <w:rPr>
          <w:rFonts w:hint="default" w:ascii="Times New Roman" w:hAnsi="Times New Roman" w:eastAsia="黑体" w:cs="Times New Roman"/>
          <w:sz w:val="32"/>
          <w:szCs w:val="32"/>
          <w:highlight w:val="none"/>
        </w:rPr>
      </w:pPr>
    </w:p>
    <w:p>
      <w:pPr>
        <w:jc w:val="center"/>
        <w:rPr>
          <w:rFonts w:hint="default" w:ascii="Times New Roman" w:hAnsi="Times New Roman" w:eastAsia="黑体" w:cs="Times New Roman"/>
          <w:sz w:val="32"/>
          <w:szCs w:val="32"/>
          <w:highlight w:val="none"/>
        </w:rPr>
      </w:pPr>
    </w:p>
    <w:p>
      <w:pPr>
        <w:spacing w:line="600" w:lineRule="exact"/>
        <w:jc w:val="center"/>
        <w:rPr>
          <w:rFonts w:hint="eastAsia" w:ascii="方正小标宋简体" w:hAnsi="方正小标宋简体" w:eastAsia="方正小标宋简体" w:cs="方正小标宋简体"/>
          <w:b w:val="0"/>
          <w:bCs w:val="0"/>
          <w:sz w:val="32"/>
          <w:szCs w:val="32"/>
          <w:highlight w:val="none"/>
          <w:u w:val="single"/>
          <w:lang w:val="en-US" w:eastAsia="zh-CN"/>
        </w:rPr>
      </w:pPr>
      <w:r>
        <w:rPr>
          <w:rFonts w:hint="eastAsia" w:ascii="方正小标宋简体" w:hAnsi="方正小标宋简体" w:eastAsia="方正小标宋简体" w:cs="方正小标宋简体"/>
          <w:b w:val="0"/>
          <w:bCs w:val="0"/>
          <w:sz w:val="32"/>
          <w:szCs w:val="32"/>
          <w:highlight w:val="none"/>
        </w:rPr>
        <w:t>单位名称：</w:t>
      </w:r>
      <w:r>
        <w:rPr>
          <w:rFonts w:hint="eastAsia" w:ascii="方正小标宋简体" w:hAnsi="方正小标宋简体" w:eastAsia="方正小标宋简体" w:cs="方正小标宋简体"/>
          <w:b w:val="0"/>
          <w:bCs w:val="0"/>
          <w:sz w:val="32"/>
          <w:szCs w:val="32"/>
          <w:highlight w:val="none"/>
          <w:u w:val="single"/>
          <w:lang w:val="en-US" w:eastAsia="zh-CN"/>
        </w:rPr>
        <w:t>岳阳市停车管理服务中心</w:t>
      </w:r>
    </w:p>
    <w:p>
      <w:pPr>
        <w:spacing w:line="600" w:lineRule="exact"/>
        <w:jc w:val="center"/>
        <w:rPr>
          <w:rFonts w:hint="eastAsia" w:ascii="方正小标宋简体" w:hAnsi="方正小标宋简体" w:eastAsia="方正小标宋简体" w:cs="方正小标宋简体"/>
          <w:b w:val="0"/>
          <w:bCs w:val="0"/>
          <w:sz w:val="32"/>
          <w:szCs w:val="32"/>
          <w:highlight w:val="none"/>
        </w:rPr>
      </w:pPr>
      <w:r>
        <w:rPr>
          <w:rFonts w:hint="eastAsia" w:ascii="方正小标宋简体" w:hAnsi="方正小标宋简体" w:eastAsia="方正小标宋简体" w:cs="方正小标宋简体"/>
          <w:b w:val="0"/>
          <w:bCs w:val="0"/>
          <w:sz w:val="32"/>
          <w:szCs w:val="32"/>
          <w:highlight w:val="none"/>
          <w:lang w:val="en-US" w:eastAsia="zh-CN"/>
        </w:rPr>
        <w:t>2025</w:t>
      </w:r>
      <w:r>
        <w:rPr>
          <w:rFonts w:hint="eastAsia" w:ascii="方正小标宋简体" w:hAnsi="方正小标宋简体" w:eastAsia="方正小标宋简体" w:cs="方正小标宋简体"/>
          <w:b w:val="0"/>
          <w:bCs w:val="0"/>
          <w:sz w:val="32"/>
          <w:szCs w:val="32"/>
          <w:highlight w:val="none"/>
        </w:rPr>
        <w:t>年</w:t>
      </w:r>
      <w:r>
        <w:rPr>
          <w:rFonts w:hint="eastAsia" w:ascii="方正小标宋简体" w:hAnsi="方正小标宋简体" w:eastAsia="方正小标宋简体" w:cs="方正小标宋简体"/>
          <w:b w:val="0"/>
          <w:bCs w:val="0"/>
          <w:sz w:val="32"/>
          <w:szCs w:val="32"/>
          <w:highlight w:val="none"/>
          <w:lang w:val="en-US" w:eastAsia="zh-CN"/>
        </w:rPr>
        <w:t>6</w:t>
      </w:r>
      <w:r>
        <w:rPr>
          <w:rFonts w:hint="eastAsia" w:ascii="方正小标宋简体" w:hAnsi="方正小标宋简体" w:eastAsia="方正小标宋简体" w:cs="方正小标宋简体"/>
          <w:b w:val="0"/>
          <w:bCs w:val="0"/>
          <w:sz w:val="32"/>
          <w:szCs w:val="32"/>
          <w:highlight w:val="none"/>
        </w:rPr>
        <w:t>月</w:t>
      </w:r>
      <w:r>
        <w:rPr>
          <w:rFonts w:hint="eastAsia" w:ascii="方正小标宋简体" w:hAnsi="方正小标宋简体" w:eastAsia="方正小标宋简体" w:cs="方正小标宋简体"/>
          <w:b w:val="0"/>
          <w:bCs w:val="0"/>
          <w:sz w:val="32"/>
          <w:szCs w:val="32"/>
          <w:highlight w:val="none"/>
          <w:lang w:val="en-US" w:eastAsia="zh-CN"/>
        </w:rPr>
        <w:t>26</w:t>
      </w:r>
      <w:r>
        <w:rPr>
          <w:rFonts w:hint="eastAsia" w:ascii="方正小标宋简体" w:hAnsi="方正小标宋简体" w:eastAsia="方正小标宋简体" w:cs="方正小标宋简体"/>
          <w:b w:val="0"/>
          <w:bCs w:val="0"/>
          <w:sz w:val="32"/>
          <w:szCs w:val="32"/>
          <w:highlight w:val="none"/>
        </w:rPr>
        <w:t>日</w:t>
      </w:r>
    </w:p>
    <w:p>
      <w:pPr>
        <w:jc w:val="center"/>
        <w:rPr>
          <w:rFonts w:hint="eastAsia" w:ascii="仿宋_GB2312" w:hAnsi="仿宋_GB2312" w:eastAsia="仿宋_GB2312" w:cs="仿宋_GB2312"/>
          <w:sz w:val="32"/>
          <w:szCs w:val="32"/>
          <w:highlight w:val="none"/>
        </w:rPr>
      </w:pPr>
    </w:p>
    <w:p>
      <w:pPr>
        <w:jc w:val="center"/>
        <w:rPr>
          <w:rFonts w:hint="default" w:ascii="Times New Roman" w:hAnsi="Times New Roman" w:eastAsia="仿宋_GB2312" w:cs="Times New Roman"/>
          <w:sz w:val="32"/>
          <w:szCs w:val="32"/>
          <w:highlight w:val="none"/>
        </w:rPr>
        <w:sectPr>
          <w:pgSz w:w="11906" w:h="16838"/>
          <w:pgMar w:top="1440" w:right="1800" w:bottom="1440" w:left="1800" w:header="851" w:footer="992" w:gutter="0"/>
          <w:cols w:space="425" w:num="1"/>
          <w:docGrid w:type="lines" w:linePitch="312" w:charSpace="0"/>
        </w:sectPr>
      </w:pPr>
    </w:p>
    <w:p>
      <w:pPr>
        <w:pStyle w:val="4"/>
        <w:rPr>
          <w:rFonts w:hint="default"/>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highlight w:val="none"/>
          <w:u w:val="none"/>
          <w:lang w:val="en-US" w:eastAsia="zh-CN"/>
        </w:rPr>
      </w:pPr>
      <w:r>
        <w:rPr>
          <w:rFonts w:hint="eastAsia" w:asciiTheme="majorEastAsia" w:hAnsiTheme="majorEastAsia" w:eastAsiaTheme="majorEastAsia" w:cstheme="majorEastAsia"/>
          <w:b/>
          <w:bCs/>
          <w:sz w:val="44"/>
          <w:szCs w:val="44"/>
          <w:highlight w:val="none"/>
        </w:rPr>
        <w:t>202</w:t>
      </w:r>
      <w:r>
        <w:rPr>
          <w:rFonts w:hint="eastAsia" w:asciiTheme="majorEastAsia" w:hAnsiTheme="majorEastAsia" w:eastAsiaTheme="majorEastAsia" w:cstheme="majorEastAsia"/>
          <w:b/>
          <w:bCs/>
          <w:sz w:val="44"/>
          <w:szCs w:val="44"/>
          <w:highlight w:val="none"/>
          <w:lang w:val="en-US" w:eastAsia="zh-CN"/>
        </w:rPr>
        <w:t>4</w:t>
      </w:r>
      <w:r>
        <w:rPr>
          <w:rFonts w:hint="eastAsia" w:asciiTheme="majorEastAsia" w:hAnsiTheme="majorEastAsia" w:eastAsiaTheme="majorEastAsia" w:cstheme="majorEastAsia"/>
          <w:b/>
          <w:bCs/>
          <w:sz w:val="44"/>
          <w:szCs w:val="44"/>
          <w:highlight w:val="none"/>
        </w:rPr>
        <w:t>年度</w:t>
      </w:r>
      <w:r>
        <w:rPr>
          <w:rFonts w:hint="eastAsia" w:asciiTheme="majorEastAsia" w:hAnsiTheme="majorEastAsia" w:eastAsiaTheme="majorEastAsia" w:cstheme="majorEastAsia"/>
          <w:b/>
          <w:bCs/>
          <w:sz w:val="44"/>
          <w:szCs w:val="44"/>
          <w:highlight w:val="none"/>
          <w:u w:val="none"/>
          <w:lang w:val="en-US" w:eastAsia="zh-CN"/>
        </w:rPr>
        <w:t>岳阳市停车管理服务中心</w:t>
      </w: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bCs/>
          <w:sz w:val="44"/>
          <w:szCs w:val="44"/>
          <w:highlight w:val="none"/>
        </w:rPr>
      </w:pPr>
      <w:r>
        <w:rPr>
          <w:rFonts w:hint="eastAsia" w:asciiTheme="majorEastAsia" w:hAnsiTheme="majorEastAsia" w:eastAsiaTheme="majorEastAsia" w:cstheme="majorEastAsia"/>
          <w:b/>
          <w:bCs/>
          <w:sz w:val="44"/>
          <w:szCs w:val="44"/>
          <w:highlight w:val="none"/>
        </w:rPr>
        <w:t>整体支出绩效自评报告</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rPr>
      </w:pPr>
    </w:p>
    <w:p>
      <w:pPr>
        <w:keepNext w:val="0"/>
        <w:keepLines w:val="0"/>
        <w:pageBreakBefore w:val="0"/>
        <w:numPr>
          <w:ilvl w:val="0"/>
          <w:numId w:val="1"/>
        </w:numPr>
        <w:kinsoku/>
        <w:wordWrap/>
        <w:overflowPunct/>
        <w:topLinePunct w:val="0"/>
        <w:autoSpaceDE/>
        <w:autoSpaceDN/>
        <w:bidi w:val="0"/>
        <w:adjustRightInd/>
        <w:snapToGrid/>
        <w:spacing w:line="560" w:lineRule="exact"/>
        <w:ind w:firstLine="642" w:firstLineChars="200"/>
        <w:jc w:val="both"/>
        <w:textAlignment w:val="auto"/>
        <w:rPr>
          <w:rFonts w:hint="eastAsia" w:ascii="黑体" w:hAnsi="黑体" w:eastAsia="黑体" w:cs="黑体"/>
          <w:b/>
          <w:bCs/>
          <w:sz w:val="32"/>
          <w:szCs w:val="32"/>
          <w:highlight w:val="none"/>
        </w:rPr>
      </w:pPr>
      <w:r>
        <w:rPr>
          <w:rFonts w:hint="eastAsia" w:ascii="黑体" w:hAnsi="黑体" w:eastAsia="黑体" w:cs="黑体"/>
          <w:b/>
          <w:bCs/>
          <w:sz w:val="32"/>
          <w:szCs w:val="32"/>
          <w:highlight w:val="none"/>
        </w:rPr>
        <w:t>单位基本情况</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职能职责</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负责依法对城区内人行道上的停车进行规范化管理，对乱停乱靠车辆和擅自划定停车泊位的违法行为依法实施行政处罚。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b/>
          <w:sz w:val="32"/>
          <w:szCs w:val="32"/>
          <w:lang w:val="en-US" w:eastAsia="zh-CN"/>
        </w:rPr>
        <w:t>、</w:t>
      </w:r>
      <w:r>
        <w:rPr>
          <w:rFonts w:hint="eastAsia" w:ascii="仿宋_GB2312" w:hAnsi="仿宋_GB2312" w:eastAsia="仿宋_GB2312" w:cs="仿宋_GB2312"/>
          <w:sz w:val="32"/>
          <w:szCs w:val="32"/>
        </w:rPr>
        <w:t>负责对经营性单位或个人需占用城市人行道停放车辆的，依法办理相关手续。</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 w:eastAsia="zh-CN"/>
        </w:rPr>
        <w:t>3、</w:t>
      </w:r>
      <w:r>
        <w:rPr>
          <w:rFonts w:hint="eastAsia" w:ascii="仿宋_GB2312" w:hAnsi="仿宋_GB2312" w:eastAsia="仿宋_GB2312" w:cs="仿宋_GB2312"/>
          <w:sz w:val="32"/>
          <w:szCs w:val="32"/>
        </w:rPr>
        <w:t>负责对社会停车场(含地下停车场)的收费和停车管理实行业务指导，对擅自变更停车用途的行为实施行政处罚。</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负责对公益性社会停车场的设立进行规划和报建，对市政府交办管理的其他社会停车场进行维护和管理。</w:t>
      </w:r>
    </w:p>
    <w:p>
      <w:pPr>
        <w:keepNext w:val="0"/>
        <w:keepLines w:val="0"/>
        <w:pageBreakBefore w:val="0"/>
        <w:kinsoku/>
        <w:wordWrap/>
        <w:overflowPunct/>
        <w:topLinePunct w:val="0"/>
        <w:autoSpaceDE/>
        <w:autoSpaceDN/>
        <w:bidi w:val="0"/>
        <w:adjustRightInd/>
        <w:snapToGrid/>
        <w:spacing w:line="560" w:lineRule="exact"/>
        <w:ind w:left="20" w:firstLine="640" w:firstLineChars="200"/>
        <w:textAlignment w:val="auto"/>
        <w:rPr>
          <w:rFonts w:hint="eastAsia" w:ascii="CESI仿宋-GB2312" w:hAnsi="CESI仿宋-GB2312" w:eastAsia="CESI仿宋-GB2312" w:cs="CESI仿宋-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承办上级主管部门交办的其他事</w:t>
      </w:r>
      <w:r>
        <w:rPr>
          <w:rFonts w:hint="eastAsia" w:ascii="仿宋_GB2312" w:hAnsi="仿宋_GB2312" w:eastAsia="仿宋_GB2312" w:cs="仿宋_GB2312"/>
          <w:sz w:val="32"/>
          <w:szCs w:val="32"/>
          <w:lang w:eastAsia="zh-CN"/>
        </w:rPr>
        <w:t>项。</w:t>
      </w:r>
    </w:p>
    <w:p>
      <w:pPr>
        <w:pStyle w:val="4"/>
        <w:keepNext w:val="0"/>
        <w:keepLines w:val="0"/>
        <w:pageBreakBefore w:val="0"/>
        <w:numPr>
          <w:ilvl w:val="0"/>
          <w:numId w:val="0"/>
        </w:numPr>
        <w:kinsoku/>
        <w:wordWrap/>
        <w:overflowPunct/>
        <w:topLinePunct w:val="0"/>
        <w:autoSpaceDE/>
        <w:autoSpaceDN/>
        <w:bidi w:val="0"/>
        <w:adjustRightInd/>
        <w:snapToGrid/>
        <w:spacing w:line="560" w:lineRule="exact"/>
        <w:ind w:firstLine="48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机构设置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我单位为岳阳市城市管理和综合执法局直属公益一类事业单位，编制人数</w:t>
      </w:r>
      <w:r>
        <w:rPr>
          <w:rFonts w:hint="eastAsia" w:ascii="仿宋_GB2312" w:hAnsi="仿宋_GB2312" w:eastAsia="仿宋_GB2312" w:cs="仿宋_GB2312"/>
          <w:sz w:val="32"/>
          <w:szCs w:val="32"/>
          <w:lang w:val="en"/>
        </w:rPr>
        <w:t>21</w:t>
      </w:r>
      <w:r>
        <w:rPr>
          <w:rFonts w:hint="eastAsia" w:ascii="仿宋_GB2312" w:hAnsi="仿宋_GB2312" w:eastAsia="仿宋_GB2312" w:cs="仿宋_GB2312"/>
          <w:sz w:val="32"/>
          <w:szCs w:val="32"/>
        </w:rPr>
        <w:t>人，实有人数2</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人，下设部室：综合部、财务部、停车管理部、慢行交通服务部四个职能部室</w:t>
      </w:r>
      <w:r>
        <w:rPr>
          <w:rFonts w:hint="eastAsia" w:ascii="仿宋_GB2312" w:hAnsi="仿宋_GB2312" w:eastAsia="仿宋_GB2312" w:cs="仿宋_GB2312"/>
          <w:sz w:val="32"/>
          <w:szCs w:val="32"/>
          <w:lang w:eastAsia="zh-CN"/>
        </w:rPr>
        <w:t>。</w:t>
      </w:r>
    </w:p>
    <w:p>
      <w:pPr>
        <w:pStyle w:val="11"/>
        <w:keepNext w:val="0"/>
        <w:keepLines w:val="0"/>
        <w:pageBreakBefore w:val="0"/>
        <w:widowControl/>
        <w:kinsoku/>
        <w:wordWrap/>
        <w:overflowPunct/>
        <w:topLinePunct w:val="0"/>
        <w:autoSpaceDE/>
        <w:autoSpaceDN/>
        <w:bidi w:val="0"/>
        <w:adjustRightInd/>
        <w:snapToGrid/>
        <w:spacing w:line="560" w:lineRule="exact"/>
        <w:ind w:firstLine="642" w:firstLineChars="200"/>
        <w:jc w:val="both"/>
        <w:textAlignment w:val="auto"/>
        <w:rPr>
          <w:rFonts w:hint="eastAsia" w:ascii="CESI仿宋-GB2312" w:hAnsi="CESI仿宋-GB2312" w:eastAsia="CESI仿宋-GB2312" w:cs="CESI仿宋-GB2312"/>
          <w:b/>
          <w:bCs/>
          <w:color w:val="auto"/>
          <w:sz w:val="32"/>
          <w:szCs w:val="32"/>
          <w:highlight w:val="none"/>
        </w:rPr>
      </w:pPr>
      <w:r>
        <w:rPr>
          <w:rFonts w:hint="eastAsia" w:ascii="黑体" w:hAnsi="黑体" w:eastAsia="黑体" w:cs="黑体"/>
          <w:b/>
          <w:bCs/>
          <w:color w:val="auto"/>
          <w:sz w:val="32"/>
          <w:szCs w:val="32"/>
          <w:highlight w:val="none"/>
        </w:rPr>
        <w:t>二、一般公共预算支出情况</w:t>
      </w:r>
    </w:p>
    <w:p>
      <w:pPr>
        <w:pStyle w:val="11"/>
        <w:keepNext w:val="0"/>
        <w:keepLines w:val="0"/>
        <w:pageBreakBefore w:val="0"/>
        <w:widowControl/>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color w:val="auto"/>
          <w:sz w:val="32"/>
          <w:szCs w:val="32"/>
          <w:highlight w:val="none"/>
        </w:rPr>
      </w:pPr>
      <w:r>
        <w:rPr>
          <w:rFonts w:hint="eastAsia" w:ascii="仿宋_GB2312" w:hAnsi="仿宋_GB2312" w:eastAsia="仿宋_GB2312" w:cs="仿宋_GB2312"/>
          <w:b/>
          <w:color w:val="auto"/>
          <w:sz w:val="32"/>
          <w:szCs w:val="32"/>
          <w:highlight w:val="none"/>
        </w:rPr>
        <w:t>（一）基本支出情况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color w:val="auto"/>
          <w:sz w:val="32"/>
          <w:szCs w:val="32"/>
        </w:rPr>
      </w:pPr>
      <w:r>
        <w:rPr>
          <w:rFonts w:hint="eastAsia" w:ascii="仿宋_GB2312" w:hAnsi="仿宋_GB2312" w:eastAsia="仿宋_GB2312" w:cs="仿宋_GB2312"/>
          <w:bCs/>
          <w:color w:val="auto"/>
          <w:sz w:val="32"/>
          <w:szCs w:val="32"/>
        </w:rPr>
        <w:t>20</w:t>
      </w:r>
      <w:r>
        <w:rPr>
          <w:rFonts w:hint="eastAsia" w:ascii="仿宋_GB2312" w:hAnsi="仿宋_GB2312" w:eastAsia="仿宋_GB2312" w:cs="仿宋_GB2312"/>
          <w:bCs/>
          <w:color w:val="auto"/>
          <w:sz w:val="32"/>
          <w:szCs w:val="32"/>
          <w:lang w:val="en-US" w:eastAsia="zh-CN"/>
        </w:rPr>
        <w:t>24</w:t>
      </w:r>
      <w:r>
        <w:rPr>
          <w:rFonts w:hint="eastAsia" w:ascii="仿宋_GB2312" w:hAnsi="仿宋_GB2312" w:eastAsia="仿宋_GB2312" w:cs="仿宋_GB2312"/>
          <w:bCs/>
          <w:color w:val="auto"/>
          <w:sz w:val="32"/>
          <w:szCs w:val="32"/>
        </w:rPr>
        <w:t>年</w:t>
      </w:r>
      <w:r>
        <w:rPr>
          <w:rFonts w:hint="eastAsia" w:ascii="仿宋_GB2312" w:hAnsi="仿宋_GB2312" w:eastAsia="仿宋_GB2312" w:cs="仿宋_GB2312"/>
          <w:bCs/>
          <w:color w:val="auto"/>
          <w:sz w:val="32"/>
          <w:szCs w:val="32"/>
          <w:lang w:val="en-US" w:eastAsia="zh-CN"/>
        </w:rPr>
        <w:t>,我单位</w:t>
      </w:r>
      <w:r>
        <w:rPr>
          <w:rFonts w:hint="eastAsia" w:ascii="仿宋_GB2312" w:hAnsi="仿宋_GB2312" w:eastAsia="仿宋_GB2312" w:cs="仿宋_GB2312"/>
          <w:bCs/>
          <w:color w:val="auto"/>
          <w:sz w:val="32"/>
          <w:szCs w:val="32"/>
        </w:rPr>
        <w:t>基本支出</w:t>
      </w:r>
      <w:r>
        <w:rPr>
          <w:rFonts w:hint="eastAsia" w:ascii="仿宋_GB2312" w:hAnsi="仿宋_GB2312" w:eastAsia="仿宋_GB2312" w:cs="仿宋_GB2312"/>
          <w:bCs/>
          <w:color w:val="auto"/>
          <w:sz w:val="32"/>
          <w:szCs w:val="32"/>
          <w:lang w:val="en-US" w:eastAsia="zh-CN"/>
        </w:rPr>
        <w:t>总额为333.80</w:t>
      </w:r>
      <w:r>
        <w:rPr>
          <w:rFonts w:hint="eastAsia" w:ascii="仿宋_GB2312" w:hAnsi="仿宋_GB2312" w:eastAsia="仿宋_GB2312" w:cs="仿宋_GB2312"/>
          <w:bCs/>
          <w:color w:val="auto"/>
          <w:sz w:val="32"/>
          <w:szCs w:val="32"/>
        </w:rPr>
        <w:t>万元，其中人员经费支出</w:t>
      </w:r>
      <w:r>
        <w:rPr>
          <w:rFonts w:hint="eastAsia" w:ascii="仿宋_GB2312" w:hAnsi="仿宋_GB2312" w:eastAsia="仿宋_GB2312" w:cs="仿宋_GB2312"/>
          <w:bCs/>
          <w:color w:val="auto"/>
          <w:sz w:val="32"/>
          <w:szCs w:val="32"/>
          <w:lang w:val="en-US" w:eastAsia="zh-CN"/>
        </w:rPr>
        <w:t>290.40</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bCs/>
          <w:color w:val="auto"/>
          <w:sz w:val="32"/>
          <w:szCs w:val="32"/>
          <w:lang w:val="en-US" w:eastAsia="zh-CN"/>
        </w:rPr>
        <w:t>主要用于</w:t>
      </w:r>
      <w:r>
        <w:rPr>
          <w:rFonts w:hint="eastAsia" w:ascii="仿宋_GB2312" w:hAnsi="仿宋_GB2312" w:eastAsia="仿宋_GB2312" w:cs="仿宋_GB2312"/>
          <w:bCs/>
          <w:color w:val="auto"/>
          <w:sz w:val="32"/>
          <w:szCs w:val="32"/>
          <w:highlight w:val="none"/>
          <w:lang w:val="en-US" w:eastAsia="zh-CN"/>
        </w:rPr>
        <w:t>职工工资、津补贴、绩效工资及社会缴费等。</w:t>
      </w:r>
      <w:r>
        <w:rPr>
          <w:rFonts w:hint="eastAsia" w:ascii="仿宋_GB2312" w:hAnsi="仿宋_GB2312" w:eastAsia="仿宋_GB2312" w:cs="仿宋_GB2312"/>
          <w:bCs/>
          <w:color w:val="auto"/>
          <w:sz w:val="32"/>
          <w:szCs w:val="32"/>
        </w:rPr>
        <w:t>公用</w:t>
      </w:r>
      <w:r>
        <w:rPr>
          <w:rFonts w:hint="eastAsia" w:ascii="仿宋_GB2312" w:hAnsi="仿宋_GB2312" w:eastAsia="仿宋_GB2312" w:cs="仿宋_GB2312"/>
          <w:bCs/>
          <w:color w:val="auto"/>
          <w:sz w:val="32"/>
          <w:szCs w:val="32"/>
          <w:lang w:val="en-US" w:eastAsia="zh-CN"/>
        </w:rPr>
        <w:t>经费</w:t>
      </w:r>
      <w:r>
        <w:rPr>
          <w:rFonts w:hint="eastAsia" w:ascii="仿宋_GB2312" w:hAnsi="仿宋_GB2312" w:eastAsia="仿宋_GB2312" w:cs="仿宋_GB2312"/>
          <w:bCs/>
          <w:color w:val="auto"/>
          <w:sz w:val="32"/>
          <w:szCs w:val="32"/>
        </w:rPr>
        <w:t>支出</w:t>
      </w:r>
      <w:r>
        <w:rPr>
          <w:rFonts w:hint="eastAsia" w:ascii="仿宋_GB2312" w:hAnsi="仿宋_GB2312" w:eastAsia="仿宋_GB2312" w:cs="仿宋_GB2312"/>
          <w:bCs/>
          <w:color w:val="auto"/>
          <w:sz w:val="32"/>
          <w:szCs w:val="32"/>
          <w:lang w:val="en-US" w:eastAsia="zh-CN"/>
        </w:rPr>
        <w:t>43.40</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bCs/>
          <w:color w:val="auto"/>
          <w:sz w:val="32"/>
          <w:szCs w:val="32"/>
          <w:lang w:eastAsia="zh-CN"/>
        </w:rPr>
        <w:t>，</w:t>
      </w:r>
      <w:r>
        <w:rPr>
          <w:rFonts w:hint="eastAsia" w:ascii="仿宋_GB2312" w:hAnsi="仿宋_GB2312" w:eastAsia="仿宋_GB2312" w:cs="仿宋_GB2312"/>
          <w:bCs/>
          <w:color w:val="auto"/>
          <w:sz w:val="32"/>
          <w:szCs w:val="32"/>
          <w:lang w:val="en-US" w:eastAsia="zh-CN"/>
        </w:rPr>
        <w:t>主要用于办公费、印刷费、水电费、邮电费、取暖费、物业费、差旅费、维修（护）费、租赁费、会议费、培训费、公务接待费、劳务费、委托业务费、工会经费、公务用车运行费、其他交通费用、其他商品和服务支出等单位运转费用支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Cs/>
          <w:color w:val="auto"/>
          <w:sz w:val="32"/>
          <w:szCs w:val="32"/>
        </w:rPr>
        <w:t>本年度公务接待费</w:t>
      </w:r>
      <w:r>
        <w:rPr>
          <w:rFonts w:hint="eastAsia" w:ascii="仿宋_GB2312" w:hAnsi="仿宋_GB2312" w:eastAsia="仿宋_GB2312" w:cs="仿宋_GB2312"/>
          <w:bCs/>
          <w:color w:val="auto"/>
          <w:sz w:val="32"/>
          <w:szCs w:val="32"/>
          <w:lang w:eastAsia="zh-CN"/>
        </w:rPr>
        <w:t>预算</w:t>
      </w:r>
      <w:r>
        <w:rPr>
          <w:rFonts w:hint="eastAsia" w:ascii="仿宋_GB2312" w:hAnsi="仿宋_GB2312" w:eastAsia="仿宋_GB2312" w:cs="仿宋_GB2312"/>
          <w:bCs/>
          <w:color w:val="auto"/>
          <w:sz w:val="32"/>
          <w:szCs w:val="32"/>
          <w:lang w:val="en-US" w:eastAsia="zh-CN"/>
        </w:rPr>
        <w:t>0.50万元，实际</w:t>
      </w:r>
      <w:r>
        <w:rPr>
          <w:rFonts w:hint="eastAsia" w:ascii="仿宋_GB2312" w:hAnsi="仿宋_GB2312" w:eastAsia="仿宋_GB2312" w:cs="仿宋_GB2312"/>
          <w:bCs/>
          <w:color w:val="auto"/>
          <w:sz w:val="32"/>
          <w:szCs w:val="32"/>
        </w:rPr>
        <w:t>支出</w:t>
      </w:r>
      <w:r>
        <w:rPr>
          <w:rFonts w:hint="eastAsia" w:ascii="仿宋_GB2312" w:hAnsi="仿宋_GB2312" w:eastAsia="仿宋_GB2312" w:cs="仿宋_GB2312"/>
          <w:bCs/>
          <w:color w:val="auto"/>
          <w:sz w:val="32"/>
          <w:szCs w:val="32"/>
          <w:lang w:val="en-US" w:eastAsia="zh-CN"/>
        </w:rPr>
        <w:t>0</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bCs/>
          <w:color w:val="auto"/>
          <w:sz w:val="32"/>
          <w:szCs w:val="32"/>
          <w:lang w:val="en-US" w:eastAsia="zh-CN"/>
        </w:rPr>
        <w:t>公务用车购置及</w:t>
      </w:r>
      <w:r>
        <w:rPr>
          <w:rFonts w:hint="eastAsia" w:ascii="仿宋_GB2312" w:hAnsi="仿宋_GB2312" w:eastAsia="仿宋_GB2312" w:cs="仿宋_GB2312"/>
          <w:bCs/>
          <w:color w:val="auto"/>
          <w:sz w:val="32"/>
          <w:szCs w:val="32"/>
        </w:rPr>
        <w:t>公务用车运行维护费支出</w:t>
      </w:r>
      <w:r>
        <w:rPr>
          <w:rFonts w:hint="eastAsia" w:ascii="仿宋_GB2312" w:hAnsi="仿宋_GB2312" w:eastAsia="仿宋_GB2312" w:cs="仿宋_GB2312"/>
          <w:bCs/>
          <w:color w:val="auto"/>
          <w:sz w:val="32"/>
          <w:szCs w:val="32"/>
          <w:lang w:eastAsia="zh-CN"/>
        </w:rPr>
        <w:t>预算</w:t>
      </w:r>
      <w:r>
        <w:rPr>
          <w:rFonts w:hint="eastAsia" w:ascii="仿宋_GB2312" w:hAnsi="仿宋_GB2312" w:eastAsia="仿宋_GB2312" w:cs="仿宋_GB2312"/>
          <w:bCs/>
          <w:color w:val="auto"/>
          <w:sz w:val="32"/>
          <w:szCs w:val="32"/>
          <w:lang w:val="en-US" w:eastAsia="zh-CN"/>
        </w:rPr>
        <w:t>金额为20.00万元（其中公务用车购置预算0万元），公务用车购置及</w:t>
      </w:r>
      <w:r>
        <w:rPr>
          <w:rFonts w:hint="eastAsia" w:ascii="仿宋_GB2312" w:hAnsi="仿宋_GB2312" w:eastAsia="仿宋_GB2312" w:cs="仿宋_GB2312"/>
          <w:bCs/>
          <w:color w:val="auto"/>
          <w:sz w:val="32"/>
          <w:szCs w:val="32"/>
        </w:rPr>
        <w:t>公务用车运行维护费</w:t>
      </w:r>
      <w:r>
        <w:rPr>
          <w:rFonts w:hint="eastAsia" w:ascii="仿宋_GB2312" w:hAnsi="仿宋_GB2312" w:eastAsia="仿宋_GB2312" w:cs="仿宋_GB2312"/>
          <w:bCs/>
          <w:color w:val="auto"/>
          <w:sz w:val="32"/>
          <w:szCs w:val="32"/>
          <w:lang w:val="en-US" w:eastAsia="zh-CN"/>
        </w:rPr>
        <w:t>实际支出10.08</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bCs/>
          <w:color w:val="auto"/>
          <w:sz w:val="32"/>
          <w:szCs w:val="32"/>
          <w:lang w:val="en-US" w:eastAsia="zh-CN"/>
        </w:rPr>
        <w:t>（其中公务用车购置支出0万元）</w:t>
      </w:r>
      <w:r>
        <w:rPr>
          <w:rFonts w:hint="eastAsia" w:ascii="仿宋_GB2312" w:hAnsi="仿宋_GB2312" w:eastAsia="仿宋_GB2312" w:cs="仿宋_GB2312"/>
          <w:bCs/>
          <w:color w:val="auto"/>
          <w:sz w:val="32"/>
          <w:szCs w:val="32"/>
          <w:lang w:eastAsia="zh-CN"/>
        </w:rPr>
        <w:t>，因</w:t>
      </w:r>
      <w:r>
        <w:rPr>
          <w:rFonts w:hint="eastAsia" w:ascii="仿宋_GB2312" w:hAnsi="仿宋_GB2312" w:eastAsia="仿宋_GB2312" w:cs="仿宋_GB2312"/>
          <w:bCs/>
          <w:color w:val="auto"/>
          <w:sz w:val="32"/>
          <w:szCs w:val="32"/>
        </w:rPr>
        <w:t>公出国</w:t>
      </w:r>
      <w:r>
        <w:rPr>
          <w:rFonts w:hint="eastAsia" w:ascii="仿宋_GB2312" w:hAnsi="仿宋_GB2312" w:eastAsia="仿宋_GB2312" w:cs="仿宋_GB2312"/>
          <w:bCs/>
          <w:color w:val="auto"/>
          <w:sz w:val="32"/>
          <w:szCs w:val="32"/>
          <w:lang w:eastAsia="zh-CN"/>
        </w:rPr>
        <w:t>费用</w:t>
      </w:r>
      <w:r>
        <w:rPr>
          <w:rFonts w:hint="eastAsia" w:ascii="仿宋_GB2312" w:hAnsi="仿宋_GB2312" w:eastAsia="仿宋_GB2312" w:cs="仿宋_GB2312"/>
          <w:bCs/>
          <w:color w:val="auto"/>
          <w:sz w:val="32"/>
          <w:szCs w:val="32"/>
          <w:lang w:val="en-US" w:eastAsia="zh-CN"/>
        </w:rPr>
        <w:t>预算与实际</w:t>
      </w:r>
      <w:r>
        <w:rPr>
          <w:rFonts w:hint="eastAsia" w:ascii="仿宋_GB2312" w:hAnsi="仿宋_GB2312" w:eastAsia="仿宋_GB2312" w:cs="仿宋_GB2312"/>
          <w:bCs/>
          <w:color w:val="auto"/>
          <w:sz w:val="32"/>
          <w:szCs w:val="32"/>
        </w:rPr>
        <w:t>支出</w:t>
      </w:r>
      <w:r>
        <w:rPr>
          <w:rFonts w:hint="eastAsia" w:ascii="仿宋_GB2312" w:hAnsi="仿宋_GB2312" w:eastAsia="仿宋_GB2312" w:cs="仿宋_GB2312"/>
          <w:bCs/>
          <w:color w:val="auto"/>
          <w:sz w:val="32"/>
          <w:szCs w:val="32"/>
          <w:lang w:val="en-US" w:eastAsia="zh-CN"/>
        </w:rPr>
        <w:t>均为</w:t>
      </w:r>
      <w:r>
        <w:rPr>
          <w:rFonts w:hint="eastAsia" w:ascii="仿宋_GB2312" w:hAnsi="仿宋_GB2312" w:eastAsia="仿宋_GB2312" w:cs="仿宋_GB2312"/>
          <w:bCs/>
          <w:color w:val="auto"/>
          <w:sz w:val="32"/>
          <w:szCs w:val="32"/>
        </w:rPr>
        <w:t>0万元</w:t>
      </w:r>
      <w:r>
        <w:rPr>
          <w:rFonts w:hint="eastAsia" w:ascii="仿宋_GB2312" w:hAnsi="仿宋_GB2312" w:eastAsia="仿宋_GB2312" w:cs="仿宋_GB2312"/>
          <w:bCs/>
          <w:color w:val="auto"/>
          <w:sz w:val="32"/>
          <w:szCs w:val="32"/>
          <w:lang w:eastAsia="zh-CN"/>
        </w:rPr>
        <w:t>，“三公经费”支出</w:t>
      </w:r>
      <w:r>
        <w:rPr>
          <w:rFonts w:hint="eastAsia" w:ascii="仿宋_GB2312" w:hAnsi="仿宋_GB2312" w:eastAsia="仿宋_GB2312" w:cs="仿宋_GB2312"/>
          <w:bCs/>
          <w:color w:val="auto"/>
          <w:sz w:val="32"/>
          <w:szCs w:val="32"/>
          <w:lang w:val="en-US" w:eastAsia="zh-CN"/>
        </w:rPr>
        <w:t>总额为10.08万元</w:t>
      </w:r>
      <w:r>
        <w:rPr>
          <w:rFonts w:hint="eastAsia" w:ascii="仿宋_GB2312" w:hAnsi="仿宋_GB2312" w:eastAsia="仿宋_GB2312" w:cs="仿宋_GB2312"/>
          <w:bCs/>
          <w:sz w:val="32"/>
          <w:szCs w:val="32"/>
          <w:lang w:val="en-US" w:eastAsia="zh-CN"/>
        </w:rPr>
        <w:t>，</w:t>
      </w:r>
      <w:r>
        <w:rPr>
          <w:rFonts w:hint="eastAsia" w:ascii="仿宋_GB2312" w:hAnsi="仿宋_GB2312" w:eastAsia="仿宋_GB2312" w:cs="仿宋_GB2312"/>
          <w:bCs/>
          <w:sz w:val="32"/>
          <w:szCs w:val="32"/>
          <w:lang w:eastAsia="zh-CN"/>
        </w:rPr>
        <w:t>控制在年初预算之内</w:t>
      </w:r>
      <w:r>
        <w:rPr>
          <w:rFonts w:hint="eastAsia" w:ascii="仿宋_GB2312" w:hAnsi="仿宋_GB2312" w:eastAsia="仿宋_GB2312" w:cs="仿宋_GB2312"/>
          <w:bCs/>
          <w:sz w:val="32"/>
          <w:szCs w:val="32"/>
        </w:rPr>
        <w:t>。</w:t>
      </w:r>
    </w:p>
    <w:p>
      <w:pPr>
        <w:pStyle w:val="11"/>
        <w:keepNext w:val="0"/>
        <w:keepLines w:val="0"/>
        <w:pageBreakBefore w:val="0"/>
        <w:widowControl/>
        <w:numPr>
          <w:ilvl w:val="0"/>
          <w:numId w:val="2"/>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sz w:val="32"/>
          <w:szCs w:val="32"/>
          <w:highlight w:val="none"/>
        </w:rPr>
        <w:t>项目支出情况</w:t>
      </w:r>
    </w:p>
    <w:p>
      <w:pPr>
        <w:pStyle w:val="11"/>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sz w:val="32"/>
          <w:szCs w:val="32"/>
          <w:highlight w:val="none"/>
        </w:rPr>
      </w:pPr>
      <w:r>
        <w:rPr>
          <w:rFonts w:hint="eastAsia" w:ascii="仿宋_GB2312" w:hAnsi="仿宋_GB2312" w:eastAsia="仿宋_GB2312" w:cs="仿宋_GB2312"/>
          <w:b/>
          <w:bCs/>
          <w:kern w:val="0"/>
          <w:sz w:val="32"/>
          <w:szCs w:val="32"/>
          <w:lang w:val="en-US" w:eastAsia="zh-CN"/>
        </w:rPr>
        <w:t>1、专项资金安排落实、总投入和实际使用等情况分析</w:t>
      </w:r>
    </w:p>
    <w:p>
      <w:pPr>
        <w:pStyle w:val="11"/>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24</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项目资金</w:t>
      </w:r>
      <w:r>
        <w:rPr>
          <w:rFonts w:hint="eastAsia" w:ascii="仿宋_GB2312" w:hAnsi="仿宋_GB2312" w:eastAsia="仿宋_GB2312" w:cs="仿宋_GB2312"/>
          <w:bCs/>
          <w:sz w:val="32"/>
          <w:szCs w:val="32"/>
          <w:lang w:val="en-US" w:eastAsia="zh-CN"/>
        </w:rPr>
        <w:t>年初</w:t>
      </w:r>
      <w:r>
        <w:rPr>
          <w:rFonts w:hint="eastAsia" w:ascii="仿宋_GB2312" w:hAnsi="仿宋_GB2312" w:eastAsia="仿宋_GB2312" w:cs="仿宋_GB2312"/>
          <w:bCs/>
          <w:sz w:val="32"/>
          <w:szCs w:val="32"/>
        </w:rPr>
        <w:t>预算</w:t>
      </w:r>
      <w:r>
        <w:rPr>
          <w:rFonts w:hint="eastAsia" w:ascii="仿宋_GB2312" w:hAnsi="仿宋_GB2312" w:eastAsia="仿宋_GB2312" w:cs="仿宋_GB2312"/>
          <w:bCs/>
          <w:sz w:val="32"/>
          <w:szCs w:val="32"/>
          <w:lang w:val="en-US" w:eastAsia="zh-CN"/>
        </w:rPr>
        <w:t>总额为184.27</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（含上年结转</w:t>
      </w:r>
      <w:r>
        <w:rPr>
          <w:rFonts w:hint="eastAsia" w:ascii="仿宋_GB2312" w:hAnsi="仿宋_GB2312" w:eastAsia="仿宋_GB2312" w:cs="仿宋_GB2312"/>
          <w:bCs/>
          <w:sz w:val="32"/>
          <w:szCs w:val="32"/>
          <w:lang w:val="en-US" w:eastAsia="zh-CN"/>
        </w:rPr>
        <w:t>65.27万元</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w:t>
      </w:r>
      <w:r>
        <w:rPr>
          <w:rFonts w:hint="eastAsia" w:ascii="仿宋_GB2312" w:hAnsi="仿宋_GB2312" w:eastAsia="仿宋_GB2312" w:cs="仿宋_GB2312"/>
          <w:bCs/>
          <w:sz w:val="32"/>
          <w:szCs w:val="32"/>
          <w:lang w:val="en-US" w:eastAsia="zh-CN"/>
        </w:rPr>
        <w:t>年中项目支出预算总额调整为</w:t>
      </w:r>
      <w:r>
        <w:rPr>
          <w:rFonts w:hint="eastAsia" w:ascii="仿宋_GB2312" w:hAnsi="仿宋_GB2312" w:eastAsia="仿宋_GB2312" w:cs="仿宋_GB2312"/>
          <w:bCs/>
          <w:color w:val="auto"/>
          <w:sz w:val="32"/>
          <w:szCs w:val="32"/>
          <w:lang w:val="en-US" w:eastAsia="zh-CN"/>
        </w:rPr>
        <w:t>264.27万元，</w:t>
      </w:r>
      <w:r>
        <w:rPr>
          <w:rFonts w:hint="eastAsia" w:ascii="仿宋_GB2312" w:hAnsi="仿宋_GB2312" w:eastAsia="仿宋_GB2312" w:cs="仿宋_GB2312"/>
          <w:bCs/>
          <w:color w:val="auto"/>
          <w:sz w:val="32"/>
          <w:szCs w:val="32"/>
          <w:lang w:eastAsia="zh-CN"/>
        </w:rPr>
        <w:t>本年</w:t>
      </w:r>
      <w:r>
        <w:rPr>
          <w:rFonts w:hint="eastAsia" w:ascii="仿宋_GB2312" w:hAnsi="仿宋_GB2312" w:eastAsia="仿宋_GB2312" w:cs="仿宋_GB2312"/>
          <w:bCs/>
          <w:color w:val="auto"/>
          <w:sz w:val="32"/>
          <w:szCs w:val="32"/>
        </w:rPr>
        <w:t>项目支出</w:t>
      </w:r>
      <w:r>
        <w:rPr>
          <w:rFonts w:hint="eastAsia" w:ascii="仿宋_GB2312" w:hAnsi="仿宋_GB2312" w:eastAsia="仿宋_GB2312" w:cs="仿宋_GB2312"/>
          <w:bCs/>
          <w:color w:val="auto"/>
          <w:sz w:val="32"/>
          <w:szCs w:val="32"/>
          <w:lang w:val="en-US" w:eastAsia="zh-CN"/>
        </w:rPr>
        <w:t>总额为249.41</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bCs/>
          <w:color w:val="auto"/>
          <w:sz w:val="32"/>
          <w:szCs w:val="32"/>
          <w:lang w:val="en-US" w:eastAsia="zh-CN"/>
        </w:rPr>
        <w:t>其中</w:t>
      </w:r>
      <w:r>
        <w:rPr>
          <w:rFonts w:hint="eastAsia" w:ascii="仿宋_GB2312" w:hAnsi="仿宋_GB2312" w:eastAsia="仿宋_GB2312" w:cs="仿宋_GB2312"/>
          <w:color w:val="auto"/>
          <w:sz w:val="32"/>
          <w:szCs w:val="32"/>
          <w:lang w:eastAsia="zh-CN"/>
        </w:rPr>
        <w:t>城管事务</w:t>
      </w:r>
      <w:r>
        <w:rPr>
          <w:rFonts w:hint="eastAsia" w:ascii="仿宋_GB2312" w:hAnsi="仿宋_GB2312" w:eastAsia="仿宋_GB2312" w:cs="仿宋_GB2312"/>
          <w:color w:val="auto"/>
          <w:sz w:val="32"/>
          <w:szCs w:val="32"/>
        </w:rPr>
        <w:t>经费</w:t>
      </w:r>
      <w:r>
        <w:rPr>
          <w:rFonts w:hint="eastAsia" w:ascii="仿宋_GB2312" w:hAnsi="仿宋_GB2312" w:eastAsia="仿宋_GB2312" w:cs="仿宋_GB2312"/>
          <w:color w:val="auto"/>
          <w:sz w:val="32"/>
          <w:szCs w:val="32"/>
          <w:lang w:val="en-US" w:eastAsia="zh-CN"/>
        </w:rPr>
        <w:t>支出23.60</w:t>
      </w:r>
      <w:r>
        <w:rPr>
          <w:rFonts w:hint="eastAsia" w:ascii="仿宋_GB2312" w:hAnsi="仿宋_GB2312" w:eastAsia="仿宋_GB2312" w:cs="仿宋_GB2312"/>
          <w:bCs/>
          <w:color w:val="auto"/>
          <w:sz w:val="32"/>
          <w:szCs w:val="32"/>
        </w:rPr>
        <w:t>万元</w:t>
      </w:r>
      <w:r>
        <w:rPr>
          <w:rFonts w:hint="eastAsia" w:ascii="仿宋_GB2312" w:hAnsi="仿宋_GB2312" w:eastAsia="仿宋_GB2312" w:cs="仿宋_GB2312"/>
          <w:color w:val="auto"/>
          <w:sz w:val="32"/>
          <w:szCs w:val="32"/>
          <w:lang w:val="en-US" w:eastAsia="zh-CN"/>
        </w:rPr>
        <w:t>、协管员</w:t>
      </w:r>
      <w:r>
        <w:rPr>
          <w:rFonts w:hint="eastAsia" w:ascii="仿宋_GB2312" w:hAnsi="仿宋_GB2312" w:eastAsia="仿宋_GB2312" w:cs="仿宋_GB2312"/>
          <w:color w:val="auto"/>
          <w:sz w:val="32"/>
          <w:szCs w:val="32"/>
        </w:rPr>
        <w:t>经费</w:t>
      </w:r>
      <w:r>
        <w:rPr>
          <w:rFonts w:hint="eastAsia" w:ascii="仿宋_GB2312" w:hAnsi="仿宋_GB2312" w:eastAsia="仿宋_GB2312" w:cs="仿宋_GB2312"/>
          <w:color w:val="auto"/>
          <w:sz w:val="32"/>
          <w:szCs w:val="32"/>
          <w:lang w:val="en-US" w:eastAsia="zh-CN"/>
        </w:rPr>
        <w:t>支出</w:t>
      </w:r>
      <w:r>
        <w:rPr>
          <w:rFonts w:hint="eastAsia" w:ascii="仿宋_GB2312" w:hAnsi="仿宋_GB2312" w:eastAsia="仿宋_GB2312" w:cs="仿宋_GB2312"/>
          <w:bCs/>
          <w:color w:val="auto"/>
          <w:sz w:val="32"/>
          <w:szCs w:val="32"/>
          <w:lang w:val="en-US" w:eastAsia="zh-CN"/>
        </w:rPr>
        <w:t>22.00万</w:t>
      </w:r>
      <w:r>
        <w:rPr>
          <w:rFonts w:hint="eastAsia" w:ascii="仿宋_GB2312" w:hAnsi="仿宋_GB2312" w:eastAsia="仿宋_GB2312" w:cs="仿宋_GB2312"/>
          <w:bCs/>
          <w:color w:val="auto"/>
          <w:sz w:val="32"/>
          <w:szCs w:val="32"/>
        </w:rPr>
        <w:t>元</w:t>
      </w:r>
      <w:r>
        <w:rPr>
          <w:rFonts w:hint="eastAsia" w:ascii="仿宋_GB2312" w:hAnsi="仿宋_GB2312" w:eastAsia="仿宋_GB2312" w:cs="仿宋_GB2312"/>
          <w:bCs/>
          <w:color w:val="auto"/>
          <w:sz w:val="32"/>
          <w:szCs w:val="32"/>
          <w:lang w:eastAsia="zh-CN"/>
        </w:rPr>
        <w:t>、慢行交通管理工作经费</w:t>
      </w:r>
      <w:r>
        <w:rPr>
          <w:rFonts w:hint="eastAsia" w:ascii="仿宋_GB2312" w:hAnsi="仿宋_GB2312" w:eastAsia="仿宋_GB2312" w:cs="仿宋_GB2312"/>
          <w:bCs/>
          <w:color w:val="auto"/>
          <w:sz w:val="32"/>
          <w:szCs w:val="32"/>
          <w:lang w:val="en-US" w:eastAsia="zh-CN"/>
        </w:rPr>
        <w:t>支出18.99万元、</w:t>
      </w:r>
      <w:r>
        <w:rPr>
          <w:rFonts w:hint="eastAsia" w:ascii="仿宋_GB2312" w:hAnsi="仿宋_GB2312" w:eastAsia="仿宋_GB2312" w:cs="仿宋_GB2312"/>
          <w:bCs/>
          <w:color w:val="auto"/>
          <w:sz w:val="32"/>
          <w:szCs w:val="32"/>
          <w:lang w:eastAsia="zh-CN"/>
        </w:rPr>
        <w:t>设施设备维护费</w:t>
      </w:r>
      <w:r>
        <w:rPr>
          <w:rFonts w:hint="eastAsia" w:ascii="仿宋_GB2312" w:hAnsi="仿宋_GB2312" w:eastAsia="仿宋_GB2312" w:cs="仿宋_GB2312"/>
          <w:bCs/>
          <w:color w:val="auto"/>
          <w:sz w:val="32"/>
          <w:szCs w:val="32"/>
          <w:lang w:val="en-US" w:eastAsia="zh-CN"/>
        </w:rPr>
        <w:t>支出33.46万元</w:t>
      </w:r>
      <w:r>
        <w:rPr>
          <w:rFonts w:hint="eastAsia" w:ascii="仿宋_GB2312" w:hAnsi="仿宋_GB2312" w:eastAsia="仿宋_GB2312" w:cs="仿宋_GB2312"/>
          <w:bCs/>
          <w:color w:val="auto"/>
          <w:sz w:val="32"/>
          <w:szCs w:val="32"/>
          <w:lang w:eastAsia="zh-CN"/>
        </w:rPr>
        <w:t>、执勤巡逻车辆补助（含拖车经费）</w:t>
      </w:r>
      <w:r>
        <w:rPr>
          <w:rFonts w:hint="eastAsia" w:ascii="仿宋_GB2312" w:hAnsi="仿宋_GB2312" w:eastAsia="仿宋_GB2312" w:cs="仿宋_GB2312"/>
          <w:bCs/>
          <w:color w:val="auto"/>
          <w:sz w:val="32"/>
          <w:szCs w:val="32"/>
          <w:lang w:val="en-US" w:eastAsia="zh-CN"/>
        </w:rPr>
        <w:t>支出25.97万元、</w:t>
      </w:r>
      <w:r>
        <w:rPr>
          <w:rFonts w:hint="eastAsia" w:ascii="仿宋_GB2312" w:hAnsi="仿宋_GB2312" w:eastAsia="仿宋_GB2312" w:cs="仿宋_GB2312"/>
          <w:color w:val="auto"/>
          <w:sz w:val="32"/>
          <w:szCs w:val="32"/>
          <w:highlight w:val="none"/>
          <w:lang w:val="en-US" w:eastAsia="zh-CN"/>
        </w:rPr>
        <w:t>办案费支出125.39万元</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bCs/>
          <w:sz w:val="32"/>
          <w:szCs w:val="32"/>
          <w:lang w:val="en-US" w:eastAsia="zh-CN"/>
        </w:rPr>
        <w:t>主要用于城区人行道停车辅助设施更新及维修、违停录入平台维护及录入人员劳务费、中心城区停车管理，以及巡逻车维护等项目支出。</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rPr>
        <w:t>2、专项资金管理情况分析</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结合实际情况，制订了《预算业务管理制度》，从预算管理职责，预算编制，预算审批与分解下达流程，预算的执行、控制与调整，决算与绩效评价等方面对专项资金进行管理，做到专项资金预算编制有目标、预算执行有监控、预算完成有评价、评价结果有反馈、反馈结果有应。</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三、</w:t>
      </w:r>
      <w:r>
        <w:rPr>
          <w:rFonts w:hint="eastAsia" w:ascii="黑体" w:hAnsi="黑体" w:eastAsia="黑体" w:cs="黑体"/>
          <w:b/>
          <w:bCs/>
          <w:sz w:val="32"/>
          <w:szCs w:val="32"/>
        </w:rPr>
        <w:t>政府性基金预算支出情况</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rPr>
      </w:pPr>
      <w:r>
        <w:rPr>
          <w:rFonts w:hint="eastAsia" w:ascii="仿宋_GB2312" w:hAnsi="仿宋_GB2312" w:eastAsia="仿宋_GB2312" w:cs="仿宋_GB2312"/>
          <w:bCs/>
          <w:sz w:val="32"/>
          <w:szCs w:val="32"/>
        </w:rPr>
        <w:t>20</w:t>
      </w:r>
      <w:r>
        <w:rPr>
          <w:rFonts w:hint="eastAsia" w:ascii="仿宋_GB2312" w:hAnsi="仿宋_GB2312" w:eastAsia="仿宋_GB2312" w:cs="仿宋_GB2312"/>
          <w:bCs/>
          <w:sz w:val="32"/>
          <w:szCs w:val="32"/>
          <w:lang w:val="en-US" w:eastAsia="zh-CN"/>
        </w:rPr>
        <w:t>24</w:t>
      </w:r>
      <w:r>
        <w:rPr>
          <w:rFonts w:hint="eastAsia" w:ascii="仿宋_GB2312" w:hAnsi="仿宋_GB2312" w:eastAsia="仿宋_GB2312" w:cs="仿宋_GB2312"/>
          <w:bCs/>
          <w:sz w:val="32"/>
          <w:szCs w:val="32"/>
        </w:rPr>
        <w:t>年</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 w:val="0"/>
          <w:bCs w:val="0"/>
          <w:sz w:val="32"/>
          <w:szCs w:val="32"/>
        </w:rPr>
        <w:t>政府性基金</w:t>
      </w:r>
      <w:r>
        <w:rPr>
          <w:rFonts w:hint="eastAsia" w:ascii="仿宋_GB2312" w:hAnsi="仿宋_GB2312" w:eastAsia="仿宋_GB2312" w:cs="仿宋_GB2312"/>
          <w:bCs/>
          <w:sz w:val="32"/>
          <w:szCs w:val="32"/>
          <w:lang w:val="en-US" w:eastAsia="zh-CN"/>
        </w:rPr>
        <w:t>年初</w:t>
      </w:r>
      <w:r>
        <w:rPr>
          <w:rFonts w:hint="eastAsia" w:ascii="仿宋_GB2312" w:hAnsi="仿宋_GB2312" w:eastAsia="仿宋_GB2312" w:cs="仿宋_GB2312"/>
          <w:bCs/>
          <w:sz w:val="32"/>
          <w:szCs w:val="32"/>
        </w:rPr>
        <w:t>预算</w:t>
      </w:r>
      <w:r>
        <w:rPr>
          <w:rFonts w:hint="eastAsia" w:ascii="仿宋_GB2312" w:hAnsi="仿宋_GB2312" w:eastAsia="仿宋_GB2312" w:cs="仿宋_GB2312"/>
          <w:bCs/>
          <w:sz w:val="32"/>
          <w:szCs w:val="32"/>
          <w:lang w:val="en-US" w:eastAsia="zh-CN"/>
        </w:rPr>
        <w:t>总额为0</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val="en-US" w:eastAsia="zh-CN"/>
        </w:rPr>
        <w:t>年中追加</w:t>
      </w:r>
      <w:r>
        <w:rPr>
          <w:rFonts w:hint="eastAsia" w:ascii="仿宋_GB2312" w:hAnsi="仿宋_GB2312" w:eastAsia="仿宋_GB2312" w:cs="仿宋_GB2312"/>
          <w:b w:val="0"/>
          <w:bCs w:val="0"/>
          <w:sz w:val="32"/>
          <w:szCs w:val="32"/>
        </w:rPr>
        <w:t>政府性基金</w:t>
      </w:r>
      <w:r>
        <w:rPr>
          <w:rFonts w:hint="eastAsia" w:ascii="仿宋_GB2312" w:hAnsi="仿宋_GB2312" w:eastAsia="仿宋_GB2312" w:cs="仿宋_GB2312"/>
          <w:bCs/>
          <w:sz w:val="32"/>
          <w:szCs w:val="32"/>
        </w:rPr>
        <w:t>预算</w:t>
      </w:r>
      <w:r>
        <w:rPr>
          <w:rFonts w:hint="eastAsia" w:ascii="仿宋_GB2312" w:hAnsi="仿宋_GB2312" w:eastAsia="仿宋_GB2312" w:cs="仿宋_GB2312"/>
          <w:bCs/>
          <w:color w:val="auto"/>
          <w:sz w:val="32"/>
          <w:szCs w:val="32"/>
          <w:lang w:val="en-US" w:eastAsia="zh-CN"/>
        </w:rPr>
        <w:t>65.80万元，用于岳阳市主城区慢行系统专项规划编制服务项目支出。</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200"/>
        <w:textAlignment w:val="auto"/>
        <w:rPr>
          <w:rFonts w:hint="eastAsia" w:ascii="黑体" w:hAnsi="黑体" w:eastAsia="黑体" w:cs="黑体"/>
          <w:b/>
          <w:bCs/>
          <w:sz w:val="32"/>
          <w:szCs w:val="32"/>
        </w:rPr>
      </w:pPr>
      <w:r>
        <w:rPr>
          <w:rFonts w:hint="eastAsia" w:ascii="黑体" w:hAnsi="黑体" w:eastAsia="黑体" w:cs="黑体"/>
          <w:b/>
          <w:bCs/>
          <w:sz w:val="32"/>
          <w:szCs w:val="32"/>
          <w:lang w:eastAsia="zh-CN"/>
        </w:rPr>
        <w:t>四、</w:t>
      </w:r>
      <w:r>
        <w:rPr>
          <w:rFonts w:hint="eastAsia" w:ascii="黑体" w:hAnsi="黑体" w:eastAsia="黑体" w:cs="黑体"/>
          <w:b/>
          <w:bCs/>
          <w:sz w:val="32"/>
          <w:szCs w:val="32"/>
        </w:rPr>
        <w:t>国有资本经营</w:t>
      </w:r>
      <w:r>
        <w:rPr>
          <w:rFonts w:hint="eastAsia" w:ascii="黑体" w:hAnsi="黑体" w:eastAsia="黑体" w:cs="黑体"/>
          <w:b/>
          <w:bCs/>
          <w:sz w:val="32"/>
          <w:szCs w:val="32"/>
          <w:lang w:val="en-US" w:eastAsia="zh-CN"/>
        </w:rPr>
        <w:t>和</w:t>
      </w:r>
      <w:r>
        <w:rPr>
          <w:rFonts w:hint="eastAsia" w:ascii="黑体" w:hAnsi="黑体" w:eastAsia="黑体" w:cs="黑体"/>
          <w:b/>
          <w:bCs/>
          <w:sz w:val="32"/>
          <w:szCs w:val="32"/>
        </w:rPr>
        <w:t>社会保险基金预算支出情况</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我单位无</w:t>
      </w:r>
      <w:r>
        <w:rPr>
          <w:rFonts w:hint="eastAsia" w:ascii="仿宋_GB2312" w:hAnsi="仿宋_GB2312" w:eastAsia="仿宋_GB2312" w:cs="仿宋_GB2312"/>
          <w:sz w:val="32"/>
          <w:szCs w:val="32"/>
        </w:rPr>
        <w:t>国有资本经营</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社会保险基金预算支出</w:t>
      </w:r>
      <w:r>
        <w:rPr>
          <w:rFonts w:hint="eastAsia" w:ascii="仿宋_GB2312" w:hAnsi="仿宋_GB2312" w:eastAsia="仿宋_GB2312" w:cs="仿宋_GB2312"/>
          <w:sz w:val="32"/>
          <w:szCs w:val="32"/>
          <w:lang w:eastAsia="zh-CN"/>
        </w:rPr>
        <w:t>。</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both"/>
        <w:textAlignment w:val="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eastAsia="zh-CN"/>
        </w:rPr>
        <w:t>五</w:t>
      </w:r>
      <w:r>
        <w:rPr>
          <w:rFonts w:hint="eastAsia" w:ascii="黑体" w:hAnsi="黑体" w:eastAsia="黑体" w:cs="黑体"/>
          <w:b/>
          <w:bCs/>
          <w:color w:val="auto"/>
          <w:sz w:val="32"/>
          <w:szCs w:val="32"/>
          <w:highlight w:val="none"/>
        </w:rPr>
        <w:t>、部门整体支出绩效情况</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val="0"/>
          <w:color w:val="auto"/>
          <w:kern w:val="2"/>
          <w:sz w:val="32"/>
          <w:szCs w:val="32"/>
          <w:highlight w:val="none"/>
          <w:lang w:val="en-US" w:eastAsia="zh-CN" w:bidi="ar-SA"/>
        </w:rPr>
        <w:t>（一）年度绩效目标</w:t>
      </w:r>
    </w:p>
    <w:p>
      <w:pPr>
        <w:keepNext w:val="0"/>
        <w:keepLines w:val="0"/>
        <w:pageBreakBefore w:val="0"/>
        <w:tabs>
          <w:tab w:val="left" w:pos="3444"/>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目标1：加强中心城区人行道停车管理，及时录入人行道违停车辆信息，改善停车秩序，保障人行道畅通；</w:t>
      </w:r>
    </w:p>
    <w:p>
      <w:pPr>
        <w:keepNext w:val="0"/>
        <w:keepLines w:val="0"/>
        <w:pageBreakBefore w:val="0"/>
        <w:tabs>
          <w:tab w:val="left" w:pos="3444"/>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目标2：挖掘城区停车潜力，督促市直临街机关事业单位停车场对外开放，缓解市民停车“难”；</w:t>
      </w:r>
    </w:p>
    <w:p>
      <w:pPr>
        <w:keepNext w:val="0"/>
        <w:keepLines w:val="0"/>
        <w:pageBreakBefore w:val="0"/>
        <w:tabs>
          <w:tab w:val="left" w:pos="3444"/>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目标3：安装维护中心城区人行道停车辅助设施，保障其处于良好的使用状态；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sz w:val="32"/>
          <w:szCs w:val="32"/>
          <w:lang w:val="en-US" w:eastAsia="zh-CN"/>
        </w:rPr>
      </w:pPr>
      <w:r>
        <w:rPr>
          <w:rFonts w:hint="eastAsia" w:ascii="仿宋_GB2312" w:hAnsi="仿宋_GB2312" w:eastAsia="仿宋_GB2312" w:cs="仿宋_GB2312"/>
          <w:color w:val="000000"/>
          <w:sz w:val="32"/>
          <w:szCs w:val="32"/>
          <w:lang w:val="en-US" w:eastAsia="zh-CN"/>
        </w:rPr>
        <w:t xml:space="preserve">目标4：加大绿色出行宣传，提出慢行交通建设建议，确保绿色出行安全，加强行业监管考评。            </w:t>
      </w:r>
      <w:r>
        <w:rPr>
          <w:rFonts w:hint="eastAsia" w:ascii="CESI仿宋-GB2312" w:hAnsi="CESI仿宋-GB2312" w:eastAsia="CESI仿宋-GB2312" w:cs="CESI仿宋-GB2312"/>
          <w:color w:val="000000"/>
          <w:sz w:val="32"/>
          <w:szCs w:val="32"/>
          <w:lang w:val="en-US" w:eastAsia="zh-CN"/>
        </w:rPr>
        <w:t xml:space="preserve">                                                                                                                                           </w:t>
      </w:r>
    </w:p>
    <w:p>
      <w:pPr>
        <w:pStyle w:val="11"/>
        <w:keepNext w:val="0"/>
        <w:keepLines w:val="0"/>
        <w:pageBreakBefore w:val="0"/>
        <w:widowControl/>
        <w:numPr>
          <w:ilvl w:val="0"/>
          <w:numId w:val="3"/>
        </w:numP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kern w:val="0"/>
          <w:sz w:val="32"/>
          <w:szCs w:val="32"/>
          <w:lang w:val="en-US" w:eastAsia="zh-CN"/>
        </w:rPr>
      </w:pPr>
      <w:r>
        <w:rPr>
          <w:rFonts w:hint="eastAsia" w:ascii="仿宋_GB2312" w:hAnsi="仿宋_GB2312" w:eastAsia="仿宋_GB2312" w:cs="仿宋_GB2312"/>
          <w:b/>
          <w:bCs w:val="0"/>
          <w:color w:val="auto"/>
          <w:kern w:val="2"/>
          <w:sz w:val="32"/>
          <w:szCs w:val="32"/>
          <w:highlight w:val="none"/>
          <w:lang w:val="en-US" w:eastAsia="zh-CN" w:bidi="ar-SA"/>
        </w:rPr>
        <w:t>完成情况及</w:t>
      </w:r>
      <w:r>
        <w:rPr>
          <w:rFonts w:hint="eastAsia" w:ascii="仿宋_GB2312" w:hAnsi="仿宋_GB2312" w:eastAsia="仿宋_GB2312" w:cs="仿宋_GB2312"/>
          <w:b/>
          <w:bCs/>
          <w:kern w:val="0"/>
          <w:sz w:val="32"/>
          <w:szCs w:val="32"/>
          <w:lang w:val="en-US" w:eastAsia="zh-CN"/>
        </w:rPr>
        <w:t>取得的效益情况</w:t>
      </w:r>
    </w:p>
    <w:p>
      <w:pPr>
        <w:keepNext w:val="0"/>
        <w:keepLines w:val="0"/>
        <w:pageBreakBefore w:val="0"/>
        <w:tabs>
          <w:tab w:val="left" w:pos="3444"/>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目标1完成情况：加大了中心城区人行道停车管理力度，及时完成了人行道违停车辆信息录入，停车管理秩序良好，保障了人行道畅通；</w:t>
      </w:r>
    </w:p>
    <w:p>
      <w:pPr>
        <w:keepNext w:val="0"/>
        <w:keepLines w:val="0"/>
        <w:pageBreakBefore w:val="0"/>
        <w:tabs>
          <w:tab w:val="left" w:pos="3444"/>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目标2完成情况：大力挖掘城区停车潜力，开展了公共停车场专项整治，并督促临街市直机关事业单位停车场对外开放，有效缓解市民停车“难”；</w:t>
      </w:r>
    </w:p>
    <w:p>
      <w:pPr>
        <w:keepNext w:val="0"/>
        <w:keepLines w:val="0"/>
        <w:pageBreakBefore w:val="0"/>
        <w:tabs>
          <w:tab w:val="left" w:pos="3444"/>
        </w:tabs>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目标3完成情况：及时安装维护中心城区人行道停车辅助设施，保障其处于良好的使用状态；</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sz w:val="32"/>
          <w:szCs w:val="32"/>
          <w:lang w:val="en-US" w:eastAsia="zh-CN"/>
        </w:rPr>
        <w:t>目标4完成情况：开展了绿色安全出行宣传，并提出慢行交通建设建议，并加大了中心城区慢行交通行业监管考评。</w:t>
      </w:r>
    </w:p>
    <w:p>
      <w:pPr>
        <w:keepNext w:val="0"/>
        <w:keepLines w:val="0"/>
        <w:pageBreakBefore w:val="0"/>
        <w:tabs>
          <w:tab w:val="left" w:pos="3444"/>
        </w:tabs>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auto"/>
          <w:kern w:val="0"/>
          <w:sz w:val="32"/>
          <w:szCs w:val="32"/>
          <w:lang w:val="en-US" w:eastAsia="zh-CN"/>
        </w:rPr>
      </w:pPr>
      <w:r>
        <w:rPr>
          <w:rFonts w:hint="eastAsia" w:ascii="仿宋_GB2312" w:hAnsi="仿宋_GB2312" w:eastAsia="仿宋_GB2312" w:cs="仿宋_GB2312"/>
          <w:b/>
          <w:bCs/>
          <w:color w:val="auto"/>
          <w:kern w:val="0"/>
          <w:sz w:val="32"/>
          <w:szCs w:val="32"/>
          <w:lang w:val="en-US" w:eastAsia="zh-CN"/>
        </w:rPr>
        <w:t>取得的效益</w:t>
      </w:r>
    </w:p>
    <w:p>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2024年，</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中心</w:t>
      </w:r>
      <w:r>
        <w:rPr>
          <w:rFonts w:hint="eastAsia" w:ascii="仿宋_GB2312" w:hAnsi="仿宋_GB2312" w:eastAsia="仿宋_GB2312" w:cs="仿宋_GB2312"/>
          <w:sz w:val="32"/>
          <w:szCs w:val="32"/>
          <w:lang w:eastAsia="zh-CN"/>
        </w:rPr>
        <w:t>以习近平新时代中国特色社会主义思想为指导，</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市城管局</w:t>
      </w:r>
      <w:r>
        <w:rPr>
          <w:rFonts w:hint="eastAsia" w:ascii="仿宋_GB2312" w:hAnsi="仿宋_GB2312" w:eastAsia="仿宋_GB2312" w:cs="仿宋_GB2312"/>
          <w:sz w:val="32"/>
          <w:szCs w:val="32"/>
        </w:rPr>
        <w:t>党组的正确领导下，立足加快推进“六大城管”建设，深度服务和融入城市发展大局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着力保障和提升民生福祉，</w:t>
      </w:r>
      <w:r>
        <w:rPr>
          <w:rFonts w:hint="eastAsia" w:ascii="仿宋_GB2312" w:hAnsi="仿宋_GB2312" w:eastAsia="仿宋_GB2312" w:cs="仿宋_GB2312"/>
          <w:sz w:val="32"/>
          <w:szCs w:val="32"/>
          <w:lang w:eastAsia="zh-CN"/>
        </w:rPr>
        <w:t>锚定“走在前、开新局”目标，</w:t>
      </w:r>
      <w:r>
        <w:rPr>
          <w:rFonts w:hint="eastAsia" w:ascii="仿宋_GB2312" w:hAnsi="仿宋_GB2312" w:eastAsia="仿宋_GB2312" w:cs="仿宋_GB2312"/>
          <w:sz w:val="32"/>
          <w:szCs w:val="32"/>
        </w:rPr>
        <w:t>多措并举、整体推进，不断加强</w:t>
      </w:r>
      <w:r>
        <w:rPr>
          <w:rFonts w:hint="eastAsia" w:ascii="仿宋_GB2312" w:hAnsi="仿宋_GB2312" w:eastAsia="仿宋_GB2312" w:cs="仿宋_GB2312"/>
          <w:sz w:val="32"/>
          <w:szCs w:val="32"/>
          <w:lang w:val="en-US" w:eastAsia="zh-CN"/>
        </w:rPr>
        <w:t>规范</w:t>
      </w:r>
      <w:r>
        <w:rPr>
          <w:rFonts w:hint="eastAsia" w:ascii="仿宋_GB2312" w:hAnsi="仿宋_GB2312" w:eastAsia="仿宋_GB2312" w:cs="仿宋_GB2312"/>
          <w:sz w:val="32"/>
          <w:szCs w:val="32"/>
        </w:rPr>
        <w:t>停车管理工作</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val="0"/>
          <w:i w:val="0"/>
          <w:snapToGrid/>
          <w:color w:val="000000"/>
          <w:sz w:val="32"/>
          <w:szCs w:val="32"/>
          <w:shd w:val="clear" w:color="auto" w:fill="FFFFFF"/>
          <w:lang w:val="en-US" w:eastAsia="zh-CN"/>
        </w:rPr>
        <w:t>得到了广大市民和各级领导的一致肯定，具体情况如下：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CESI仿宋-GB2312" w:hAnsi="CESI仿宋-GB2312" w:eastAsia="CESI仿宋-GB2312" w:cs="CESI仿宋-GB2312"/>
          <w:b/>
          <w:bCs/>
          <w:color w:val="auto"/>
          <w:sz w:val="32"/>
          <w:szCs w:val="32"/>
          <w:lang w:val="en-US" w:eastAsia="zh-CN"/>
        </w:rPr>
      </w:pPr>
      <w:r>
        <w:rPr>
          <w:rFonts w:hint="eastAsia" w:ascii="CESI仿宋-GB2312" w:hAnsi="CESI仿宋-GB2312" w:eastAsia="CESI仿宋-GB2312" w:cs="CESI仿宋-GB2312"/>
          <w:b/>
          <w:bCs/>
          <w:color w:val="auto"/>
          <w:sz w:val="32"/>
          <w:szCs w:val="32"/>
          <w:lang w:val="en-US" w:eastAsia="zh-CN"/>
        </w:rPr>
        <w:t>1、停车管理和慢行交通管理工作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0" w:firstLineChars="200"/>
        <w:jc w:val="both"/>
        <w:textAlignment w:val="auto"/>
        <w:rPr>
          <w:rFonts w:hint="eastAsia" w:ascii="CESI仿宋-GB2312" w:hAnsi="CESI仿宋-GB2312" w:eastAsia="CESI仿宋-GB2312" w:cs="CESI仿宋-GB2312"/>
          <w:b/>
          <w:bCs/>
          <w:sz w:val="32"/>
          <w:szCs w:val="32"/>
          <w:lang w:val="en-US" w:eastAsia="zh-CN"/>
        </w:rPr>
      </w:pPr>
      <w:r>
        <w:rPr>
          <w:rFonts w:hint="eastAsia" w:ascii="CESI仿宋-GB2312" w:hAnsi="CESI仿宋-GB2312" w:eastAsia="CESI仿宋-GB2312" w:cs="CESI仿宋-GB2312"/>
          <w:b/>
          <w:bCs/>
          <w:color w:val="000000"/>
          <w:kern w:val="0"/>
          <w:sz w:val="32"/>
          <w:szCs w:val="32"/>
          <w:lang w:eastAsia="zh-CN"/>
        </w:rPr>
        <w:t>（</w:t>
      </w:r>
      <w:r>
        <w:rPr>
          <w:rFonts w:hint="eastAsia" w:ascii="CESI仿宋-GB2312" w:hAnsi="CESI仿宋-GB2312" w:eastAsia="CESI仿宋-GB2312" w:cs="CESI仿宋-GB2312"/>
          <w:b/>
          <w:bCs/>
          <w:color w:val="000000"/>
          <w:kern w:val="0"/>
          <w:sz w:val="32"/>
          <w:szCs w:val="32"/>
          <w:lang w:val="en-US" w:eastAsia="zh-CN"/>
        </w:rPr>
        <w:t>1</w:t>
      </w:r>
      <w:r>
        <w:rPr>
          <w:rFonts w:hint="eastAsia" w:ascii="CESI仿宋-GB2312" w:hAnsi="CESI仿宋-GB2312" w:eastAsia="CESI仿宋-GB2312" w:cs="CESI仿宋-GB2312"/>
          <w:b/>
          <w:bCs/>
          <w:color w:val="000000"/>
          <w:kern w:val="0"/>
          <w:sz w:val="32"/>
          <w:szCs w:val="32"/>
          <w:lang w:eastAsia="zh-CN"/>
        </w:rPr>
        <w:t>）</w:t>
      </w:r>
      <w:r>
        <w:rPr>
          <w:rFonts w:hint="eastAsia" w:ascii="CESI仿宋-GB2312" w:hAnsi="CESI仿宋-GB2312" w:eastAsia="CESI仿宋-GB2312" w:cs="CESI仿宋-GB2312"/>
          <w:b/>
          <w:bCs/>
          <w:color w:val="000000"/>
          <w:kern w:val="0"/>
          <w:sz w:val="32"/>
          <w:szCs w:val="32"/>
        </w:rPr>
        <w:t>违规占道整治</w:t>
      </w:r>
      <w:r>
        <w:rPr>
          <w:rFonts w:hint="eastAsia" w:ascii="CESI仿宋-GB2312" w:hAnsi="CESI仿宋-GB2312" w:eastAsia="CESI仿宋-GB2312" w:cs="CESI仿宋-GB2312"/>
          <w:b/>
          <w:bCs/>
          <w:color w:val="000000"/>
          <w:kern w:val="0"/>
          <w:sz w:val="32"/>
          <w:szCs w:val="32"/>
          <w:lang w:eastAsia="zh-CN"/>
        </w:rPr>
        <w:t>工作。</w:t>
      </w:r>
      <w:r>
        <w:rPr>
          <w:rFonts w:hint="eastAsia" w:ascii="CESI仿宋-GB2312" w:hAnsi="CESI仿宋-GB2312" w:eastAsia="CESI仿宋-GB2312" w:cs="CESI仿宋-GB2312"/>
          <w:b w:val="0"/>
          <w:bCs w:val="0"/>
          <w:sz w:val="32"/>
          <w:szCs w:val="32"/>
          <w:lang w:val="en-US" w:eastAsia="zh-CN"/>
        </w:rPr>
        <w:t>一是联合市城管支队对中心城区40个未备案的停车场下达了限期整改通知，并对其停车设施设备进行了</w:t>
      </w:r>
      <w:r>
        <w:rPr>
          <w:rFonts w:hint="eastAsia" w:ascii="CESI仿宋-GB2312" w:hAnsi="CESI仿宋-GB2312" w:eastAsia="CESI仿宋-GB2312" w:cs="CESI仿宋-GB2312"/>
          <w:b w:val="0"/>
          <w:bCs w:val="0"/>
          <w:i w:val="0"/>
          <w:snapToGrid/>
          <w:color w:val="000000"/>
          <w:sz w:val="32"/>
          <w:szCs w:val="32"/>
          <w:shd w:val="clear" w:color="auto" w:fill="FFFFFF"/>
          <w:lang w:val="en-US" w:eastAsia="zh-CN"/>
        </w:rPr>
        <w:t>代履行拆除，</w:t>
      </w:r>
      <w:r>
        <w:rPr>
          <w:rFonts w:hint="eastAsia" w:ascii="CESI仿宋-GB2312" w:hAnsi="CESI仿宋-GB2312" w:eastAsia="CESI仿宋-GB2312" w:cs="CESI仿宋-GB2312"/>
          <w:b w:val="0"/>
          <w:bCs w:val="0"/>
          <w:sz w:val="32"/>
          <w:szCs w:val="32"/>
          <w:lang w:val="en-US" w:eastAsia="zh-CN"/>
        </w:rPr>
        <w:t>对湖南慧泊停车管理等4家公司擅自占道设置的停车设施进行了立案查处;二是积极联系各区城管执法队伍对辖区已备案的43个停车场收费情况进行调查摸底，主动对接经开区城管开展辖区停车场整治工作；三是积</w:t>
      </w:r>
      <w:r>
        <w:rPr>
          <w:rFonts w:hint="eastAsia" w:ascii="CESI仿宋-GB2312" w:hAnsi="CESI仿宋-GB2312" w:eastAsia="CESI仿宋-GB2312" w:cs="CESI仿宋-GB2312"/>
          <w:b w:val="0"/>
          <w:bCs w:val="0"/>
          <w:i w:val="0"/>
          <w:snapToGrid/>
          <w:color w:val="000000"/>
          <w:sz w:val="32"/>
          <w:szCs w:val="32"/>
          <w:shd w:val="clear" w:color="auto" w:fill="FFFFFF"/>
          <w:lang w:val="en-US" w:eastAsia="zh-CN"/>
        </w:rPr>
        <w:t>极处置市人大对停车场的投诉。</w:t>
      </w:r>
      <w:r>
        <w:rPr>
          <w:rFonts w:hint="eastAsia" w:ascii="CESI仿宋-GB2312" w:hAnsi="CESI仿宋-GB2312" w:eastAsia="CESI仿宋-GB2312" w:cs="CESI仿宋-GB2312"/>
          <w:b w:val="0"/>
          <w:i w:val="0"/>
          <w:snapToGrid/>
          <w:color w:val="000000"/>
          <w:sz w:val="32"/>
          <w:szCs w:val="32"/>
          <w:shd w:val="clear" w:color="auto" w:fill="FFFFFF"/>
          <w:lang w:val="en-US" w:eastAsia="zh-CN"/>
        </w:rPr>
        <w:t>3月，对市人大代表提出的9个停车场存在的收费问题整改到位，并及时反馈。5月，对市人大就城区52个停车场存在的问题，逐一排查，上门督促整改，按时完成整改，得到了广大市民和各级领导的一致肯定。</w:t>
      </w:r>
      <w:r>
        <w:rPr>
          <w:rFonts w:hint="eastAsia" w:ascii="CESI仿宋-GB2312" w:hAnsi="CESI仿宋-GB2312" w:eastAsia="CESI仿宋-GB2312" w:cs="CESI仿宋-GB2312"/>
          <w:b w:val="0"/>
          <w:bCs w:val="0"/>
          <w:i w:val="0"/>
          <w:snapToGrid/>
          <w:color w:val="000000"/>
          <w:sz w:val="32"/>
          <w:szCs w:val="32"/>
          <w:shd w:val="clear" w:color="auto" w:fill="FFFFFF"/>
          <w:lang w:val="en-US" w:eastAsia="zh-CN"/>
        </w:rPr>
        <w:t>四是</w:t>
      </w:r>
      <w:r>
        <w:rPr>
          <w:rFonts w:hint="eastAsia" w:ascii="CESI仿宋-GB2312" w:hAnsi="CESI仿宋-GB2312" w:eastAsia="CESI仿宋-GB2312" w:cs="CESI仿宋-GB2312"/>
          <w:sz w:val="32"/>
          <w:szCs w:val="32"/>
          <w:lang w:val="en-US" w:eastAsia="zh-CN"/>
        </w:rPr>
        <w:t>组织召开停车场整治及管理相关会议，制定《岳阳市主城区公共区域停车管理专项整治方案》，明确了市主城区主次干道两侧临时停车设施备案设置条件，进一步规范了停车设施备案工作。</w:t>
      </w:r>
      <w:r>
        <w:rPr>
          <w:rFonts w:hint="eastAsia" w:ascii="CESI仿宋-GB2312" w:hAnsi="CESI仿宋-GB2312" w:eastAsia="CESI仿宋-GB2312" w:cs="CESI仿宋-GB2312"/>
          <w:b w:val="0"/>
          <w:i w:val="0"/>
          <w:snapToGrid/>
          <w:color w:val="000000"/>
          <w:sz w:val="32"/>
          <w:szCs w:val="32"/>
          <w:shd w:val="clear" w:color="auto" w:fill="FFFFFF"/>
          <w:lang w:val="en-US" w:eastAsia="zh-CN"/>
        </w:rPr>
        <w:t>今年以来，配合协助市城管支队统计主城区停车场194家，完成整改规范收费标准、退让公共资源红线等相关要求的停车场189家，其中规范</w:t>
      </w:r>
      <w:r>
        <w:rPr>
          <w:rFonts w:hint="eastAsia" w:ascii="CESI仿宋-GB2312" w:hAnsi="CESI仿宋-GB2312" w:eastAsia="CESI仿宋-GB2312" w:cs="CESI仿宋-GB2312"/>
          <w:kern w:val="2"/>
          <w:sz w:val="32"/>
          <w:szCs w:val="32"/>
          <w:lang w:val="en-US" w:eastAsia="zh-CN" w:bidi="ar-SA"/>
        </w:rPr>
        <w:t>降价的停车场144个，退出公共资源的停车场7个，拆除停车场38个，</w:t>
      </w:r>
      <w:r>
        <w:rPr>
          <w:rFonts w:hint="eastAsia" w:ascii="CESI仿宋-GB2312" w:hAnsi="CESI仿宋-GB2312" w:eastAsia="CESI仿宋-GB2312" w:cs="CESI仿宋-GB2312"/>
          <w:b w:val="0"/>
          <w:i w:val="0"/>
          <w:snapToGrid/>
          <w:color w:val="000000"/>
          <w:sz w:val="32"/>
          <w:szCs w:val="32"/>
          <w:shd w:val="clear" w:color="auto" w:fill="FFFFFF"/>
          <w:lang w:val="en-US" w:eastAsia="zh-CN"/>
        </w:rPr>
        <w:t>完成率达到97.4%</w:t>
      </w:r>
      <w:r>
        <w:rPr>
          <w:rFonts w:hint="eastAsia" w:ascii="CESI仿宋-GB2312" w:hAnsi="CESI仿宋-GB2312" w:eastAsia="CESI仿宋-GB2312" w:cs="CESI仿宋-GB2312"/>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kern w:val="0"/>
          <w:sz w:val="32"/>
          <w:szCs w:val="32"/>
          <w:lang w:val="en-US" w:eastAsia="zh-CN"/>
        </w:rPr>
        <w:t>（2）以平台助力执法。</w:t>
      </w:r>
      <w:r>
        <w:rPr>
          <w:rFonts w:hint="eastAsia" w:ascii="仿宋_GB2312" w:hAnsi="仿宋_GB2312" w:eastAsia="仿宋_GB2312" w:cs="仿宋_GB2312"/>
          <w:b w:val="0"/>
          <w:bCs w:val="0"/>
          <w:color w:val="000000"/>
          <w:kern w:val="0"/>
          <w:sz w:val="32"/>
          <w:szCs w:val="32"/>
          <w:lang w:val="en-US" w:eastAsia="zh-CN"/>
        </w:rPr>
        <w:t>从今年</w:t>
      </w:r>
      <w:r>
        <w:rPr>
          <w:rFonts w:hint="eastAsia" w:ascii="仿宋_GB2312" w:hAnsi="仿宋_GB2312" w:eastAsia="仿宋_GB2312" w:cs="仿宋_GB2312"/>
          <w:b w:val="0"/>
          <w:bCs w:val="0"/>
          <w:sz w:val="32"/>
          <w:szCs w:val="32"/>
          <w:lang w:val="en-US" w:eastAsia="zh-CN"/>
        </w:rPr>
        <w:t>1月1日至4月18日共发送短信成功39060条，成功劝离车辆20252台，</w:t>
      </w:r>
      <w:r>
        <w:rPr>
          <w:rFonts w:hint="eastAsia" w:ascii="仿宋_GB2312" w:hAnsi="仿宋_GB2312" w:eastAsia="仿宋_GB2312" w:cs="仿宋_GB2312"/>
          <w:b w:val="0"/>
          <w:bCs w:val="0"/>
          <w:sz w:val="32"/>
          <w:szCs w:val="32"/>
          <w:lang w:val="en" w:eastAsia="zh-CN"/>
        </w:rPr>
        <w:t>加强了公共停车场停车秩序管理</w:t>
      </w:r>
      <w:r>
        <w:rPr>
          <w:rFonts w:hint="eastAsia" w:ascii="仿宋_GB2312" w:hAnsi="仿宋_GB2312" w:eastAsia="仿宋_GB2312" w:cs="仿宋_GB2312"/>
          <w:b w:val="0"/>
          <w:bCs w:val="0"/>
          <w:sz w:val="32"/>
          <w:szCs w:val="32"/>
          <w:lang w:val="en-US" w:eastAsia="zh-CN"/>
        </w:rPr>
        <w:t>。通过对其他城市的调研考察，学习违停执法相关</w:t>
      </w:r>
      <w:r>
        <w:rPr>
          <w:rFonts w:hint="eastAsia" w:ascii="仿宋_GB2312" w:hAnsi="仿宋_GB2312" w:eastAsia="仿宋_GB2312" w:cs="仿宋_GB2312"/>
          <w:b w:val="0"/>
          <w:bCs w:val="0"/>
          <w:color w:val="auto"/>
          <w:sz w:val="32"/>
          <w:szCs w:val="32"/>
          <w:lang w:val="en-US" w:eastAsia="zh-CN"/>
        </w:rPr>
        <w:t>先进经验</w:t>
      </w:r>
      <w:r>
        <w:rPr>
          <w:rFonts w:hint="eastAsia" w:ascii="仿宋_GB2312" w:hAnsi="仿宋_GB2312" w:eastAsia="仿宋_GB2312" w:cs="仿宋_GB2312"/>
          <w:b w:val="0"/>
          <w:bCs w:val="0"/>
          <w:sz w:val="32"/>
          <w:szCs w:val="32"/>
          <w:lang w:val="en-US" w:eastAsia="zh-CN"/>
        </w:rPr>
        <w:t>，制定适合我市实际的违停执法方案。目前，牵头建设的集数据采集、数据管理、数据共享等功能于一体的城管违停执法录入系统已正常投入使用。</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color w:val="000000"/>
          <w:kern w:val="0"/>
          <w:sz w:val="32"/>
          <w:szCs w:val="32"/>
          <w:lang w:val="en-US" w:eastAsia="zh-CN"/>
        </w:rPr>
        <w:t>（3）以巡查督促</w:t>
      </w:r>
      <w:r>
        <w:rPr>
          <w:rFonts w:hint="eastAsia" w:ascii="仿宋_GB2312" w:hAnsi="仿宋_GB2312" w:eastAsia="仿宋_GB2312" w:cs="仿宋_GB2312"/>
          <w:b/>
          <w:bCs/>
          <w:color w:val="000000"/>
          <w:kern w:val="0"/>
          <w:sz w:val="32"/>
          <w:szCs w:val="32"/>
        </w:rPr>
        <w:t>开放。</w:t>
      </w:r>
      <w:r>
        <w:rPr>
          <w:rFonts w:hint="eastAsia" w:ascii="仿宋_GB2312" w:hAnsi="仿宋_GB2312" w:eastAsia="仿宋_GB2312" w:cs="仿宋_GB2312"/>
          <w:b w:val="0"/>
          <w:bCs w:val="0"/>
          <w:sz w:val="32"/>
          <w:szCs w:val="32"/>
          <w:lang w:val="en-US" w:eastAsia="zh-CN"/>
        </w:rPr>
        <w:t>元旦、五一、国庆等节假日期间，以随机抽查和全面督查的方式督促市直机关单位内部停车场48家对外开放，</w:t>
      </w:r>
      <w:r>
        <w:rPr>
          <w:rFonts w:hint="eastAsia" w:ascii="仿宋_GB2312" w:hAnsi="仿宋_GB2312" w:eastAsia="仿宋_GB2312" w:cs="仿宋_GB2312"/>
          <w:sz w:val="32"/>
          <w:szCs w:val="32"/>
        </w:rPr>
        <w:t>基本保证了各单位按照停车指示牌上的时间与范围向市民开放。</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（4）以勘察摸清底数。</w:t>
      </w:r>
      <w:r>
        <w:rPr>
          <w:rFonts w:hint="eastAsia" w:ascii="仿宋_GB2312" w:hAnsi="仿宋_GB2312" w:eastAsia="仿宋_GB2312" w:cs="仿宋_GB2312"/>
          <w:b w:val="0"/>
          <w:bCs w:val="0"/>
          <w:sz w:val="32"/>
          <w:szCs w:val="32"/>
          <w:lang w:val="en-US" w:eastAsia="zh-CN"/>
        </w:rPr>
        <w:t>截止2024年底，各类停车位数量合计为277963个，其中1646个小区的建筑配建停车位243855个；79个社会公共停车场的社会公共停车位11743个；道路临时泊位共计22365个，其中人行道停车位18117个、非机动车道停车位4248个。</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（5）以考评规范管理。</w:t>
      </w:r>
      <w:r>
        <w:rPr>
          <w:rFonts w:hint="eastAsia" w:ascii="仿宋_GB2312" w:hAnsi="仿宋_GB2312" w:eastAsia="仿宋_GB2312" w:cs="仿宋_GB2312"/>
          <w:b w:val="0"/>
          <w:bCs w:val="0"/>
          <w:sz w:val="32"/>
          <w:szCs w:val="32"/>
          <w:lang w:val="en-US" w:eastAsia="zh-CN"/>
        </w:rPr>
        <w:t>定期对共享电动自行车经营单位的运营组织、安全生产等方面进行考评考核，做到“每月讲评、每季度通报”，今年共考评12次。同时，根据考评情况，要求运营公司进行相应整改，为市民提供良好、舒适的骑行环境。今年以来，在我中心指导下，经营单位增加了灭火沙池、水剂灭火器及除静电装置等安全设施设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color w:val="252525"/>
          <w:sz w:val="32"/>
          <w:szCs w:val="32"/>
          <w:shd w:val="clear" w:color="auto" w:fill="FFFFFF"/>
          <w:lang w:val="en-US" w:eastAsia="zh-CN"/>
        </w:rPr>
      </w:pPr>
      <w:r>
        <w:rPr>
          <w:rFonts w:hint="eastAsia" w:ascii="仿宋_GB2312" w:hAnsi="仿宋_GB2312" w:eastAsia="仿宋_GB2312" w:cs="仿宋_GB2312"/>
          <w:b/>
          <w:bCs/>
          <w:color w:val="000000"/>
          <w:kern w:val="0"/>
          <w:sz w:val="32"/>
          <w:szCs w:val="32"/>
          <w:lang w:val="en-US" w:eastAsia="zh-CN"/>
        </w:rPr>
        <w:t>（6）</w:t>
      </w:r>
      <w:r>
        <w:rPr>
          <w:rFonts w:hint="eastAsia" w:ascii="仿宋_GB2312" w:hAnsi="仿宋_GB2312" w:eastAsia="仿宋_GB2312" w:cs="仿宋_GB2312"/>
          <w:b/>
          <w:bCs/>
          <w:sz w:val="32"/>
          <w:szCs w:val="32"/>
          <w:lang w:val="en-US" w:eastAsia="zh-CN"/>
        </w:rPr>
        <w:t>以科技规范骑行。</w:t>
      </w:r>
      <w:r>
        <w:rPr>
          <w:rFonts w:hint="eastAsia" w:ascii="仿宋_GB2312" w:hAnsi="仿宋_GB2312" w:eastAsia="仿宋_GB2312" w:cs="仿宋_GB2312"/>
          <w:b w:val="0"/>
          <w:bCs w:val="0"/>
          <w:sz w:val="32"/>
          <w:szCs w:val="32"/>
          <w:lang w:val="en-US" w:eastAsia="zh-CN"/>
        </w:rPr>
        <w:t>由于共享电动自行车骑行过程中，市民不佩戴头盔骑行的情况时有发生，交通安全隐患大。我中心多次调度，要求对不佩戴头盔的行为开发新功能，做到必须佩戴头盔才可骑行。4月11日，共享自行车运营单位正式启用新型智能芯片头盔，市民在使用车辆骑行过程中，不佩戴头盔，车辆无法启用并自动降速断电，要求市民骑行过程必须佩戴头盔进行安全防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bCs/>
          <w:color w:val="000000"/>
          <w:kern w:val="0"/>
          <w:sz w:val="32"/>
          <w:szCs w:val="32"/>
          <w:lang w:val="en-US" w:eastAsia="zh-CN"/>
        </w:rPr>
      </w:pPr>
      <w:r>
        <w:rPr>
          <w:rFonts w:hint="eastAsia" w:ascii="仿宋_GB2312" w:hAnsi="仿宋_GB2312" w:eastAsia="仿宋_GB2312" w:cs="仿宋_GB2312"/>
          <w:b/>
          <w:bCs/>
          <w:color w:val="000000"/>
          <w:kern w:val="0"/>
          <w:sz w:val="32"/>
          <w:szCs w:val="32"/>
          <w:lang w:val="en-US" w:eastAsia="zh-CN"/>
        </w:rPr>
        <w:t>2、提案议案回复和信访维稳工作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color w:val="000000"/>
          <w:kern w:val="0"/>
          <w:sz w:val="32"/>
          <w:szCs w:val="32"/>
          <w:lang w:val="en-US" w:eastAsia="zh-CN"/>
        </w:rPr>
        <w:t>（1）人大、政协提案议案回复工作。</w:t>
      </w:r>
      <w:r>
        <w:rPr>
          <w:rFonts w:hint="eastAsia" w:ascii="仿宋_GB2312" w:hAnsi="仿宋_GB2312" w:eastAsia="仿宋_GB2312" w:cs="仿宋_GB2312"/>
          <w:b w:val="0"/>
          <w:bCs w:val="0"/>
          <w:color w:val="000000"/>
          <w:kern w:val="0"/>
          <w:sz w:val="32"/>
          <w:szCs w:val="32"/>
          <w:lang w:val="en-US" w:eastAsia="zh-CN"/>
        </w:rPr>
        <w:t>2024年共收到</w:t>
      </w:r>
      <w:r>
        <w:rPr>
          <w:rFonts w:hint="eastAsia" w:ascii="仿宋_GB2312" w:hAnsi="仿宋_GB2312" w:eastAsia="仿宋_GB2312" w:cs="仿宋_GB2312"/>
          <w:b w:val="0"/>
          <w:bCs w:val="0"/>
          <w:sz w:val="32"/>
          <w:szCs w:val="32"/>
          <w:lang w:val="en-US" w:eastAsia="zh-CN"/>
        </w:rPr>
        <w:t>人大、政协提案、议案13份。</w:t>
      </w:r>
      <w:r>
        <w:rPr>
          <w:rFonts w:hint="eastAsia" w:ascii="仿宋_GB2312" w:hAnsi="仿宋_GB2312" w:eastAsia="仿宋_GB2312" w:cs="仿宋_GB2312"/>
          <w:sz w:val="32"/>
          <w:szCs w:val="32"/>
          <w:lang w:val="en-US" w:eastAsia="zh-CN"/>
        </w:rPr>
        <w:t>我中心</w:t>
      </w:r>
      <w:r>
        <w:rPr>
          <w:rFonts w:hint="eastAsia" w:ascii="仿宋_GB2312" w:hAnsi="仿宋_GB2312" w:eastAsia="仿宋_GB2312" w:cs="仿宋_GB2312"/>
          <w:sz w:val="32"/>
          <w:szCs w:val="32"/>
          <w:lang w:eastAsia="zh-CN"/>
        </w:rPr>
        <w:t>安排人员</w:t>
      </w:r>
      <w:r>
        <w:rPr>
          <w:rFonts w:hint="eastAsia" w:ascii="仿宋_GB2312" w:hAnsi="仿宋_GB2312" w:eastAsia="仿宋_GB2312" w:cs="仿宋_GB2312"/>
          <w:sz w:val="32"/>
          <w:szCs w:val="32"/>
          <w:lang w:val="en-US" w:eastAsia="zh-CN"/>
        </w:rPr>
        <w:t>与代表和委员</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val="en-US" w:eastAsia="zh-CN"/>
        </w:rPr>
        <w:t>了</w:t>
      </w:r>
      <w:r>
        <w:rPr>
          <w:rFonts w:hint="eastAsia" w:ascii="仿宋_GB2312" w:hAnsi="仿宋_GB2312" w:eastAsia="仿宋_GB2312" w:cs="仿宋_GB2312"/>
          <w:sz w:val="32"/>
          <w:szCs w:val="32"/>
        </w:rPr>
        <w:t>面对面沟通交流，听取</w:t>
      </w:r>
      <w:r>
        <w:rPr>
          <w:rFonts w:hint="eastAsia" w:ascii="仿宋_GB2312" w:hAnsi="仿宋_GB2312" w:eastAsia="仿宋_GB2312" w:cs="仿宋_GB2312"/>
          <w:sz w:val="32"/>
          <w:szCs w:val="32"/>
          <w:lang w:eastAsia="zh-CN"/>
        </w:rPr>
        <w:t>代表、</w:t>
      </w:r>
      <w:r>
        <w:rPr>
          <w:rFonts w:hint="eastAsia" w:ascii="仿宋_GB2312" w:hAnsi="仿宋_GB2312" w:eastAsia="仿宋_GB2312" w:cs="仿宋_GB2312"/>
          <w:sz w:val="32"/>
          <w:szCs w:val="32"/>
        </w:rPr>
        <w:t>委员对所提</w:t>
      </w:r>
      <w:r>
        <w:rPr>
          <w:rFonts w:hint="eastAsia" w:ascii="仿宋_GB2312" w:hAnsi="仿宋_GB2312" w:eastAsia="仿宋_GB2312" w:cs="仿宋_GB2312"/>
          <w:sz w:val="32"/>
          <w:szCs w:val="32"/>
          <w:lang w:eastAsia="zh-CN"/>
        </w:rPr>
        <w:t>问题</w:t>
      </w:r>
      <w:r>
        <w:rPr>
          <w:rFonts w:hint="eastAsia" w:ascii="仿宋_GB2312" w:hAnsi="仿宋_GB2312" w:eastAsia="仿宋_GB2312" w:cs="仿宋_GB2312"/>
          <w:sz w:val="32"/>
          <w:szCs w:val="32"/>
        </w:rPr>
        <w:t>的深层次意图及具体办理要求，有针对性地进行研究落实</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lang w:val="en-US" w:eastAsia="zh-CN"/>
        </w:rPr>
        <w:t>形成回复材料。</w:t>
      </w:r>
      <w:r>
        <w:rPr>
          <w:rFonts w:hint="eastAsia" w:ascii="仿宋_GB2312" w:hAnsi="仿宋_GB2312" w:eastAsia="仿宋_GB2312" w:cs="仿宋_GB2312"/>
          <w:b w:val="0"/>
          <w:bCs w:val="0"/>
          <w:sz w:val="32"/>
          <w:szCs w:val="32"/>
          <w:lang w:val="en-US" w:eastAsia="zh-CN"/>
        </w:rPr>
        <w:t>今年我中心收到的提案、议案测评满意度为100%。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default" w:ascii="仿宋_GB2312" w:hAnsi="仿宋_GB2312" w:eastAsia="仿宋_GB2312" w:cs="仿宋_GB2312"/>
          <w:b/>
          <w:bCs/>
          <w:color w:val="252525"/>
          <w:sz w:val="32"/>
          <w:szCs w:val="32"/>
          <w:shd w:val="clear" w:color="auto" w:fill="FFFFFF"/>
          <w:lang w:val="en-US" w:eastAsia="zh-CN"/>
        </w:rPr>
      </w:pPr>
      <w:r>
        <w:rPr>
          <w:rFonts w:hint="eastAsia" w:ascii="仿宋_GB2312" w:hAnsi="仿宋_GB2312" w:eastAsia="仿宋_GB2312" w:cs="仿宋_GB2312"/>
          <w:b/>
          <w:bCs/>
          <w:sz w:val="32"/>
          <w:szCs w:val="32"/>
          <w:lang w:val="en-US" w:eastAsia="zh-CN"/>
        </w:rPr>
        <w:t>（2）信访维稳，舆情引导工作。</w:t>
      </w:r>
      <w:r>
        <w:rPr>
          <w:rFonts w:hint="eastAsia" w:ascii="仿宋_GB2312" w:hAnsi="仿宋_GB2312" w:eastAsia="仿宋_GB2312" w:cs="仿宋_GB2312"/>
          <w:b w:val="0"/>
          <w:bCs w:val="0"/>
          <w:color w:val="252525"/>
          <w:sz w:val="32"/>
          <w:szCs w:val="32"/>
          <w:shd w:val="clear" w:color="auto" w:fill="FFFFFF"/>
          <w:lang w:val="en-US" w:eastAsia="zh-CN"/>
        </w:rPr>
        <w:t>我中心今年</w:t>
      </w:r>
      <w:r>
        <w:rPr>
          <w:rFonts w:hint="eastAsia" w:ascii="仿宋_GB2312" w:hAnsi="仿宋_GB2312" w:eastAsia="仿宋_GB2312" w:cs="仿宋_GB2312"/>
          <w:b w:val="0"/>
          <w:bCs w:val="0"/>
          <w:sz w:val="32"/>
          <w:szCs w:val="32"/>
          <w:lang w:val="en-US" w:eastAsia="zh-CN"/>
        </w:rPr>
        <w:t>处理、回复市长信箱等各类投诉案件共计374件，处理社会舆情2件，全年共接访100余人次。</w:t>
      </w:r>
    </w:p>
    <w:p>
      <w:pPr>
        <w:pStyle w:val="2"/>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3、安全生产工作</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color w:val="252525"/>
          <w:sz w:val="32"/>
          <w:szCs w:val="32"/>
          <w:shd w:val="clear" w:color="auto" w:fill="FFFFFF"/>
          <w:lang w:val="en-US" w:eastAsia="zh-CN"/>
        </w:rPr>
      </w:pPr>
      <w:r>
        <w:rPr>
          <w:rFonts w:hint="eastAsia" w:ascii="仿宋_GB2312" w:hAnsi="仿宋_GB2312" w:eastAsia="仿宋_GB2312" w:cs="仿宋_GB2312"/>
          <w:b/>
          <w:bCs/>
          <w:sz w:val="32"/>
          <w:szCs w:val="32"/>
          <w:lang w:val="en-US" w:eastAsia="zh-CN"/>
        </w:rPr>
        <w:t>（1）组织安全教育活动。</w:t>
      </w:r>
      <w:r>
        <w:rPr>
          <w:rFonts w:hint="eastAsia" w:ascii="仿宋_GB2312" w:hAnsi="仿宋_GB2312" w:eastAsia="仿宋_GB2312" w:cs="仿宋_GB2312"/>
          <w:b w:val="0"/>
          <w:bCs w:val="0"/>
          <w:sz w:val="32"/>
          <w:szCs w:val="32"/>
          <w:lang w:val="en-US" w:eastAsia="zh-CN"/>
        </w:rPr>
        <w:t>一是</w:t>
      </w:r>
      <w:r>
        <w:rPr>
          <w:rFonts w:hint="eastAsia" w:ascii="仿宋_GB2312" w:hAnsi="仿宋_GB2312" w:eastAsia="仿宋_GB2312" w:cs="仿宋_GB2312"/>
          <w:b w:val="0"/>
          <w:bCs w:val="0"/>
          <w:color w:val="262626"/>
          <w:sz w:val="32"/>
          <w:szCs w:val="32"/>
          <w:shd w:val="clear" w:color="auto" w:fill="FFFFFF"/>
          <w:lang w:val="en-US" w:eastAsia="zh-CN"/>
        </w:rPr>
        <w:t>定期组织观看安全生产警示教育片，敲响安全警钟。二是</w:t>
      </w:r>
      <w:r>
        <w:rPr>
          <w:rFonts w:hint="eastAsia" w:ascii="仿宋_GB2312" w:hAnsi="仿宋_GB2312" w:eastAsia="仿宋_GB2312" w:cs="仿宋_GB2312"/>
          <w:b w:val="0"/>
          <w:bCs w:val="0"/>
          <w:color w:val="252525"/>
          <w:sz w:val="32"/>
          <w:szCs w:val="32"/>
          <w:shd w:val="clear" w:color="auto" w:fill="FFFFFF"/>
          <w:lang w:val="en-US" w:eastAsia="zh-CN"/>
        </w:rPr>
        <w:t>组织开展安全生产知识竞赛，</w:t>
      </w:r>
      <w:r>
        <w:rPr>
          <w:rFonts w:hint="eastAsia" w:ascii="仿宋_GB2312" w:hAnsi="仿宋_GB2312" w:eastAsia="仿宋_GB2312" w:cs="仿宋_GB2312"/>
          <w:b w:val="0"/>
          <w:bCs w:val="0"/>
          <w:sz w:val="32"/>
          <w:szCs w:val="32"/>
        </w:rPr>
        <w:t>让</w:t>
      </w:r>
      <w:r>
        <w:rPr>
          <w:rFonts w:hint="eastAsia" w:ascii="仿宋_GB2312" w:hAnsi="仿宋_GB2312" w:eastAsia="仿宋_GB2312" w:cs="仿宋_GB2312"/>
          <w:b w:val="0"/>
          <w:bCs w:val="0"/>
          <w:sz w:val="32"/>
          <w:szCs w:val="32"/>
          <w:lang w:eastAsia="zh-CN"/>
        </w:rPr>
        <w:t>职</w:t>
      </w:r>
      <w:r>
        <w:rPr>
          <w:rFonts w:hint="eastAsia" w:ascii="仿宋_GB2312" w:hAnsi="仿宋_GB2312" w:eastAsia="仿宋_GB2312" w:cs="仿宋_GB2312"/>
          <w:b w:val="0"/>
          <w:bCs w:val="0"/>
          <w:sz w:val="32"/>
          <w:szCs w:val="32"/>
        </w:rPr>
        <w:t>工主动学习安全知识，了解违规操作的危害。</w:t>
      </w:r>
      <w:r>
        <w:rPr>
          <w:rFonts w:hint="eastAsia" w:ascii="仿宋_GB2312" w:hAnsi="仿宋_GB2312" w:eastAsia="仿宋_GB2312" w:cs="仿宋_GB2312"/>
          <w:b w:val="0"/>
          <w:bCs w:val="0"/>
          <w:sz w:val="32"/>
          <w:szCs w:val="32"/>
          <w:lang w:eastAsia="zh-CN"/>
        </w:rPr>
        <w:t>三是</w:t>
      </w:r>
      <w:r>
        <w:rPr>
          <w:rFonts w:hint="eastAsia" w:ascii="仿宋_GB2312" w:hAnsi="仿宋_GB2312" w:eastAsia="仿宋_GB2312" w:cs="仿宋_GB2312"/>
          <w:b w:val="0"/>
          <w:bCs w:val="0"/>
          <w:sz w:val="32"/>
          <w:szCs w:val="32"/>
          <w:lang w:val="en-US" w:eastAsia="zh-CN"/>
        </w:rPr>
        <w:t>组织开展消防演练，</w:t>
      </w:r>
      <w:r>
        <w:rPr>
          <w:rFonts w:hint="eastAsia" w:ascii="仿宋_GB2312" w:hAnsi="仿宋_GB2312" w:eastAsia="仿宋_GB2312" w:cs="仿宋_GB2312"/>
          <w:b w:val="0"/>
          <w:bCs w:val="0"/>
          <w:color w:val="252525"/>
          <w:sz w:val="32"/>
          <w:szCs w:val="32"/>
          <w:shd w:val="clear" w:color="auto" w:fill="FFFFFF"/>
          <w:lang w:val="en-US" w:eastAsia="zh-CN"/>
        </w:rPr>
        <w:t>普及</w:t>
      </w:r>
      <w:r>
        <w:rPr>
          <w:rFonts w:hint="eastAsia" w:ascii="仿宋_GB2312" w:hAnsi="仿宋_GB2312" w:eastAsia="仿宋_GB2312" w:cs="仿宋_GB2312"/>
          <w:color w:val="252525"/>
          <w:sz w:val="32"/>
          <w:szCs w:val="32"/>
          <w:shd w:val="clear" w:color="auto" w:fill="FFFFFF"/>
          <w:lang w:val="en-US" w:eastAsia="zh-CN"/>
        </w:rPr>
        <w:t>灭火设备、器材的使用方法，车辆自燃，电动车起火的处理方法及注意事项。</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color w:val="252525"/>
          <w:sz w:val="32"/>
          <w:szCs w:val="32"/>
          <w:shd w:val="clear" w:color="auto" w:fill="FFFFFF"/>
          <w:lang w:val="en-US" w:eastAsia="zh-CN"/>
        </w:rPr>
      </w:pPr>
      <w:r>
        <w:rPr>
          <w:rFonts w:hint="eastAsia" w:ascii="仿宋_GB2312" w:hAnsi="仿宋_GB2312" w:eastAsia="仿宋_GB2312" w:cs="仿宋_GB2312"/>
          <w:b/>
          <w:bCs/>
          <w:color w:val="252525"/>
          <w:sz w:val="32"/>
          <w:szCs w:val="32"/>
          <w:shd w:val="clear" w:color="auto" w:fill="FFFFFF"/>
          <w:lang w:val="en-US" w:eastAsia="zh-CN"/>
        </w:rPr>
        <w:t>（2）配合开展《岳阳市电动自行车、电动摩托车安全隐患全链条整治行动实施方案》行动。</w:t>
      </w:r>
      <w:r>
        <w:rPr>
          <w:rFonts w:hint="eastAsia" w:ascii="仿宋_GB2312" w:hAnsi="仿宋_GB2312" w:eastAsia="仿宋_GB2312" w:cs="仿宋_GB2312"/>
          <w:color w:val="252525"/>
          <w:sz w:val="32"/>
          <w:szCs w:val="32"/>
          <w:shd w:val="clear" w:color="auto" w:fill="FFFFFF"/>
          <w:lang w:val="en-US" w:eastAsia="zh-CN"/>
        </w:rPr>
        <w:t>我中心会同应急局、岳阳消防救援等部门，联合开展共享电动自行车专项安全检查。并于5月29日、6月5日、6月12日开展共享电动自行车充电仓库夜间突击检查等行动。</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textAlignment w:val="auto"/>
        <w:rPr>
          <w:rFonts w:hint="eastAsia" w:ascii="CESI仿宋-GB2312" w:hAnsi="CESI仿宋-GB2312" w:eastAsia="CESI仿宋-GB2312" w:cs="CESI仿宋-GB2312"/>
          <w:color w:val="252525"/>
          <w:sz w:val="32"/>
          <w:szCs w:val="32"/>
          <w:shd w:val="clear" w:color="auto" w:fill="FFFFFF"/>
          <w:lang w:val="en-US" w:eastAsia="zh-CN"/>
        </w:rPr>
      </w:pPr>
      <w:r>
        <w:rPr>
          <w:rFonts w:hint="eastAsia" w:ascii="仿宋_GB2312" w:hAnsi="仿宋_GB2312" w:eastAsia="仿宋_GB2312" w:cs="仿宋_GB2312"/>
          <w:b/>
          <w:bCs/>
          <w:color w:val="252525"/>
          <w:sz w:val="32"/>
          <w:szCs w:val="32"/>
          <w:shd w:val="clear" w:color="auto" w:fill="FFFFFF"/>
          <w:lang w:val="en-US" w:eastAsia="zh-CN"/>
        </w:rPr>
        <w:t>（3）排查安全隐患，提前应对极端天气引起的安全问题。</w:t>
      </w:r>
      <w:r>
        <w:rPr>
          <w:rFonts w:hint="eastAsia" w:ascii="仿宋_GB2312" w:hAnsi="仿宋_GB2312" w:eastAsia="仿宋_GB2312" w:cs="仿宋_GB2312"/>
          <w:sz w:val="32"/>
          <w:szCs w:val="32"/>
          <w:lang w:val="en-US" w:eastAsia="zh-CN"/>
        </w:rPr>
        <w:t>我中心组织学习传达关于低温雨</w:t>
      </w:r>
      <w:r>
        <w:rPr>
          <w:rFonts w:hint="eastAsia" w:ascii="CESI仿宋-GB2312" w:hAnsi="CESI仿宋-GB2312" w:eastAsia="CESI仿宋-GB2312" w:cs="CESI仿宋-GB2312"/>
          <w:sz w:val="32"/>
          <w:szCs w:val="32"/>
          <w:lang w:val="en-US" w:eastAsia="zh-CN"/>
        </w:rPr>
        <w:t>雪冰冻灾害隐患排查整治工作部署精神，对办公区域的用电安全进行全面排查，消除隐患。同时，对可能出现的雨雪灾害提前做好应急预案。</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firstLine="642" w:firstLineChars="200"/>
        <w:jc w:val="both"/>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4、党风廉政建设工作</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一是注重党建引领。</w:t>
      </w:r>
      <w:r>
        <w:rPr>
          <w:rFonts w:hint="eastAsia" w:ascii="仿宋_GB2312" w:hAnsi="仿宋_GB2312" w:eastAsia="仿宋_GB2312" w:cs="仿宋_GB2312"/>
          <w:b w:val="0"/>
          <w:bCs w:val="0"/>
          <w:color w:val="000000"/>
          <w:kern w:val="0"/>
          <w:sz w:val="32"/>
          <w:szCs w:val="32"/>
        </w:rPr>
        <w:t>坚持理论学习制度和第一议题制度，利用“三会一课”、主题党日等</w:t>
      </w:r>
      <w:r>
        <w:rPr>
          <w:rFonts w:hint="eastAsia" w:ascii="仿宋_GB2312" w:hAnsi="仿宋_GB2312" w:eastAsia="仿宋_GB2312" w:cs="仿宋_GB2312"/>
          <w:b w:val="0"/>
          <w:bCs w:val="0"/>
          <w:sz w:val="32"/>
          <w:szCs w:val="32"/>
          <w:lang w:val="en-US" w:eastAsia="zh-CN"/>
        </w:rPr>
        <w:t>将党建</w:t>
      </w:r>
      <w:r>
        <w:rPr>
          <w:rFonts w:hint="eastAsia" w:ascii="仿宋_GB2312" w:hAnsi="仿宋_GB2312" w:eastAsia="仿宋_GB2312" w:cs="仿宋_GB2312"/>
          <w:b w:val="0"/>
          <w:bCs w:val="0"/>
          <w:sz w:val="32"/>
          <w:szCs w:val="32"/>
        </w:rPr>
        <w:t>工作</w:t>
      </w:r>
      <w:r>
        <w:rPr>
          <w:rFonts w:hint="eastAsia" w:ascii="仿宋_GB2312" w:hAnsi="仿宋_GB2312" w:eastAsia="仿宋_GB2312" w:cs="仿宋_GB2312"/>
          <w:b w:val="0"/>
          <w:bCs w:val="0"/>
          <w:sz w:val="32"/>
          <w:szCs w:val="32"/>
          <w:lang w:val="en-US" w:eastAsia="zh-CN"/>
        </w:rPr>
        <w:t>和</w:t>
      </w:r>
      <w:r>
        <w:rPr>
          <w:rFonts w:hint="eastAsia" w:ascii="仿宋_GB2312" w:hAnsi="仿宋_GB2312" w:eastAsia="仿宋_GB2312" w:cs="仿宋_GB2312"/>
          <w:b w:val="0"/>
          <w:bCs w:val="0"/>
          <w:sz w:val="32"/>
          <w:szCs w:val="32"/>
        </w:rPr>
        <w:t>中心工作结合起来，</w:t>
      </w:r>
      <w:r>
        <w:rPr>
          <w:rFonts w:hint="eastAsia" w:ascii="仿宋_GB2312" w:hAnsi="仿宋_GB2312" w:eastAsia="仿宋_GB2312" w:cs="仿宋_GB2312"/>
          <w:b w:val="0"/>
          <w:bCs w:val="0"/>
          <w:sz w:val="32"/>
          <w:szCs w:val="32"/>
          <w:lang w:val="en-US" w:eastAsia="zh-CN"/>
        </w:rPr>
        <w:t>把</w:t>
      </w:r>
      <w:r>
        <w:rPr>
          <w:rFonts w:hint="eastAsia" w:ascii="仿宋_GB2312" w:hAnsi="仿宋_GB2312" w:eastAsia="仿宋_GB2312" w:cs="仿宋_GB2312"/>
          <w:b w:val="0"/>
          <w:bCs w:val="0"/>
          <w:sz w:val="32"/>
          <w:szCs w:val="32"/>
        </w:rPr>
        <w:t>意识形态工作与业务工作同部署</w:t>
      </w:r>
      <w:r>
        <w:rPr>
          <w:rFonts w:hint="eastAsia" w:ascii="仿宋_GB2312" w:hAnsi="仿宋_GB2312" w:eastAsia="仿宋_GB2312" w:cs="仿宋_GB2312"/>
          <w:b w:val="0"/>
          <w:bCs w:val="0"/>
          <w:color w:val="000000"/>
          <w:kern w:val="0"/>
          <w:sz w:val="32"/>
          <w:szCs w:val="32"/>
        </w:rPr>
        <w:t>，严格落实</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三会一课</w:t>
      </w:r>
      <w:r>
        <w:rPr>
          <w:rFonts w:hint="eastAsia" w:ascii="仿宋_GB2312" w:hAnsi="仿宋_GB2312" w:eastAsia="仿宋_GB2312" w:cs="仿宋_GB2312"/>
          <w:b w:val="0"/>
          <w:bCs w:val="0"/>
          <w:color w:val="000000"/>
          <w:kern w:val="0"/>
          <w:sz w:val="32"/>
          <w:szCs w:val="32"/>
          <w:lang w:eastAsia="zh-CN"/>
        </w:rPr>
        <w:t>”</w:t>
      </w:r>
      <w:r>
        <w:rPr>
          <w:rFonts w:hint="eastAsia" w:ascii="仿宋_GB2312" w:hAnsi="仿宋_GB2312" w:eastAsia="仿宋_GB2312" w:cs="仿宋_GB2312"/>
          <w:b w:val="0"/>
          <w:bCs w:val="0"/>
          <w:color w:val="000000"/>
          <w:kern w:val="0"/>
          <w:sz w:val="32"/>
          <w:szCs w:val="32"/>
        </w:rPr>
        <w:t>制度，定期召开支部党员大会、支部委员会，按时上好党课。</w:t>
      </w:r>
      <w:r>
        <w:rPr>
          <w:rFonts w:hint="eastAsia" w:ascii="仿宋_GB2312" w:hAnsi="仿宋_GB2312" w:eastAsia="仿宋_GB2312" w:cs="仿宋_GB2312"/>
          <w:b w:val="0"/>
          <w:bCs w:val="0"/>
          <w:sz w:val="32"/>
          <w:szCs w:val="32"/>
          <w:lang w:val="en-US" w:eastAsia="zh-CN"/>
        </w:rPr>
        <w:t>二是打造党建品牌。</w:t>
      </w:r>
      <w:r>
        <w:rPr>
          <w:rFonts w:hint="eastAsia" w:ascii="仿宋_GB2312" w:hAnsi="仿宋_GB2312" w:eastAsia="仿宋_GB2312" w:cs="仿宋_GB2312"/>
          <w:b w:val="0"/>
          <w:bCs w:val="0"/>
          <w:color w:val="000000"/>
          <w:kern w:val="0"/>
          <w:sz w:val="32"/>
          <w:szCs w:val="32"/>
          <w:lang w:eastAsia="zh-CN"/>
        </w:rPr>
        <w:t>结合单位实际开展</w:t>
      </w:r>
      <w:r>
        <w:rPr>
          <w:rFonts w:hint="eastAsia" w:ascii="仿宋_GB2312" w:hAnsi="仿宋_GB2312" w:eastAsia="仿宋_GB2312" w:cs="仿宋_GB2312"/>
          <w:b w:val="0"/>
          <w:bCs w:val="0"/>
          <w:color w:val="000000"/>
          <w:kern w:val="0"/>
          <w:sz w:val="32"/>
          <w:szCs w:val="32"/>
        </w:rPr>
        <w:t>“城管党建＋停车管理”</w:t>
      </w:r>
      <w:r>
        <w:rPr>
          <w:rFonts w:hint="eastAsia" w:ascii="仿宋_GB2312" w:hAnsi="仿宋_GB2312" w:eastAsia="仿宋_GB2312" w:cs="仿宋_GB2312"/>
          <w:b w:val="0"/>
          <w:bCs w:val="0"/>
          <w:color w:val="000000"/>
          <w:kern w:val="0"/>
          <w:sz w:val="32"/>
          <w:szCs w:val="32"/>
          <w:lang w:eastAsia="zh-CN"/>
        </w:rPr>
        <w:t>活动，</w:t>
      </w:r>
      <w:r>
        <w:rPr>
          <w:rFonts w:hint="eastAsia" w:ascii="仿宋_GB2312" w:hAnsi="仿宋_GB2312" w:eastAsia="仿宋_GB2312" w:cs="仿宋_GB2312"/>
          <w:b w:val="0"/>
          <w:bCs w:val="0"/>
          <w:sz w:val="32"/>
          <w:szCs w:val="32"/>
        </w:rPr>
        <w:t>积极发挥班子“领头羊”作用，</w:t>
      </w:r>
      <w:r>
        <w:rPr>
          <w:rFonts w:hint="eastAsia" w:ascii="仿宋_GB2312" w:hAnsi="仿宋_GB2312" w:eastAsia="仿宋_GB2312" w:cs="仿宋_GB2312"/>
          <w:b w:val="0"/>
          <w:bCs w:val="0"/>
          <w:color w:val="000000"/>
          <w:kern w:val="0"/>
          <w:sz w:val="32"/>
          <w:szCs w:val="32"/>
        </w:rPr>
        <w:t>成立了党建先锋队，</w:t>
      </w:r>
      <w:r>
        <w:rPr>
          <w:rFonts w:hint="eastAsia" w:ascii="仿宋_GB2312" w:hAnsi="仿宋_GB2312" w:eastAsia="仿宋_GB2312" w:cs="仿宋_GB2312"/>
          <w:b w:val="0"/>
          <w:bCs w:val="0"/>
          <w:sz w:val="32"/>
          <w:szCs w:val="32"/>
        </w:rPr>
        <w:t>对“停车难、停车乱”突出路段进行现场走访，了解市民停车需求。</w:t>
      </w:r>
      <w:r>
        <w:rPr>
          <w:rFonts w:hint="eastAsia" w:ascii="仿宋_GB2312" w:hAnsi="仿宋_GB2312" w:eastAsia="仿宋_GB2312" w:cs="仿宋_GB2312"/>
          <w:b w:val="0"/>
          <w:bCs w:val="0"/>
          <w:sz w:val="32"/>
          <w:szCs w:val="32"/>
          <w:lang w:eastAsia="zh-CN"/>
        </w:rPr>
        <w:t>三是注重廉政建设。</w:t>
      </w:r>
      <w:r>
        <w:rPr>
          <w:rFonts w:hint="eastAsia" w:ascii="仿宋_GB2312" w:hAnsi="仿宋_GB2312" w:eastAsia="仿宋_GB2312" w:cs="仿宋_GB2312"/>
          <w:b w:val="0"/>
          <w:bCs w:val="0"/>
          <w:sz w:val="32"/>
          <w:szCs w:val="32"/>
          <w:lang w:val="en-US" w:eastAsia="zh-CN"/>
        </w:rPr>
        <w:t>按照“一岗双责”的要求，对党风廉政建设各项任务进行了分解，</w:t>
      </w:r>
      <w:r>
        <w:rPr>
          <w:rFonts w:hint="eastAsia" w:ascii="仿宋_GB2312" w:hAnsi="仿宋_GB2312" w:eastAsia="仿宋_GB2312" w:cs="仿宋_GB2312"/>
          <w:b w:val="0"/>
          <w:bCs w:val="0"/>
          <w:color w:val="000000"/>
          <w:kern w:val="0"/>
          <w:sz w:val="32"/>
          <w:szCs w:val="32"/>
        </w:rPr>
        <w:t>细化党支部和班子成员责任，组织党员学习党规党纪，</w:t>
      </w:r>
      <w:r>
        <w:rPr>
          <w:rFonts w:hint="eastAsia" w:ascii="仿宋_GB2312" w:hAnsi="仿宋_GB2312" w:eastAsia="仿宋_GB2312" w:cs="仿宋_GB2312"/>
          <w:b w:val="0"/>
          <w:bCs w:val="0"/>
          <w:color w:val="000000"/>
          <w:kern w:val="0"/>
          <w:sz w:val="32"/>
          <w:szCs w:val="32"/>
          <w:lang w:eastAsia="zh-CN"/>
        </w:rPr>
        <w:t>学习</w:t>
      </w:r>
      <w:r>
        <w:rPr>
          <w:rFonts w:hint="eastAsia" w:ascii="仿宋_GB2312" w:hAnsi="仿宋_GB2312" w:eastAsia="仿宋_GB2312" w:cs="仿宋_GB2312"/>
          <w:b w:val="0"/>
          <w:bCs w:val="0"/>
          <w:sz w:val="32"/>
          <w:szCs w:val="32"/>
          <w:lang w:val="en-US" w:eastAsia="zh-CN"/>
        </w:rPr>
        <w:t>中央、省、市重要会议精神，进行经常性的廉政宣传教育。</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（三）单位预算管理情况</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highlight w:val="none"/>
        </w:rPr>
        <w:t>《中华人民共和国预算法》</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kern w:val="0"/>
          <w:sz w:val="32"/>
          <w:szCs w:val="32"/>
          <w:highlight w:val="none"/>
          <w:lang w:val="en-US" w:eastAsia="zh-CN"/>
        </w:rPr>
        <w:t>《政府会计制度》</w:t>
      </w:r>
      <w:r>
        <w:rPr>
          <w:rFonts w:hint="eastAsia" w:ascii="仿宋_GB2312" w:hAnsi="仿宋_GB2312" w:eastAsia="仿宋_GB2312" w:cs="仿宋_GB2312"/>
          <w:sz w:val="32"/>
          <w:szCs w:val="32"/>
          <w:highlight w:val="none"/>
          <w:lang w:val="en-US" w:eastAsia="zh-CN"/>
        </w:rPr>
        <w:t>和</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中共</w:t>
      </w:r>
      <w:r>
        <w:rPr>
          <w:rFonts w:hint="eastAsia" w:ascii="仿宋_GB2312" w:hAnsi="仿宋_GB2312" w:eastAsia="仿宋_GB2312" w:cs="仿宋_GB2312"/>
          <w:sz w:val="32"/>
          <w:szCs w:val="32"/>
        </w:rPr>
        <w:t>岳阳市</w:t>
      </w:r>
      <w:r>
        <w:rPr>
          <w:rFonts w:hint="eastAsia" w:ascii="仿宋_GB2312" w:hAnsi="仿宋_GB2312" w:eastAsia="仿宋_GB2312" w:cs="仿宋_GB2312"/>
          <w:sz w:val="32"/>
          <w:szCs w:val="32"/>
          <w:lang w:eastAsia="zh-CN"/>
        </w:rPr>
        <w:t>委办公室</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岳阳市人民政府办公室关于</w:t>
      </w:r>
      <w:r>
        <w:rPr>
          <w:rFonts w:hint="eastAsia" w:ascii="仿宋_GB2312" w:hAnsi="仿宋_GB2312" w:eastAsia="仿宋_GB2312" w:cs="仿宋_GB2312"/>
          <w:sz w:val="32"/>
          <w:szCs w:val="32"/>
          <w:lang w:eastAsia="zh-CN"/>
        </w:rPr>
        <w:t>印发〈岳阳市预算绩效管理实施办法〉</w:t>
      </w:r>
      <w:r>
        <w:rPr>
          <w:rFonts w:hint="eastAsia" w:ascii="仿宋_GB2312" w:hAnsi="仿宋_GB2312" w:eastAsia="仿宋_GB2312" w:cs="仿宋_GB2312"/>
          <w:sz w:val="32"/>
          <w:szCs w:val="32"/>
        </w:rPr>
        <w:t>的通知》（岳办</w:t>
      </w:r>
      <w:r>
        <w:rPr>
          <w:rFonts w:hint="eastAsia" w:ascii="仿宋_GB2312" w:hAnsi="仿宋_GB2312" w:eastAsia="仿宋_GB2312" w:cs="仿宋_GB2312"/>
          <w:sz w:val="32"/>
          <w:szCs w:val="32"/>
          <w:lang w:eastAsia="zh-CN"/>
        </w:rPr>
        <w:t>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及其他相关文件精神，中心成立了绩效评价及监督小组，定期开展相关工作。</w:t>
      </w:r>
    </w:p>
    <w:p>
      <w:pPr>
        <w:pStyle w:val="3"/>
        <w:keepNext w:val="0"/>
        <w:keepLines w:val="0"/>
        <w:pageBreakBefore w:val="0"/>
        <w:kinsoku/>
        <w:wordWrap/>
        <w:overflowPunct/>
        <w:topLinePunct w:val="0"/>
        <w:autoSpaceDE/>
        <w:autoSpaceDN/>
        <w:bidi w:val="0"/>
        <w:adjustRightInd/>
        <w:snapToGrid/>
        <w:spacing w:line="560" w:lineRule="exact"/>
        <w:ind w:left="0" w:leftChars="0" w:firstLine="642" w:firstLineChars="200"/>
        <w:jc w:val="left"/>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1、预算及绩效管理</w:t>
      </w:r>
    </w:p>
    <w:p>
      <w:pPr>
        <w:pStyle w:val="2"/>
        <w:keepNext w:val="0"/>
        <w:keepLines w:val="0"/>
        <w:pageBreakBefore w:val="0"/>
        <w:kinsoku/>
        <w:wordWrap/>
        <w:overflowPunct/>
        <w:topLinePunct w:val="0"/>
        <w:autoSpaceDE/>
        <w:autoSpaceDN/>
        <w:bidi w:val="0"/>
        <w:adjustRightInd/>
        <w:snapToGrid/>
        <w:spacing w:line="560" w:lineRule="exact"/>
        <w:ind w:firstLine="664" w:firstLineChars="200"/>
        <w:jc w:val="left"/>
        <w:textAlignment w:val="auto"/>
        <w:rPr>
          <w:rFonts w:hint="eastAsia" w:ascii="仿宋_GB2312" w:hAnsi="仿宋_GB2312" w:eastAsia="仿宋_GB2312" w:cs="仿宋_GB2312"/>
          <w:spacing w:val="6"/>
          <w:kern w:val="0"/>
          <w:sz w:val="32"/>
          <w:szCs w:val="32"/>
          <w:lang w:val="en-US" w:eastAsia="zh-CN"/>
        </w:rPr>
      </w:pPr>
      <w:r>
        <w:rPr>
          <w:rFonts w:hint="eastAsia" w:ascii="仿宋_GB2312" w:hAnsi="仿宋_GB2312" w:eastAsia="仿宋_GB2312" w:cs="仿宋_GB2312"/>
          <w:spacing w:val="6"/>
          <w:kern w:val="0"/>
          <w:sz w:val="32"/>
          <w:szCs w:val="32"/>
          <w:lang w:val="en-US" w:eastAsia="zh-CN"/>
        </w:rPr>
        <w:t>为加强</w:t>
      </w:r>
      <w:r>
        <w:rPr>
          <w:rFonts w:hint="eastAsia" w:ascii="仿宋_GB2312" w:hAnsi="仿宋_GB2312" w:eastAsia="仿宋_GB2312" w:cs="仿宋_GB2312"/>
          <w:spacing w:val="6"/>
          <w:kern w:val="0"/>
          <w:sz w:val="32"/>
          <w:szCs w:val="32"/>
        </w:rPr>
        <w:t>预算管理</w:t>
      </w:r>
      <w:r>
        <w:rPr>
          <w:rFonts w:hint="eastAsia" w:ascii="仿宋_GB2312" w:hAnsi="仿宋_GB2312" w:eastAsia="仿宋_GB2312" w:cs="仿宋_GB2312"/>
          <w:spacing w:val="6"/>
          <w:kern w:val="0"/>
          <w:sz w:val="32"/>
          <w:szCs w:val="32"/>
          <w:lang w:val="en-US" w:eastAsia="zh-CN"/>
        </w:rPr>
        <w:t>，中心从预算编制环节入手，编制</w:t>
      </w:r>
      <w:r>
        <w:rPr>
          <w:rFonts w:hint="eastAsia" w:ascii="仿宋_GB2312" w:hAnsi="仿宋_GB2312" w:eastAsia="仿宋_GB2312" w:cs="仿宋_GB2312"/>
          <w:spacing w:val="6"/>
          <w:kern w:val="0"/>
          <w:sz w:val="32"/>
          <w:szCs w:val="32"/>
        </w:rPr>
        <w:t>资金预算</w:t>
      </w:r>
      <w:r>
        <w:rPr>
          <w:rFonts w:hint="eastAsia" w:ascii="仿宋_GB2312" w:hAnsi="仿宋_GB2312" w:eastAsia="仿宋_GB2312" w:cs="仿宋_GB2312"/>
          <w:spacing w:val="6"/>
          <w:kern w:val="0"/>
          <w:sz w:val="32"/>
          <w:szCs w:val="32"/>
          <w:lang w:val="en-US" w:eastAsia="zh-CN"/>
        </w:rPr>
        <w:t>必须先</w:t>
      </w:r>
      <w:r>
        <w:rPr>
          <w:rFonts w:hint="eastAsia" w:ascii="仿宋_GB2312" w:hAnsi="仿宋_GB2312" w:eastAsia="仿宋_GB2312" w:cs="仿宋_GB2312"/>
          <w:spacing w:val="6"/>
          <w:kern w:val="0"/>
          <w:sz w:val="32"/>
          <w:szCs w:val="32"/>
        </w:rPr>
        <w:t>编制</w:t>
      </w:r>
      <w:r>
        <w:rPr>
          <w:rFonts w:hint="eastAsia" w:ascii="仿宋_GB2312" w:hAnsi="仿宋_GB2312" w:eastAsia="仿宋_GB2312" w:cs="仿宋_GB2312"/>
          <w:spacing w:val="6"/>
          <w:kern w:val="0"/>
          <w:sz w:val="32"/>
          <w:szCs w:val="32"/>
          <w:lang w:val="en-US" w:eastAsia="zh-CN"/>
        </w:rPr>
        <w:t>预算绩效</w:t>
      </w:r>
      <w:r>
        <w:rPr>
          <w:rFonts w:hint="eastAsia" w:ascii="仿宋_GB2312" w:hAnsi="仿宋_GB2312" w:eastAsia="仿宋_GB2312" w:cs="仿宋_GB2312"/>
          <w:spacing w:val="6"/>
          <w:kern w:val="0"/>
          <w:sz w:val="32"/>
          <w:szCs w:val="32"/>
        </w:rPr>
        <w:t>目标</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lang w:val="en-US" w:eastAsia="zh-CN"/>
        </w:rPr>
        <w:t>做到了费用支出预算有目标，确保资金支出效益。</w:t>
      </w:r>
    </w:p>
    <w:p>
      <w:pPr>
        <w:pStyle w:val="2"/>
        <w:keepNext w:val="0"/>
        <w:keepLines w:val="0"/>
        <w:pageBreakBefore w:val="0"/>
        <w:kinsoku/>
        <w:wordWrap/>
        <w:overflowPunct/>
        <w:topLinePunct w:val="0"/>
        <w:autoSpaceDE/>
        <w:autoSpaceDN/>
        <w:bidi w:val="0"/>
        <w:adjustRightInd/>
        <w:snapToGrid/>
        <w:spacing w:line="560" w:lineRule="exact"/>
        <w:ind w:firstLine="664"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pacing w:val="6"/>
          <w:kern w:val="0"/>
          <w:sz w:val="32"/>
          <w:szCs w:val="32"/>
          <w:lang w:val="en-US" w:eastAsia="zh-CN"/>
        </w:rPr>
        <w:t>依据</w:t>
      </w:r>
      <w:r>
        <w:rPr>
          <w:rFonts w:hint="eastAsia" w:ascii="仿宋_GB2312" w:hAnsi="仿宋_GB2312" w:eastAsia="仿宋_GB2312" w:cs="仿宋_GB2312"/>
          <w:sz w:val="32"/>
          <w:szCs w:val="32"/>
          <w:lang w:eastAsia="zh-CN"/>
        </w:rPr>
        <w:t>岳阳市财政局</w:t>
      </w:r>
      <w:r>
        <w:rPr>
          <w:rFonts w:hint="eastAsia" w:ascii="仿宋_GB2312" w:hAnsi="仿宋_GB2312" w:eastAsia="仿宋_GB2312" w:cs="仿宋_GB2312"/>
          <w:sz w:val="32"/>
          <w:szCs w:val="32"/>
          <w:lang w:val="en-US" w:eastAsia="zh-CN"/>
        </w:rPr>
        <w:t>《岳阳市财政局关于开展2024年度市级预算支出绩效自评工作的通知》（岳财函〔2025〕48号）和</w:t>
      </w:r>
      <w:r>
        <w:rPr>
          <w:rFonts w:hint="eastAsia" w:ascii="仿宋_GB2312" w:hAnsi="仿宋_GB2312" w:eastAsia="仿宋_GB2312" w:cs="仿宋_GB2312"/>
          <w:sz w:val="32"/>
          <w:szCs w:val="32"/>
          <w:lang w:eastAsia="zh-CN"/>
        </w:rPr>
        <w:t>岳阳市财政局</w:t>
      </w:r>
      <w:r>
        <w:rPr>
          <w:rFonts w:hint="eastAsia" w:ascii="仿宋_GB2312" w:hAnsi="仿宋_GB2312" w:eastAsia="仿宋_GB2312" w:cs="仿宋_GB2312"/>
          <w:sz w:val="32"/>
          <w:szCs w:val="32"/>
          <w:lang w:val="en-US" w:eastAsia="zh-CN"/>
        </w:rPr>
        <w:t>《关于印发&lt;岳阳市市级预算部门绩效自评操作规程&gt;的通知》（岳财函〔2022〕209号）文件精神，结合岳阳市2024年市本级财政预算批复和2024年度预算绩效目标，中心</w:t>
      </w:r>
      <w:r>
        <w:rPr>
          <w:rFonts w:hint="eastAsia" w:ascii="仿宋_GB2312" w:hAnsi="仿宋_GB2312" w:eastAsia="仿宋_GB2312" w:cs="仿宋_GB2312"/>
          <w:spacing w:val="6"/>
          <w:kern w:val="0"/>
          <w:sz w:val="32"/>
          <w:szCs w:val="32"/>
          <w:lang w:val="en-US" w:eastAsia="zh-CN"/>
        </w:rPr>
        <w:t>于2024年10月底，组织开展了</w:t>
      </w:r>
      <w:r>
        <w:rPr>
          <w:rFonts w:hint="eastAsia" w:ascii="仿宋_GB2312" w:hAnsi="仿宋_GB2312" w:eastAsia="仿宋_GB2312" w:cs="仿宋_GB2312"/>
          <w:spacing w:val="6"/>
          <w:kern w:val="0"/>
          <w:sz w:val="32"/>
          <w:szCs w:val="32"/>
        </w:rPr>
        <w:t>预算执行监控</w:t>
      </w:r>
      <w:r>
        <w:rPr>
          <w:rFonts w:hint="eastAsia" w:ascii="仿宋_GB2312" w:hAnsi="仿宋_GB2312" w:eastAsia="仿宋_GB2312" w:cs="仿宋_GB2312"/>
          <w:spacing w:val="6"/>
          <w:kern w:val="0"/>
          <w:sz w:val="32"/>
          <w:szCs w:val="32"/>
          <w:lang w:val="en-US" w:eastAsia="zh-CN"/>
        </w:rPr>
        <w:t>工作，适时分析预算执行过程中的</w:t>
      </w:r>
      <w:r>
        <w:rPr>
          <w:rFonts w:hint="eastAsia" w:ascii="仿宋_GB2312" w:hAnsi="仿宋_GB2312" w:eastAsia="仿宋_GB2312" w:cs="仿宋_GB2312"/>
          <w:color w:val="000000"/>
          <w:sz w:val="32"/>
          <w:szCs w:val="32"/>
        </w:rPr>
        <w:t>偏差</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并制定</w:t>
      </w:r>
      <w:r>
        <w:rPr>
          <w:rFonts w:hint="eastAsia" w:ascii="仿宋_GB2312" w:hAnsi="仿宋_GB2312" w:eastAsia="仿宋_GB2312" w:cs="仿宋_GB2312"/>
          <w:color w:val="000000"/>
          <w:sz w:val="32"/>
          <w:szCs w:val="32"/>
        </w:rPr>
        <w:t>改进措施</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spacing w:val="6"/>
          <w:kern w:val="0"/>
          <w:sz w:val="32"/>
          <w:szCs w:val="32"/>
          <w:lang w:val="en-US" w:eastAsia="zh-CN"/>
        </w:rPr>
        <w:t>2025年5 月开始组织对上年经费支出进行绩效自评工作，总结分析资金支出绩效情况，真正做到了</w:t>
      </w:r>
      <w:r>
        <w:rPr>
          <w:rFonts w:hint="eastAsia" w:ascii="仿宋_GB2312" w:hAnsi="仿宋_GB2312" w:eastAsia="仿宋_GB2312" w:cs="仿宋_GB2312"/>
          <w:spacing w:val="6"/>
          <w:kern w:val="0"/>
          <w:sz w:val="32"/>
          <w:szCs w:val="32"/>
        </w:rPr>
        <w:t>预算</w:t>
      </w:r>
      <w:r>
        <w:rPr>
          <w:rFonts w:hint="eastAsia" w:ascii="仿宋_GB2312" w:hAnsi="仿宋_GB2312" w:eastAsia="仿宋_GB2312" w:cs="仿宋_GB2312"/>
          <w:spacing w:val="6"/>
          <w:kern w:val="0"/>
          <w:sz w:val="32"/>
          <w:szCs w:val="32"/>
          <w:lang w:val="en-US" w:eastAsia="zh-CN"/>
        </w:rPr>
        <w:t>执行</w:t>
      </w:r>
      <w:r>
        <w:rPr>
          <w:rFonts w:hint="eastAsia" w:ascii="仿宋_GB2312" w:hAnsi="仿宋_GB2312" w:eastAsia="仿宋_GB2312" w:cs="仿宋_GB2312"/>
          <w:spacing w:val="6"/>
          <w:kern w:val="0"/>
          <w:sz w:val="32"/>
          <w:szCs w:val="32"/>
        </w:rPr>
        <w:t>完成有评价</w:t>
      </w:r>
      <w:r>
        <w:rPr>
          <w:rFonts w:hint="eastAsia" w:ascii="仿宋_GB2312" w:hAnsi="仿宋_GB2312" w:eastAsia="仿宋_GB2312" w:cs="仿宋_GB2312"/>
          <w:spacing w:val="6"/>
          <w:kern w:val="0"/>
          <w:sz w:val="32"/>
          <w:szCs w:val="32"/>
          <w:lang w:eastAsia="zh-CN"/>
        </w:rPr>
        <w:t>，</w:t>
      </w:r>
      <w:r>
        <w:rPr>
          <w:rFonts w:hint="eastAsia" w:ascii="仿宋_GB2312" w:hAnsi="仿宋_GB2312" w:eastAsia="仿宋_GB2312" w:cs="仿宋_GB2312"/>
          <w:spacing w:val="6"/>
          <w:kern w:val="0"/>
          <w:sz w:val="32"/>
          <w:szCs w:val="32"/>
        </w:rPr>
        <w:t>使单位经济业务从事前、事中、事后得到</w:t>
      </w:r>
      <w:r>
        <w:rPr>
          <w:rFonts w:hint="eastAsia" w:ascii="仿宋_GB2312" w:hAnsi="仿宋_GB2312" w:eastAsia="仿宋_GB2312" w:cs="仿宋_GB2312"/>
          <w:spacing w:val="6"/>
          <w:kern w:val="0"/>
          <w:sz w:val="32"/>
          <w:szCs w:val="32"/>
          <w:lang w:val="en-US" w:eastAsia="zh-CN"/>
        </w:rPr>
        <w:t>了</w:t>
      </w:r>
      <w:r>
        <w:rPr>
          <w:rFonts w:hint="eastAsia" w:ascii="仿宋_GB2312" w:hAnsi="仿宋_GB2312" w:eastAsia="仿宋_GB2312" w:cs="仿宋_GB2312"/>
          <w:spacing w:val="6"/>
          <w:kern w:val="0"/>
          <w:sz w:val="32"/>
          <w:szCs w:val="32"/>
        </w:rPr>
        <w:t>有效管控</w:t>
      </w:r>
      <w:r>
        <w:rPr>
          <w:rFonts w:hint="eastAsia" w:ascii="仿宋_GB2312" w:hAnsi="仿宋_GB2312" w:eastAsia="仿宋_GB2312" w:cs="仿宋_GB2312"/>
          <w:spacing w:val="6"/>
          <w:kern w:val="0"/>
          <w:sz w:val="32"/>
          <w:szCs w:val="32"/>
          <w:lang w:eastAsia="zh-CN"/>
        </w:rPr>
        <w:t>。</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sz w:val="32"/>
          <w:szCs w:val="32"/>
          <w:lang w:val="en-US" w:eastAsia="zh-CN"/>
        </w:rPr>
        <w:t>2、</w:t>
      </w:r>
      <w:r>
        <w:rPr>
          <w:rFonts w:hint="eastAsia" w:ascii="仿宋_GB2312" w:hAnsi="仿宋_GB2312" w:eastAsia="仿宋_GB2312" w:cs="仿宋_GB2312"/>
          <w:b/>
          <w:bCs w:val="0"/>
          <w:sz w:val="32"/>
          <w:szCs w:val="32"/>
        </w:rPr>
        <w:t>资金管理</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资金使用管理严格按照《预算法》、《政府会计制度》、岳阳市财政局《关于进一步规范专项资金使用流程的通知》（岳财发〔2024〕8号）和我单位《财务管理制度》执行，资金使用合规，无截留、挪用资金等情况。</w:t>
      </w:r>
      <w:r>
        <w:rPr>
          <w:rFonts w:hint="eastAsia" w:ascii="仿宋_GB2312" w:hAnsi="仿宋_GB2312" w:eastAsia="仿宋_GB2312" w:cs="仿宋_GB2312"/>
          <w:bCs/>
          <w:sz w:val="32"/>
          <w:szCs w:val="32"/>
          <w:lang w:val="en-US" w:eastAsia="zh-CN"/>
        </w:rPr>
        <w:t>专项资金经依法批准的预算执行，按照专款专用的原则，进行日常财务管理和会计核算，配合市财政、监察和审计等部门对项目专项资金的使用和管理情况进行监督检查，并开展绩效评价工作。</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Chars="200"/>
        <w:textAlignment w:val="auto"/>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（四）政府采购管理</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bidi="ar-SA"/>
        </w:rPr>
        <w:t>我单位采购项目严格按《岳阳市预算单位政府集中采购目录及标准指引(2022版)》（岳财发〔2022〕2号）和《湖南省财政厅关于印发&lt;湖南省政府采购电子卖场管理办法&gt;的通知》（湘财购〔2019〕27号）等相关制度程序办理，2024年度</w:t>
      </w:r>
      <w:r>
        <w:rPr>
          <w:rFonts w:hint="eastAsia" w:ascii="仿宋_GB2312" w:hAnsi="仿宋_GB2312" w:eastAsia="仿宋_GB2312" w:cs="仿宋_GB2312"/>
          <w:color w:val="000000"/>
          <w:kern w:val="0"/>
          <w:sz w:val="32"/>
          <w:szCs w:val="32"/>
          <w:highlight w:val="none"/>
          <w:lang w:val="en-US" w:eastAsia="zh-CN" w:bidi="ar-SA"/>
        </w:rPr>
        <w:t>我单位政府采购目录以内及政府采购限额以上项目采购总额为</w:t>
      </w:r>
      <w:r>
        <w:rPr>
          <w:rFonts w:hint="eastAsia" w:ascii="仿宋_GB2312" w:hAnsi="仿宋_GB2312" w:eastAsia="仿宋_GB2312" w:cs="仿宋_GB2312"/>
          <w:color w:val="auto"/>
          <w:kern w:val="0"/>
          <w:sz w:val="32"/>
          <w:szCs w:val="32"/>
          <w:lang w:val="en-US" w:eastAsia="zh-CN" w:bidi="ar-SA"/>
        </w:rPr>
        <w:t>224.23</w:t>
      </w:r>
      <w:r>
        <w:rPr>
          <w:rFonts w:hint="eastAsia" w:ascii="仿宋_GB2312" w:hAnsi="仿宋_GB2312" w:eastAsia="仿宋_GB2312" w:cs="仿宋_GB2312"/>
          <w:color w:val="000000"/>
          <w:kern w:val="0"/>
          <w:sz w:val="32"/>
          <w:szCs w:val="32"/>
          <w:lang w:val="en-US" w:eastAsia="zh-CN" w:bidi="ar-SA"/>
        </w:rPr>
        <w:t>万元。</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2"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（五）固定资产和无形资产管理</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2024年初，固定资产和无形资产期初账面原值为484.49万元，本年度购置和调剂增加固定资产原值为33.61万元，报废和无偿划转处置固定资产337.35万元，处置资产主要为原枫桥湖停车场安全隐患整治报废处置管理用房和停车场硬化相关资产账面原值261.29万元，固定资产和无形资产期末账面原值为183.87万</w:t>
      </w:r>
      <w:r>
        <w:rPr>
          <w:rFonts w:hint="eastAsia" w:ascii="仿宋_GB2312" w:hAnsi="仿宋_GB2312" w:eastAsia="仿宋_GB2312" w:cs="仿宋_GB2312"/>
          <w:color w:val="000000"/>
          <w:kern w:val="0"/>
          <w:sz w:val="32"/>
          <w:szCs w:val="32"/>
          <w:lang w:val="en-US" w:eastAsia="zh-CN" w:bidi="ar-SA"/>
        </w:rPr>
        <w:t>元。固定资产和无形资产使用率为100%，无闲置固定资产和无形资产。</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000000"/>
          <w:kern w:val="0"/>
          <w:sz w:val="32"/>
          <w:szCs w:val="32"/>
          <w:lang w:val="en-US" w:eastAsia="zh-CN" w:bidi="ar-SA"/>
        </w:rPr>
        <w:t>2、根据《岳阳市市直行政事业单位2022-2025年通用资产配置标准》（岳管发</w:t>
      </w:r>
      <w:r>
        <w:rPr>
          <w:rFonts w:hint="eastAsia" w:ascii="仿宋_GB2312" w:hAnsi="仿宋_GB2312" w:eastAsia="仿宋_GB2312" w:cs="仿宋_GB2312"/>
          <w:color w:val="auto"/>
          <w:kern w:val="0"/>
          <w:sz w:val="32"/>
          <w:szCs w:val="32"/>
          <w:lang w:val="en-US" w:eastAsia="zh-CN" w:bidi="ar-SA"/>
        </w:rPr>
        <w:t>〔2022〕27号）</w:t>
      </w:r>
      <w:r>
        <w:rPr>
          <w:rFonts w:hint="eastAsia" w:ascii="仿宋_GB2312" w:hAnsi="仿宋_GB2312" w:eastAsia="仿宋_GB2312" w:cs="仿宋_GB2312"/>
          <w:color w:val="000000"/>
          <w:kern w:val="0"/>
          <w:sz w:val="32"/>
          <w:szCs w:val="32"/>
          <w:lang w:val="en-US" w:eastAsia="zh-CN" w:bidi="ar-SA"/>
        </w:rPr>
        <w:t>落实了固定资产从购置、使用、清查，到处置、交接的规范化管理，并明确了使用人职责，保障了国有资产安全，提高了国有资产的使用效率。</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3、2024年，对固定资产进行了清查盘点，保证了资产账实相符。</w:t>
      </w:r>
    </w:p>
    <w:p>
      <w:pPr>
        <w:pStyle w:val="2"/>
        <w:keepNext w:val="0"/>
        <w:keepLines w:val="0"/>
        <w:pageBreakBefore w:val="0"/>
        <w:numPr>
          <w:ilvl w:val="0"/>
          <w:numId w:val="0"/>
        </w:numPr>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bCs/>
          <w:color w:val="000000"/>
          <w:kern w:val="0"/>
          <w:sz w:val="32"/>
          <w:szCs w:val="32"/>
          <w:lang w:val="en-US" w:eastAsia="zh-CN" w:bidi="ar-SA"/>
        </w:rPr>
      </w:pPr>
      <w:r>
        <w:rPr>
          <w:rFonts w:hint="eastAsia" w:ascii="仿宋_GB2312" w:hAnsi="仿宋_GB2312" w:eastAsia="仿宋_GB2312" w:cs="仿宋_GB2312"/>
          <w:b/>
          <w:bCs/>
          <w:color w:val="000000"/>
          <w:kern w:val="0"/>
          <w:sz w:val="32"/>
          <w:szCs w:val="32"/>
          <w:lang w:val="en-US" w:eastAsia="zh-CN" w:bidi="ar-SA"/>
        </w:rPr>
        <w:t>（六）</w:t>
      </w:r>
      <w:r>
        <w:rPr>
          <w:rFonts w:hint="eastAsia" w:ascii="仿宋_GB2312" w:hAnsi="仿宋_GB2312" w:eastAsia="仿宋_GB2312" w:cs="仿宋_GB2312"/>
          <w:b/>
          <w:bCs/>
          <w:sz w:val="32"/>
          <w:szCs w:val="32"/>
          <w:highlight w:val="none"/>
          <w:lang w:val="en-US" w:eastAsia="zh-CN"/>
        </w:rPr>
        <w:t>履职效能、社会效应、可持续发展能力和服务对象满意度等方面情况</w:t>
      </w:r>
    </w:p>
    <w:p>
      <w:pPr>
        <w:pStyle w:val="4"/>
        <w:keepNext w:val="0"/>
        <w:keepLines w:val="0"/>
        <w:pageBreakBefore w:val="0"/>
        <w:widowControl w:val="0"/>
        <w:numPr>
          <w:ilvl w:val="0"/>
          <w:numId w:val="0"/>
        </w:numPr>
        <w:kinsoku/>
        <w:wordWrap/>
        <w:overflowPunct/>
        <w:topLinePunct w:val="0"/>
        <w:autoSpaceDE/>
        <w:autoSpaceDN/>
        <w:bidi w:val="0"/>
        <w:adjustRightInd/>
        <w:snapToGrid/>
        <w:spacing w:before="0" w:after="0"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highlight w:val="none"/>
          <w:lang w:val="en-US" w:eastAsia="zh-CN" w:bidi="ar-SA"/>
        </w:rPr>
        <w:t>加强停车管理工作，对违规停车行为进行宣传引导，积极挖掘停车资源，增划停车泊位，对</w:t>
      </w:r>
      <w:r>
        <w:rPr>
          <w:rFonts w:hint="eastAsia" w:ascii="仿宋_GB2312" w:hAnsi="仿宋_GB2312" w:eastAsia="仿宋_GB2312" w:cs="仿宋_GB2312"/>
          <w:color w:val="auto"/>
          <w:kern w:val="0"/>
          <w:sz w:val="32"/>
          <w:szCs w:val="32"/>
          <w:lang w:val="en-US" w:eastAsia="zh-CN" w:bidi="ar-SA"/>
        </w:rPr>
        <w:t>人行道隔离设施进行翻新和维护</w:t>
      </w:r>
      <w:r>
        <w:rPr>
          <w:rFonts w:hint="eastAsia" w:ascii="仿宋_GB2312" w:hAnsi="仿宋_GB2312" w:eastAsia="仿宋_GB2312" w:cs="仿宋_GB2312"/>
          <w:color w:val="auto"/>
          <w:kern w:val="0"/>
          <w:sz w:val="32"/>
          <w:szCs w:val="32"/>
          <w:highlight w:val="none"/>
          <w:lang w:val="en-US" w:eastAsia="zh-CN" w:bidi="ar-SA"/>
        </w:rPr>
        <w:t>。同时，在中心城区开展</w:t>
      </w:r>
      <w:r>
        <w:rPr>
          <w:rFonts w:hint="eastAsia" w:ascii="仿宋_GB2312" w:hAnsi="仿宋_GB2312" w:eastAsia="仿宋_GB2312" w:cs="仿宋_GB2312"/>
          <w:sz w:val="32"/>
          <w:szCs w:val="32"/>
          <w:lang w:val="en-US" w:eastAsia="zh-CN"/>
        </w:rPr>
        <w:t>公共区域停车场</w:t>
      </w:r>
      <w:r>
        <w:rPr>
          <w:rFonts w:hint="eastAsia" w:ascii="仿宋_GB2312" w:hAnsi="仿宋_GB2312" w:eastAsia="仿宋_GB2312" w:cs="仿宋_GB2312"/>
          <w:color w:val="auto"/>
          <w:kern w:val="0"/>
          <w:sz w:val="32"/>
          <w:szCs w:val="32"/>
          <w:highlight w:val="none"/>
          <w:lang w:val="en-US" w:eastAsia="zh-CN" w:bidi="ar-SA"/>
        </w:rPr>
        <w:t>专项整治工作，规范公共</w:t>
      </w:r>
      <w:r>
        <w:rPr>
          <w:rFonts w:hint="eastAsia" w:ascii="仿宋_GB2312" w:hAnsi="仿宋_GB2312" w:eastAsia="仿宋_GB2312" w:cs="仿宋_GB2312"/>
          <w:sz w:val="32"/>
          <w:szCs w:val="32"/>
          <w:lang w:val="en-US" w:eastAsia="zh-CN"/>
        </w:rPr>
        <w:t>区域</w:t>
      </w:r>
      <w:r>
        <w:rPr>
          <w:rFonts w:hint="eastAsia" w:ascii="仿宋_GB2312" w:hAnsi="仿宋_GB2312" w:eastAsia="仿宋_GB2312" w:cs="仿宋_GB2312"/>
          <w:color w:val="auto"/>
          <w:kern w:val="0"/>
          <w:sz w:val="32"/>
          <w:szCs w:val="32"/>
          <w:highlight w:val="none"/>
          <w:lang w:val="en-US" w:eastAsia="zh-CN" w:bidi="ar-SA"/>
        </w:rPr>
        <w:t>停车场管理</w:t>
      </w:r>
      <w:r>
        <w:rPr>
          <w:rFonts w:hint="eastAsia" w:ascii="仿宋_GB2312" w:hAnsi="仿宋_GB2312" w:eastAsia="仿宋_GB2312" w:cs="仿宋_GB2312"/>
          <w:color w:val="auto"/>
          <w:kern w:val="0"/>
          <w:sz w:val="32"/>
          <w:szCs w:val="32"/>
          <w:lang w:val="en-US" w:eastAsia="zh-CN" w:bidi="ar-SA"/>
        </w:rPr>
        <w:t>，为市民出行提供便利。随着城市车辆总量的增加，城市交通压力日益增大，加强共享电动自行车的规范管理，为市民出行提供了多样选择，打通市民出行“最后一公里”</w:t>
      </w:r>
      <w:r>
        <w:rPr>
          <w:rFonts w:hint="eastAsia" w:ascii="仿宋_GB2312" w:hAnsi="仿宋_GB2312" w:eastAsia="仿宋_GB2312" w:cs="仿宋_GB2312"/>
          <w:color w:val="auto"/>
          <w:kern w:val="0"/>
          <w:sz w:val="32"/>
          <w:szCs w:val="32"/>
          <w:highlight w:val="none"/>
          <w:lang w:val="en-US" w:eastAsia="zh-CN" w:bidi="ar-SA"/>
        </w:rPr>
        <w:t>。</w:t>
      </w:r>
      <w:r>
        <w:rPr>
          <w:rFonts w:hint="eastAsia" w:ascii="仿宋_GB2312" w:hAnsi="仿宋_GB2312" w:eastAsia="仿宋_GB2312" w:cs="仿宋_GB2312"/>
          <w:color w:val="auto"/>
          <w:kern w:val="0"/>
          <w:sz w:val="32"/>
          <w:szCs w:val="32"/>
          <w:lang w:val="en-US" w:eastAsia="zh-CN" w:bidi="ar-SA"/>
        </w:rPr>
        <w:t>宣传倡导绿色安全出行的理念，在一定程度上缓解城市交通压力，同时对节能减排，</w:t>
      </w:r>
      <w:r>
        <w:rPr>
          <w:rFonts w:hint="eastAsia" w:ascii="仿宋_GB2312" w:hAnsi="仿宋_GB2312" w:eastAsia="仿宋_GB2312" w:cs="仿宋_GB2312"/>
          <w:color w:val="auto"/>
          <w:kern w:val="0"/>
          <w:sz w:val="32"/>
          <w:szCs w:val="32"/>
          <w:highlight w:val="none"/>
          <w:lang w:val="en-US" w:eastAsia="zh-CN" w:bidi="ar-SA"/>
        </w:rPr>
        <w:t>改善环境污染起到了积极作用。</w:t>
      </w:r>
    </w:p>
    <w:p>
      <w:pPr>
        <w:keepNext w:val="0"/>
        <w:keepLines w:val="0"/>
        <w:pageBreakBefore w:val="0"/>
        <w:kinsoku/>
        <w:wordWrap/>
        <w:overflowPunct/>
        <w:topLinePunct w:val="0"/>
        <w:autoSpaceDE/>
        <w:autoSpaceDN/>
        <w:bidi w:val="0"/>
        <w:adjustRightInd/>
        <w:snapToGrid/>
        <w:spacing w:line="56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val="0"/>
          <w:sz w:val="32"/>
          <w:szCs w:val="32"/>
          <w:highlight w:val="none"/>
          <w:lang w:val="en-US" w:eastAsia="zh-CN"/>
        </w:rPr>
        <w:t>（七）运行成本和管理效率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2024年，中心</w:t>
      </w:r>
      <w:r>
        <w:rPr>
          <w:rFonts w:hint="eastAsia" w:ascii="仿宋_GB2312" w:hAnsi="仿宋_GB2312" w:eastAsia="仿宋_GB2312" w:cs="仿宋_GB2312"/>
          <w:sz w:val="32"/>
          <w:szCs w:val="32"/>
        </w:rPr>
        <w:t>认真履行本部门职能职责，</w:t>
      </w:r>
      <w:r>
        <w:rPr>
          <w:rFonts w:hint="eastAsia" w:ascii="仿宋_GB2312" w:hAnsi="仿宋_GB2312" w:eastAsia="仿宋_GB2312" w:cs="仿宋_GB2312"/>
          <w:sz w:val="32"/>
          <w:szCs w:val="32"/>
          <w:lang w:val="en-US" w:eastAsia="zh-CN"/>
        </w:rPr>
        <w:t>圆满完成了</w:t>
      </w:r>
      <w:r>
        <w:rPr>
          <w:rFonts w:hint="eastAsia" w:ascii="仿宋_GB2312" w:hAnsi="仿宋_GB2312" w:eastAsia="仿宋_GB2312" w:cs="仿宋_GB2312"/>
          <w:sz w:val="32"/>
          <w:szCs w:val="32"/>
        </w:rPr>
        <w:t>年初目标任务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本年预算支出总额为690.25万元，</w:t>
      </w:r>
      <w:r>
        <w:rPr>
          <w:rFonts w:hint="eastAsia" w:ascii="仿宋_GB2312" w:hAnsi="仿宋_GB2312" w:eastAsia="仿宋_GB2312" w:cs="仿宋_GB2312"/>
          <w:color w:val="auto"/>
          <w:kern w:val="0"/>
          <w:sz w:val="32"/>
          <w:szCs w:val="32"/>
          <w:lang w:val="en-US" w:eastAsia="zh-CN" w:bidi="ar-SA"/>
        </w:rPr>
        <w:t>实际支出总额为658.90万元，其中基本支出343.69万元（含其他资金支出9.89万元），项目支出总额为315.21万元，预算执行率为95.46%。预算成本控制较好，整体支出绩效良好，达到既定目标要求。</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jc w:val="left"/>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bCs/>
          <w:sz w:val="32"/>
          <w:szCs w:val="32"/>
          <w:lang w:val="en-US" w:eastAsia="zh-CN"/>
        </w:rPr>
        <w:t>评价结果：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评价小组依</w:t>
      </w:r>
      <w:r>
        <w:rPr>
          <w:rFonts w:hint="eastAsia" w:ascii="仿宋_GB2312" w:hAnsi="仿宋_GB2312" w:eastAsia="仿宋_GB2312" w:cs="仿宋_GB2312"/>
          <w:sz w:val="32"/>
          <w:szCs w:val="32"/>
        </w:rPr>
        <w:t>据</w:t>
      </w:r>
      <w:r>
        <w:rPr>
          <w:rFonts w:hint="eastAsia" w:ascii="仿宋_GB2312" w:hAnsi="仿宋_GB2312" w:eastAsia="仿宋_GB2312" w:cs="仿宋_GB2312"/>
          <w:sz w:val="32"/>
          <w:szCs w:val="32"/>
          <w:lang w:val="en-US" w:eastAsia="zh-CN"/>
        </w:rPr>
        <w:t>岳阳市财政局《关于印发&lt;岳阳市市级预算部门绩效自评操作规程&gt;的通知》岳财函〔2022〕209号文件规定相关</w:t>
      </w:r>
      <w:r>
        <w:rPr>
          <w:rFonts w:hint="eastAsia" w:ascii="仿宋_GB2312" w:hAnsi="仿宋_GB2312" w:eastAsia="仿宋_GB2312" w:cs="仿宋_GB2312"/>
          <w:sz w:val="32"/>
          <w:szCs w:val="32"/>
        </w:rPr>
        <w:t>评价指标</w:t>
      </w:r>
      <w:r>
        <w:rPr>
          <w:rFonts w:hint="eastAsia" w:ascii="仿宋_GB2312" w:hAnsi="仿宋_GB2312" w:eastAsia="仿宋_GB2312" w:cs="仿宋_GB2312"/>
          <w:sz w:val="32"/>
          <w:szCs w:val="32"/>
          <w:lang w:val="en-US" w:eastAsia="zh-CN"/>
        </w:rPr>
        <w:t>和标准进行了分析</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单位整体支出绩效良好，</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24</w:t>
      </w:r>
      <w:r>
        <w:rPr>
          <w:rFonts w:hint="eastAsia" w:ascii="仿宋_GB2312" w:hAnsi="仿宋_GB2312" w:eastAsia="仿宋_GB2312" w:cs="仿宋_GB2312"/>
          <w:sz w:val="32"/>
          <w:szCs w:val="32"/>
        </w:rPr>
        <w:t>年单位整体支出绩效自评得分为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9</w:t>
      </w:r>
      <w:r>
        <w:rPr>
          <w:rFonts w:hint="eastAsia" w:ascii="仿宋_GB2312" w:hAnsi="仿宋_GB2312" w:eastAsia="仿宋_GB2312" w:cs="仿宋_GB2312"/>
          <w:color w:val="auto"/>
          <w:sz w:val="32"/>
          <w:szCs w:val="32"/>
          <w:lang w:val="en-US" w:eastAsia="zh-CN"/>
        </w:rPr>
        <w:t>6.55”</w:t>
      </w:r>
      <w:r>
        <w:rPr>
          <w:rFonts w:hint="eastAsia" w:ascii="仿宋_GB2312" w:hAnsi="仿宋_GB2312" w:eastAsia="仿宋_GB2312" w:cs="仿宋_GB2312"/>
          <w:color w:val="auto"/>
          <w:sz w:val="32"/>
          <w:szCs w:val="32"/>
        </w:rPr>
        <w:t>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具体评分明细见附件二），评定等级为优秀</w:t>
      </w:r>
      <w:r>
        <w:rPr>
          <w:rFonts w:hint="eastAsia" w:ascii="仿宋_GB2312" w:hAnsi="仿宋_GB2312" w:eastAsia="仿宋_GB2312" w:cs="仿宋_GB2312"/>
          <w:sz w:val="32"/>
          <w:szCs w:val="32"/>
          <w:lang w:eastAsia="zh-CN"/>
        </w:rPr>
        <w:t>。</w:t>
      </w:r>
    </w:p>
    <w:p>
      <w:pPr>
        <w:pStyle w:val="11"/>
        <w:keepNext w:val="0"/>
        <w:keepLines w:val="0"/>
        <w:pageBreakBefore w:val="0"/>
        <w:widowControl/>
        <w:kinsoku/>
        <w:wordWrap/>
        <w:overflowPunct/>
        <w:topLinePunct w:val="0"/>
        <w:autoSpaceDE/>
        <w:autoSpaceDN/>
        <w:bidi w:val="0"/>
        <w:adjustRightInd/>
        <w:snapToGrid/>
        <w:spacing w:line="560" w:lineRule="exact"/>
        <w:ind w:left="0" w:leftChars="0" w:firstLine="642" w:firstLineChars="200"/>
        <w:jc w:val="both"/>
        <w:textAlignment w:val="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lang w:eastAsia="zh-CN"/>
        </w:rPr>
        <w:t>六</w:t>
      </w:r>
      <w:r>
        <w:rPr>
          <w:rFonts w:hint="eastAsia" w:ascii="黑体" w:hAnsi="黑体" w:eastAsia="黑体" w:cs="黑体"/>
          <w:b/>
          <w:bCs/>
          <w:color w:val="auto"/>
          <w:sz w:val="32"/>
          <w:szCs w:val="32"/>
          <w:highlight w:val="none"/>
        </w:rPr>
        <w:t>、存在的问题及原因分析</w:t>
      </w:r>
    </w:p>
    <w:p>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1、</w:t>
      </w:r>
      <w:r>
        <w:rPr>
          <w:rFonts w:hint="eastAsia" w:ascii="仿宋_GB2312" w:hAnsi="仿宋_GB2312" w:eastAsia="仿宋_GB2312" w:cs="仿宋_GB2312"/>
          <w:b w:val="0"/>
          <w:bCs w:val="0"/>
          <w:spacing w:val="9"/>
          <w:sz w:val="32"/>
          <w:szCs w:val="32"/>
          <w:shd w:val="clear" w:color="auto" w:fill="FFFFFF"/>
          <w:lang w:val="en-US" w:eastAsia="zh-CN"/>
        </w:rPr>
        <w:t>停车设施管理标准难以统一。由于停车设施的管理涉及到多个部门，管理标准难以完全统一，跨部门之间的协调比较复杂。</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SA"/>
        </w:rPr>
        <w:t>预算绩效目标中绩效指标制订细化、量化、可衡量性、以及与业务工作融合程度还有待进一步提升。主要原因工作人员对相关政策法规掌握不够全面，部门间交流沟通还有待进一步加强。</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sz w:val="32"/>
          <w:szCs w:val="32"/>
          <w:highlight w:val="none"/>
        </w:rPr>
      </w:pPr>
      <w:r>
        <w:rPr>
          <w:rFonts w:hint="eastAsia" w:ascii="黑体" w:hAnsi="黑体" w:eastAsia="黑体" w:cs="黑体"/>
          <w:b/>
          <w:bCs/>
          <w:sz w:val="32"/>
          <w:szCs w:val="32"/>
          <w:highlight w:val="none"/>
          <w:lang w:val="en-US" w:eastAsia="zh-CN"/>
        </w:rPr>
        <w:t>七、</w:t>
      </w:r>
      <w:r>
        <w:rPr>
          <w:rFonts w:hint="eastAsia" w:ascii="黑体" w:hAnsi="黑体" w:eastAsia="黑体" w:cs="黑体"/>
          <w:b/>
          <w:bCs/>
          <w:sz w:val="32"/>
          <w:szCs w:val="32"/>
          <w:highlight w:val="none"/>
        </w:rPr>
        <w:t>下一步改进措施</w:t>
      </w:r>
    </w:p>
    <w:p>
      <w:pPr>
        <w:pStyle w:val="4"/>
        <w:keepNext w:val="0"/>
        <w:keepLines w:val="0"/>
        <w:pageBreakBefore w:val="0"/>
        <w:widowControl w:val="0"/>
        <w:kinsoku/>
        <w:wordWrap/>
        <w:overflowPunct/>
        <w:topLinePunct w:val="0"/>
        <w:autoSpaceDE/>
        <w:autoSpaceDN/>
        <w:bidi w:val="0"/>
        <w:adjustRightInd/>
        <w:snapToGrid/>
        <w:spacing w:before="0" w:after="0" w:line="560" w:lineRule="exact"/>
        <w:ind w:firstLine="640" w:firstLineChars="20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1、加强部门间协调联动，制订统一的</w:t>
      </w:r>
      <w:r>
        <w:rPr>
          <w:rFonts w:hint="eastAsia" w:ascii="仿宋_GB2312" w:hAnsi="仿宋_GB2312" w:eastAsia="仿宋_GB2312" w:cs="仿宋_GB2312"/>
          <w:b w:val="0"/>
          <w:bCs w:val="0"/>
          <w:spacing w:val="9"/>
          <w:sz w:val="32"/>
          <w:szCs w:val="32"/>
          <w:shd w:val="clear" w:color="auto" w:fill="FFFFFF"/>
          <w:lang w:val="en-US" w:eastAsia="zh-CN"/>
        </w:rPr>
        <w:t>停车设施管理标准，避免因标准不统一造成的资源浪费现象发生。</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0"/>
          <w:sz w:val="32"/>
          <w:szCs w:val="32"/>
          <w:highlight w:val="none"/>
          <w:lang w:val="en-US" w:eastAsia="zh-CN" w:bidi="ar-SA"/>
        </w:rPr>
      </w:pPr>
      <w:r>
        <w:rPr>
          <w:rFonts w:hint="eastAsia" w:ascii="仿宋_GB2312" w:hAnsi="仿宋_GB2312" w:eastAsia="仿宋_GB2312" w:cs="仿宋_GB2312"/>
          <w:color w:val="auto"/>
          <w:kern w:val="0"/>
          <w:sz w:val="32"/>
          <w:szCs w:val="32"/>
          <w:lang w:val="en-US" w:eastAsia="zh-CN" w:bidi="ar-SA"/>
        </w:rPr>
        <w:t>2、</w:t>
      </w:r>
      <w:r>
        <w:rPr>
          <w:rFonts w:hint="eastAsia" w:ascii="仿宋_GB2312" w:hAnsi="仿宋_GB2312" w:eastAsia="仿宋_GB2312" w:cs="仿宋_GB2312"/>
          <w:color w:val="auto"/>
          <w:kern w:val="0"/>
          <w:sz w:val="32"/>
          <w:szCs w:val="32"/>
          <w:highlight w:val="none"/>
          <w:lang w:val="en-US" w:eastAsia="zh-CN" w:bidi="ar-SA"/>
        </w:rPr>
        <w:t>加强预算绩效管理相关业务知识培训，进一步增强预算意识和绩效意识。深入一线调查研究，了解具体业务情况，优化细化预算绩效目标的编制，深化预算绩效目标与业务工作的融合，增强预算的约束性，进一步提升单位预算支出绩效。</w:t>
      </w:r>
    </w:p>
    <w:p>
      <w:pPr>
        <w:keepNext w:val="0"/>
        <w:keepLines w:val="0"/>
        <w:pageBreakBefore w:val="0"/>
        <w:widowControl/>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b/>
          <w:bCs/>
          <w:sz w:val="32"/>
          <w:szCs w:val="32"/>
          <w:highlight w:val="none"/>
        </w:rPr>
      </w:pPr>
      <w:r>
        <w:rPr>
          <w:rFonts w:hint="eastAsia" w:ascii="黑体" w:hAnsi="黑体" w:eastAsia="黑体" w:cs="黑体"/>
          <w:b/>
          <w:bCs/>
          <w:sz w:val="32"/>
          <w:szCs w:val="32"/>
          <w:highlight w:val="none"/>
          <w:lang w:eastAsia="zh-CN"/>
        </w:rPr>
        <w:t>八</w:t>
      </w:r>
      <w:r>
        <w:rPr>
          <w:rFonts w:hint="eastAsia" w:ascii="黑体" w:hAnsi="黑体" w:eastAsia="黑体" w:cs="黑体"/>
          <w:b/>
          <w:bCs/>
          <w:sz w:val="32"/>
          <w:szCs w:val="32"/>
          <w:highlight w:val="none"/>
        </w:rPr>
        <w:t>、部门整体支出绩效自评结果拟应用和公开情况</w:t>
      </w:r>
    </w:p>
    <w:p>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val="0"/>
          <w:bCs w:val="0"/>
          <w:sz w:val="32"/>
          <w:szCs w:val="32"/>
        </w:rPr>
        <w:t>部门整体支出绩效自评结果</w:t>
      </w:r>
      <w:r>
        <w:rPr>
          <w:rFonts w:hint="eastAsia" w:ascii="仿宋_GB2312" w:hAnsi="仿宋_GB2312" w:eastAsia="仿宋_GB2312" w:cs="仿宋_GB2312"/>
          <w:b w:val="0"/>
          <w:bCs w:val="0"/>
          <w:sz w:val="32"/>
          <w:szCs w:val="32"/>
          <w:lang w:val="en-US" w:eastAsia="zh-CN"/>
        </w:rPr>
        <w:t>将作为完善我单位相关制度，改进资金管理的重要依据，同时，也将作为单位内部工作总结的参考依据。我单位的预算绩效目标、预算、决算及绩效评价等信息均按相关规定及时在市城管局门户网站进行了公开，</w:t>
      </w:r>
      <w:r>
        <w:rPr>
          <w:rFonts w:hint="eastAsia" w:ascii="仿宋_GB2312" w:hAnsi="仿宋_GB2312" w:eastAsia="仿宋_GB2312" w:cs="仿宋_GB2312"/>
          <w:kern w:val="0"/>
          <w:sz w:val="32"/>
          <w:szCs w:val="32"/>
        </w:rPr>
        <w:t>公开信息基础数据和会计信息资料准确、真实、完整</w:t>
      </w:r>
      <w:r>
        <w:rPr>
          <w:rFonts w:hint="eastAsia" w:ascii="仿宋_GB2312" w:hAnsi="仿宋_GB2312" w:eastAsia="仿宋_GB2312" w:cs="仿宋_GB2312"/>
          <w:kern w:val="0"/>
          <w:sz w:val="32"/>
          <w:szCs w:val="32"/>
          <w:lang w:eastAsia="zh-CN"/>
        </w:rPr>
        <w:t>。</w:t>
      </w:r>
    </w:p>
    <w:p>
      <w:pPr>
        <w:pStyle w:val="3"/>
        <w:keepNext w:val="0"/>
        <w:keepLines w:val="0"/>
        <w:pageBreakBefore w:val="0"/>
        <w:kinsoku/>
        <w:wordWrap/>
        <w:overflowPunct/>
        <w:topLinePunct w:val="0"/>
        <w:autoSpaceDE/>
        <w:autoSpaceDN/>
        <w:bidi w:val="0"/>
        <w:adjustRightInd/>
        <w:snapToGrid/>
        <w:spacing w:line="560" w:lineRule="exact"/>
        <w:ind w:left="0" w:leftChars="0" w:firstLine="642" w:firstLineChars="200"/>
        <w:jc w:val="left"/>
        <w:textAlignment w:val="auto"/>
        <w:rPr>
          <w:rFonts w:hint="eastAsia" w:ascii="黑体" w:hAnsi="黑体" w:eastAsia="黑体" w:cs="黑体"/>
          <w:kern w:val="0"/>
          <w:sz w:val="32"/>
          <w:szCs w:val="32"/>
          <w:lang w:eastAsia="zh-CN"/>
        </w:rPr>
      </w:pPr>
      <w:r>
        <w:rPr>
          <w:rFonts w:hint="eastAsia" w:ascii="黑体" w:hAnsi="黑体" w:eastAsia="黑体" w:cs="黑体"/>
          <w:b/>
          <w:bCs/>
          <w:sz w:val="32"/>
          <w:szCs w:val="32"/>
          <w:highlight w:val="none"/>
          <w:lang w:eastAsia="zh-CN"/>
        </w:rPr>
        <w:t>九、</w:t>
      </w:r>
      <w:r>
        <w:rPr>
          <w:rFonts w:hint="eastAsia" w:ascii="黑体" w:hAnsi="黑体" w:eastAsia="黑体" w:cs="黑体"/>
          <w:b/>
          <w:bCs/>
          <w:sz w:val="32"/>
          <w:szCs w:val="32"/>
          <w:highlight w:val="none"/>
        </w:rPr>
        <w:t>其他需要说明的情况</w:t>
      </w:r>
    </w:p>
    <w:p>
      <w:pPr>
        <w:pStyle w:val="3"/>
        <w:keepNext w:val="0"/>
        <w:keepLines w:val="0"/>
        <w:pageBreakBefore w:val="0"/>
        <w:kinsoku/>
        <w:wordWrap/>
        <w:overflowPunct/>
        <w:topLinePunct w:val="0"/>
        <w:autoSpaceDE/>
        <w:autoSpaceDN/>
        <w:bidi w:val="0"/>
        <w:adjustRightInd/>
        <w:snapToGrid/>
        <w:spacing w:line="560" w:lineRule="exact"/>
        <w:ind w:left="0" w:leftChars="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color w:val="auto"/>
          <w:sz w:val="32"/>
          <w:szCs w:val="32"/>
          <w:lang w:val="en-US" w:eastAsia="zh-CN"/>
        </w:rPr>
        <w:t>2023年底，预算一体化</w:t>
      </w:r>
      <w:r>
        <w:rPr>
          <w:rFonts w:hint="eastAsia" w:ascii="仿宋_GB2312" w:hAnsi="仿宋_GB2312" w:eastAsia="仿宋_GB2312" w:cs="仿宋_GB2312"/>
          <w:bCs/>
          <w:sz w:val="32"/>
          <w:szCs w:val="32"/>
          <w:lang w:val="en-US" w:eastAsia="zh-CN"/>
        </w:rPr>
        <w:t>系统升级，暂停资金支付业务，第四季度车辆维修及保险购置费未及时结算结转本年支付，导致本年公车运行维护经费支出总额与上年相比波动较大</w:t>
      </w:r>
      <w:r>
        <w:rPr>
          <w:rFonts w:hint="eastAsia" w:ascii="仿宋_GB2312" w:hAnsi="仿宋_GB2312" w:eastAsia="仿宋_GB2312" w:cs="仿宋_GB2312"/>
          <w:kern w:val="0"/>
          <w:sz w:val="32"/>
          <w:szCs w:val="32"/>
          <w:lang w:val="en-US" w:eastAsia="zh-CN"/>
        </w:rPr>
        <w:t>。</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附件1</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部门整体支出绩效评价基础数据表</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rPr>
        <w:t>部门整体支出绩效自评表</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560" w:lineRule="exact"/>
        <w:jc w:val="both"/>
        <w:textAlignment w:val="auto"/>
        <w:rPr>
          <w:rFonts w:hint="eastAsia" w:ascii="仿宋_GB2312" w:hAnsi="仿宋_GB2312" w:eastAsia="仿宋_GB2312" w:cs="仿宋_GB2312"/>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 xml:space="preserve">                           岳阳市停车管理服务中心    </w:t>
      </w:r>
    </w:p>
    <w:p>
      <w:pPr>
        <w:keepNext w:val="0"/>
        <w:keepLines w:val="0"/>
        <w:pageBreakBefore w:val="0"/>
        <w:widowControl w:val="0"/>
        <w:kinsoku/>
        <w:wordWrap/>
        <w:overflowPunct/>
        <w:topLinePunct w:val="0"/>
        <w:autoSpaceDE/>
        <w:autoSpaceDN/>
        <w:bidi w:val="0"/>
        <w:adjustRightInd/>
        <w:snapToGrid/>
        <w:spacing w:afterLines="0" w:line="56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2025年6月26日</w:t>
      </w:r>
    </w:p>
    <w:p>
      <w:pPr>
        <w:keepNext w:val="0"/>
        <w:keepLines w:val="0"/>
        <w:pageBreakBefore w:val="0"/>
        <w:widowControl w:val="0"/>
        <w:kinsoku/>
        <w:wordWrap/>
        <w:overflowPunct/>
        <w:topLinePunct w:val="0"/>
        <w:autoSpaceDE/>
        <w:autoSpaceDN/>
        <w:bidi w:val="0"/>
        <w:adjustRightInd/>
        <w:snapToGrid/>
        <w:spacing w:afterLines="0" w:line="560" w:lineRule="exact"/>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ascii="黑体" w:hAnsi="黑体" w:eastAsia="黑体" w:cs="黑体"/>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360" w:lineRule="auto"/>
        <w:jc w:val="both"/>
        <w:textAlignment w:val="auto"/>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eastAsia="zh-CN"/>
        </w:rPr>
        <w:t>附件</w:t>
      </w:r>
      <w:r>
        <w:rPr>
          <w:rFonts w:hint="eastAsia" w:ascii="黑体" w:hAnsi="黑体" w:eastAsia="黑体" w:cs="黑体"/>
          <w:sz w:val="32"/>
          <w:szCs w:val="32"/>
          <w:highlight w:val="none"/>
          <w:lang w:val="en-US" w:eastAsia="zh-CN"/>
        </w:rPr>
        <w:t>1</w:t>
      </w:r>
    </w:p>
    <w:p>
      <w:pPr>
        <w:spacing w:after="120" w:afterLines="50" w:line="600" w:lineRule="exact"/>
        <w:jc w:val="center"/>
        <w:rPr>
          <w:rFonts w:hint="eastAsia" w:ascii="方正小标宋简体" w:hAnsi="方正小标宋简体" w:eastAsia="方正小标宋简体" w:cs="方正小标宋简体"/>
          <w:sz w:val="36"/>
          <w:szCs w:val="36"/>
          <w:highlight w:val="none"/>
        </w:rPr>
      </w:pPr>
      <w:r>
        <w:rPr>
          <w:rFonts w:hint="eastAsia" w:ascii="方正小标宋简体" w:hAnsi="方正小标宋简体" w:eastAsia="方正小标宋简体" w:cs="方正小标宋简体"/>
          <w:sz w:val="36"/>
          <w:szCs w:val="36"/>
          <w:highlight w:val="none"/>
        </w:rPr>
        <w:t>202</w:t>
      </w:r>
      <w:r>
        <w:rPr>
          <w:rFonts w:hint="eastAsia" w:ascii="方正小标宋简体" w:hAnsi="方正小标宋简体" w:eastAsia="方正小标宋简体" w:cs="方正小标宋简体"/>
          <w:sz w:val="36"/>
          <w:szCs w:val="36"/>
          <w:highlight w:val="none"/>
          <w:lang w:val="en-US" w:eastAsia="zh-CN"/>
        </w:rPr>
        <w:t>4</w:t>
      </w:r>
      <w:r>
        <w:rPr>
          <w:rFonts w:hint="eastAsia" w:ascii="方正小标宋简体" w:hAnsi="方正小标宋简体" w:eastAsia="方正小标宋简体" w:cs="方正小标宋简体"/>
          <w:sz w:val="36"/>
          <w:szCs w:val="36"/>
          <w:highlight w:val="none"/>
        </w:rPr>
        <w:t>年度部门整体支出绩效评价基础数据表</w:t>
      </w:r>
    </w:p>
    <w:p>
      <w:pPr>
        <w:pStyle w:val="4"/>
        <w:rPr>
          <w:rFonts w:hint="eastAsia"/>
        </w:rPr>
      </w:pPr>
    </w:p>
    <w:tbl>
      <w:tblPr>
        <w:tblStyle w:val="8"/>
        <w:tblW w:w="94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54"/>
        <w:gridCol w:w="1189"/>
        <w:gridCol w:w="849"/>
        <w:gridCol w:w="1129"/>
        <w:gridCol w:w="1111"/>
        <w:gridCol w:w="992"/>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5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财政供养人员情况（人）</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编制数</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年实际在职人数</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21</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20</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rPr>
            </w:pPr>
            <w:r>
              <w:rPr>
                <w:rFonts w:hint="default" w:ascii="仿宋_GB2312" w:hAnsi="仿宋_GB2312" w:eastAsia="仿宋_GB2312" w:cs="仿宋_GB2312"/>
                <w:sz w:val="20"/>
                <w:szCs w:val="20"/>
                <w:highlight w:val="none"/>
                <w:lang w:val="en" w:eastAsia="zh-CN"/>
              </w:rPr>
              <w:t>95.24</w:t>
            </w:r>
            <w:r>
              <w:rPr>
                <w:rFonts w:hint="eastAsia" w:ascii="仿宋_GB2312" w:hAnsi="仿宋_GB2312" w:eastAsia="仿宋_GB2312" w:cs="仿宋_GB2312"/>
                <w:sz w:val="20"/>
                <w:szCs w:val="20"/>
                <w:highlight w:val="none"/>
                <w:lang w:val="en-US" w:eastAsia="zh-CN"/>
              </w:rPr>
              <w:t>%</w:t>
            </w:r>
            <w:r>
              <w:rPr>
                <w:rFonts w:hint="eastAsia" w:ascii="仿宋_GB2312" w:hAnsi="仿宋_GB2312" w:eastAsia="仿宋_GB2312" w:cs="仿宋_GB2312"/>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经费控制情况（万元）</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3</w:t>
            </w:r>
            <w:r>
              <w:rPr>
                <w:rFonts w:hint="eastAsia" w:ascii="仿宋_GB2312" w:hAnsi="仿宋_GB2312" w:eastAsia="仿宋_GB2312" w:cs="仿宋_GB2312"/>
                <w:b/>
                <w:bCs/>
                <w:sz w:val="20"/>
                <w:szCs w:val="20"/>
                <w:highlight w:val="none"/>
              </w:rPr>
              <w:t>年决算数</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年预算数</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
                <w:bCs/>
                <w:sz w:val="20"/>
                <w:szCs w:val="20"/>
                <w:highlight w:val="none"/>
              </w:rPr>
            </w:pPr>
            <w:r>
              <w:rPr>
                <w:rFonts w:hint="eastAsia" w:ascii="仿宋_GB2312" w:hAnsi="仿宋_GB2312" w:eastAsia="仿宋_GB2312" w:cs="仿宋_GB2312"/>
                <w:b/>
                <w:bCs/>
                <w:sz w:val="20"/>
                <w:szCs w:val="20"/>
                <w:highlight w:val="none"/>
              </w:rPr>
              <w:t>202</w:t>
            </w:r>
            <w:r>
              <w:rPr>
                <w:rFonts w:hint="eastAsia" w:ascii="仿宋_GB2312" w:hAnsi="仿宋_GB2312" w:eastAsia="仿宋_GB2312" w:cs="仿宋_GB2312"/>
                <w:b/>
                <w:bCs/>
                <w:sz w:val="20"/>
                <w:szCs w:val="20"/>
                <w:highlight w:val="none"/>
                <w:lang w:val="en-US" w:eastAsia="zh-CN"/>
              </w:rPr>
              <w:t>4</w:t>
            </w:r>
            <w:r>
              <w:rPr>
                <w:rFonts w:hint="eastAsia" w:ascii="仿宋_GB2312" w:hAnsi="仿宋_GB2312" w:eastAsia="仿宋_GB2312" w:cs="仿宋_GB2312"/>
                <w:b/>
                <w:bCs/>
                <w:sz w:val="20"/>
                <w:szCs w:val="20"/>
                <w:highlight w:val="none"/>
              </w:rPr>
              <w:t>年决算数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三公经费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highlight w:val="none"/>
                <w:lang w:val="en-US" w:eastAsia="zh-CN"/>
              </w:rPr>
              <w:t>6.65</w:t>
            </w:r>
            <w:r>
              <w:rPr>
                <w:rFonts w:hint="eastAsia" w:ascii="仿宋_GB2312" w:hAnsi="仿宋_GB2312" w:eastAsia="仿宋_GB2312" w:cs="仿宋_GB2312"/>
                <w:sz w:val="20"/>
                <w:szCs w:val="20"/>
                <w:highlight w:val="none"/>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20.50</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1、公务用车购置和维护经费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6.65</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20.00</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 w:eastAsia="zh-CN"/>
              </w:rPr>
            </w:pPr>
            <w:r>
              <w:rPr>
                <w:rFonts w:hint="default" w:ascii="仿宋_GB2312" w:hAnsi="仿宋_GB2312" w:eastAsia="仿宋_GB2312" w:cs="仿宋_GB2312"/>
                <w:sz w:val="20"/>
                <w:szCs w:val="20"/>
                <w:highlight w:val="none"/>
                <w:lang w:val="en" w:eastAsia="zh-CN"/>
              </w:rPr>
              <w:t>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其中：公车购置</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公车运行维护</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6.65</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20.00</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 w:eastAsia="zh-CN"/>
              </w:rPr>
            </w:pPr>
            <w:r>
              <w:rPr>
                <w:rFonts w:hint="default" w:ascii="仿宋_GB2312" w:hAnsi="仿宋_GB2312" w:eastAsia="仿宋_GB2312" w:cs="仿宋_GB2312"/>
                <w:sz w:val="20"/>
                <w:szCs w:val="20"/>
                <w:highlight w:val="none"/>
                <w:lang w:val="en" w:eastAsia="zh-CN"/>
              </w:rPr>
              <w:t>10.08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2、出国经费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 w:eastAsia="zh-CN"/>
              </w:rPr>
            </w:pPr>
            <w:r>
              <w:rPr>
                <w:rFonts w:hint="default" w:ascii="仿宋_GB2312" w:hAnsi="仿宋_GB2312" w:eastAsia="仿宋_GB2312" w:cs="仿宋_GB2312"/>
                <w:sz w:val="20"/>
                <w:szCs w:val="20"/>
                <w:highlight w:val="none"/>
                <w:lang w:val="en" w:eastAsia="zh-CN"/>
              </w:rPr>
              <w:t>0</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 w:eastAsia="zh-CN"/>
              </w:rPr>
            </w:pPr>
            <w:r>
              <w:rPr>
                <w:rFonts w:hint="default" w:ascii="仿宋_GB2312" w:hAnsi="仿宋_GB2312" w:eastAsia="仿宋_GB2312" w:cs="仿宋_GB2312"/>
                <w:sz w:val="20"/>
                <w:szCs w:val="20"/>
                <w:highlight w:val="none"/>
                <w:lang w:val="en"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3、公务接待</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0.50</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 w:eastAsia="zh-CN"/>
              </w:rPr>
            </w:pPr>
            <w:r>
              <w:rPr>
                <w:rFonts w:hint="default" w:ascii="仿宋_GB2312" w:hAnsi="仿宋_GB2312" w:eastAsia="仿宋_GB2312" w:cs="仿宋_GB2312"/>
                <w:sz w:val="20"/>
                <w:szCs w:val="20"/>
                <w:highlight w:val="none"/>
                <w:lang w:val="en"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项目支出：</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317.43</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highlight w:val="none"/>
                <w:lang w:val="en-US" w:eastAsia="zh-CN"/>
              </w:rPr>
              <w:t>330.07</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 w:eastAsia="zh-CN"/>
              </w:rPr>
            </w:pPr>
            <w:r>
              <w:rPr>
                <w:rFonts w:hint="default" w:ascii="仿宋_GB2312" w:hAnsi="仿宋_GB2312" w:eastAsia="仿宋_GB2312" w:cs="仿宋_GB2312"/>
                <w:sz w:val="20"/>
                <w:szCs w:val="20"/>
                <w:highlight w:val="none"/>
                <w:lang w:val="en" w:eastAsia="zh-CN"/>
              </w:rPr>
              <w:t>315.21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1、业务工作经费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47.10</w:t>
            </w:r>
            <w:r>
              <w:rPr>
                <w:rFonts w:hint="eastAsia" w:ascii="仿宋_GB2312" w:hAnsi="仿宋_GB2312" w:eastAsia="仿宋_GB2312" w:cs="仿宋_GB2312"/>
                <w:sz w:val="20"/>
                <w:szCs w:val="20"/>
                <w:highlight w:val="none"/>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2、运行维护经费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r>
              <w:rPr>
                <w:rFonts w:hint="eastAsia" w:ascii="仿宋_GB2312" w:hAnsi="仿宋_GB2312" w:eastAsia="仿宋_GB2312" w:cs="仿宋_GB2312"/>
                <w:sz w:val="20"/>
                <w:szCs w:val="20"/>
                <w:highlight w:val="none"/>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00" w:firstLineChars="200"/>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3、</w:t>
            </w:r>
            <w:r>
              <w:rPr>
                <w:rFonts w:hint="eastAsia" w:ascii="仿宋_GB2312" w:hAnsi="仿宋_GB2312" w:eastAsia="仿宋_GB2312" w:cs="仿宋_GB2312"/>
                <w:sz w:val="20"/>
                <w:szCs w:val="20"/>
                <w:highlight w:val="none"/>
                <w:lang w:eastAsia="zh-CN"/>
              </w:rPr>
              <w:t>市级</w:t>
            </w:r>
            <w:r>
              <w:rPr>
                <w:rFonts w:hint="eastAsia" w:ascii="仿宋_GB2312" w:hAnsi="仿宋_GB2312" w:eastAsia="仿宋_GB2312" w:cs="仿宋_GB2312"/>
                <w:sz w:val="20"/>
                <w:szCs w:val="20"/>
                <w:highlight w:val="none"/>
              </w:rPr>
              <w:t>专项资金</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270.33</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330.07</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default" w:ascii="仿宋_GB2312" w:hAnsi="仿宋_GB2312" w:eastAsia="仿宋_GB2312" w:cs="仿宋_GB2312"/>
                <w:sz w:val="20"/>
                <w:szCs w:val="20"/>
                <w:highlight w:val="none"/>
                <w:lang w:val="en" w:eastAsia="zh-CN"/>
              </w:rPr>
              <w:t>315.21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00" w:firstLineChars="200"/>
              <w:jc w:val="left"/>
              <w:textAlignment w:val="auto"/>
              <w:rPr>
                <w:rFonts w:hint="default" w:ascii="仿宋_GB2312" w:hAnsi="仿宋_GB2312" w:eastAsia="仿宋_GB2312" w:cs="仿宋_GB2312"/>
                <w:sz w:val="20"/>
                <w:szCs w:val="20"/>
                <w:highlight w:val="none"/>
                <w:lang w:val="en-US"/>
              </w:rPr>
            </w:pPr>
            <w:r>
              <w:rPr>
                <w:rFonts w:hint="eastAsia" w:ascii="仿宋_GB2312" w:hAnsi="仿宋_GB2312" w:eastAsia="仿宋_GB2312" w:cs="仿宋_GB2312"/>
                <w:sz w:val="20"/>
                <w:szCs w:val="20"/>
                <w:lang w:val="en-US" w:eastAsia="zh-CN"/>
              </w:rPr>
              <w:t>（1）慢行交通管理工作经费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lang w:val="en-US" w:eastAsia="zh-CN"/>
              </w:rPr>
              <w:t>18.02</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19.00</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00" w:firstLineChars="200"/>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（2）设施设备维护费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highlight w:val="none"/>
                <w:lang w:val="en-US" w:eastAsia="zh-CN"/>
              </w:rPr>
              <w:t>26.54</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33.46</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33.46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ind w:firstLine="400" w:firstLineChars="200"/>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（3）协管员经费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highlight w:val="none"/>
                <w:lang w:val="en-US" w:eastAsia="zh-CN"/>
              </w:rPr>
              <w:t>22.00</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22.00</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jc w:val="both"/>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（4）</w:t>
            </w:r>
            <w:r>
              <w:rPr>
                <w:rFonts w:hint="eastAsia" w:ascii="仿宋_GB2312" w:hAnsi="仿宋_GB2312" w:eastAsia="仿宋_GB2312" w:cs="仿宋_GB2312"/>
                <w:sz w:val="20"/>
                <w:szCs w:val="20"/>
                <w:highlight w:val="none"/>
                <w:lang w:val="en" w:eastAsia="zh-CN"/>
              </w:rPr>
              <w:t>城管事务经费</w:t>
            </w:r>
            <w:r>
              <w:rPr>
                <w:rFonts w:hint="eastAsia" w:ascii="仿宋_GB2312" w:hAnsi="仿宋_GB2312" w:eastAsia="仿宋_GB2312" w:cs="仿宋_GB2312"/>
                <w:sz w:val="20"/>
                <w:szCs w:val="20"/>
                <w:lang w:val="en-US" w:eastAsia="zh-CN"/>
              </w:rPr>
              <w:t>（巡查、执勤经费）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highlight w:val="none"/>
                <w:lang w:val="en-US" w:eastAsia="zh-CN"/>
              </w:rPr>
              <w:t>21.90</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24.10</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23.60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320" w:lineRule="exact"/>
              <w:ind w:left="397" w:leftChars="142" w:firstLine="0" w:firstLineChars="0"/>
              <w:jc w:val="left"/>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lang w:val="en-US" w:eastAsia="zh-CN"/>
              </w:rPr>
              <w:t>（5）执勤巡逻车辆补助（含拖车经费）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0"/>
                <w:szCs w:val="20"/>
                <w:lang w:val="en-US" w:eastAsia="zh-CN" w:bidi="ar-SA"/>
              </w:rPr>
            </w:pPr>
            <w:r>
              <w:rPr>
                <w:rFonts w:hint="eastAsia" w:ascii="仿宋_GB2312" w:hAnsi="仿宋_GB2312" w:eastAsia="仿宋_GB2312" w:cs="仿宋_GB2312"/>
                <w:sz w:val="20"/>
                <w:szCs w:val="20"/>
                <w:highlight w:val="none"/>
                <w:lang w:val="en-US" w:eastAsia="zh-CN"/>
              </w:rPr>
              <w:t>19.67</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30.33</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firstLine="400" w:firstLineChars="200"/>
              <w:jc w:val="both"/>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highlight w:val="none"/>
                <w:lang w:val="en-US" w:eastAsia="zh-CN"/>
              </w:rPr>
              <w:t>（6）办案费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94.76</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135.38</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125.39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5"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default" w:ascii="仿宋_GB2312" w:hAnsi="仿宋_GB2312" w:eastAsia="仿宋_GB2312" w:cs="仿宋_GB2312"/>
                <w:kern w:val="0"/>
                <w:sz w:val="20"/>
                <w:szCs w:val="20"/>
                <w:highlight w:val="none"/>
                <w:lang w:val="en" w:eastAsia="zh-CN" w:bidi="ar-SA"/>
              </w:rPr>
            </w:pPr>
            <w:r>
              <w:rPr>
                <w:rFonts w:hint="eastAsia" w:ascii="仿宋_GB2312" w:hAnsi="仿宋_GB2312" w:eastAsia="仿宋_GB2312" w:cs="仿宋_GB2312"/>
                <w:sz w:val="20"/>
                <w:szCs w:val="20"/>
                <w:highlight w:val="none"/>
                <w:lang w:eastAsia="zh-CN"/>
              </w:rPr>
              <w:t>（</w:t>
            </w:r>
            <w:r>
              <w:rPr>
                <w:rFonts w:hint="eastAsia" w:ascii="仿宋_GB2312" w:hAnsi="仿宋_GB2312" w:eastAsia="仿宋_GB2312" w:cs="仿宋_GB2312"/>
                <w:sz w:val="20"/>
                <w:szCs w:val="20"/>
                <w:highlight w:val="none"/>
                <w:lang w:val="en-US" w:eastAsia="zh-CN"/>
              </w:rPr>
              <w:t>7</w:t>
            </w:r>
            <w:r>
              <w:rPr>
                <w:rFonts w:hint="eastAsia" w:ascii="仿宋_GB2312" w:hAnsi="仿宋_GB2312" w:eastAsia="仿宋_GB2312" w:cs="仿宋_GB2312"/>
                <w:sz w:val="20"/>
                <w:szCs w:val="20"/>
                <w:highlight w:val="none"/>
                <w:lang w:eastAsia="zh-CN"/>
              </w:rPr>
              <w:t>）市主城区慢行系统专项规划</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0</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65.80</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65.80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240" w:lineRule="exact"/>
              <w:ind w:left="0" w:hanging="400" w:hangingChars="200"/>
              <w:jc w:val="left"/>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lang w:val="en-US" w:eastAsia="zh-CN"/>
              </w:rPr>
              <w:t xml:space="preserve">   （8）公共自行车运营公司运营管理费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sz w:val="20"/>
                <w:szCs w:val="20"/>
                <w:highlight w:val="none"/>
                <w:lang w:val="en-US" w:eastAsia="zh-CN"/>
              </w:rPr>
              <w:t>67.44</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0</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kern w:val="0"/>
                <w:sz w:val="20"/>
                <w:szCs w:val="20"/>
                <w:highlight w:val="none"/>
                <w:lang w:val="en-US" w:eastAsia="zh-CN" w:bidi="ar-SA"/>
              </w:rPr>
            </w:pPr>
            <w:r>
              <w:rPr>
                <w:rFonts w:hint="eastAsia" w:ascii="仿宋_GB2312" w:hAnsi="仿宋_GB2312" w:eastAsia="仿宋_GB2312" w:cs="仿宋_GB2312"/>
                <w:kern w:val="0"/>
                <w:sz w:val="20"/>
                <w:szCs w:val="20"/>
                <w:highlight w:val="none"/>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公用经费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32.68</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43.40</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43.40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其中：办公经费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4.00</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3.60</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default" w:ascii="仿宋_GB2312" w:hAnsi="仿宋_GB2312" w:eastAsia="仿宋_GB2312" w:cs="仿宋_GB2312"/>
                <w:color w:val="auto"/>
                <w:sz w:val="20"/>
                <w:szCs w:val="20"/>
                <w:highlight w:val="none"/>
                <w:lang w:val="en" w:eastAsia="zh-CN"/>
              </w:rPr>
              <w:t>3.6</w:t>
            </w:r>
            <w:r>
              <w:rPr>
                <w:rFonts w:hint="eastAsia" w:ascii="仿宋_GB2312" w:hAnsi="仿宋_GB2312" w:eastAsia="仿宋_GB2312" w:cs="仿宋_GB2312"/>
                <w:color w:val="auto"/>
                <w:sz w:val="20"/>
                <w:szCs w:val="20"/>
                <w:highlight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水费、电费、差旅费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5.06</w:t>
            </w:r>
            <w:r>
              <w:rPr>
                <w:rFonts w:hint="eastAsia" w:ascii="仿宋_GB2312" w:hAnsi="仿宋_GB2312" w:eastAsia="仿宋_GB2312" w:cs="仿宋_GB2312"/>
                <w:color w:val="auto"/>
                <w:sz w:val="20"/>
                <w:szCs w:val="20"/>
                <w:highlight w:val="none"/>
              </w:rPr>
              <w:t>　</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5.14</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5.14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xml:space="preserve">          会议费、培训费</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val="en-US" w:eastAsia="zh-CN"/>
              </w:rPr>
              <w:t>1.00</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1.00</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color w:val="auto"/>
                <w:sz w:val="20"/>
                <w:szCs w:val="20"/>
                <w:highlight w:val="none"/>
                <w:lang w:val="en"/>
              </w:rPr>
            </w:pPr>
            <w:r>
              <w:rPr>
                <w:rFonts w:hint="default" w:ascii="仿宋_GB2312" w:hAnsi="仿宋_GB2312" w:eastAsia="仿宋_GB2312" w:cs="仿宋_GB2312"/>
                <w:color w:val="auto"/>
                <w:sz w:val="20"/>
                <w:szCs w:val="20"/>
                <w:highlight w:val="none"/>
                <w:lang w:val="en"/>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政府采购金额</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235.46</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224.23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highlight w:val="none"/>
              </w:rPr>
              <w:t xml:space="preserve">部门基本支出预算调整 </w:t>
            </w:r>
          </w:p>
        </w:tc>
        <w:tc>
          <w:tcPr>
            <w:tcW w:w="2038"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w:t>
            </w:r>
          </w:p>
        </w:tc>
        <w:tc>
          <w:tcPr>
            <w:tcW w:w="2240"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346.56</w:t>
            </w:r>
          </w:p>
        </w:tc>
        <w:tc>
          <w:tcPr>
            <w:tcW w:w="1812" w:type="dxa"/>
            <w:gridSpan w:val="2"/>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仿宋_GB2312" w:hAnsi="仿宋_GB2312" w:eastAsia="仿宋_GB2312" w:cs="仿宋_GB2312"/>
                <w:sz w:val="20"/>
                <w:szCs w:val="20"/>
                <w:highlight w:val="none"/>
                <w:lang w:val="en"/>
              </w:rPr>
            </w:pPr>
            <w:r>
              <w:rPr>
                <w:rFonts w:hint="default" w:ascii="仿宋_GB2312" w:hAnsi="仿宋_GB2312" w:eastAsia="仿宋_GB2312" w:cs="仿宋_GB2312"/>
                <w:sz w:val="20"/>
                <w:szCs w:val="20"/>
                <w:highlight w:val="none"/>
                <w:lang w:val="en"/>
              </w:rPr>
              <w:t>343.69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jc w:val="center"/>
        </w:trPr>
        <w:tc>
          <w:tcPr>
            <w:tcW w:w="3354"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楼堂馆所控制情况</w:t>
            </w:r>
            <w:r>
              <w:rPr>
                <w:rFonts w:hint="eastAsia" w:ascii="仿宋_GB2312" w:hAnsi="仿宋_GB2312" w:eastAsia="仿宋_GB2312" w:cs="仿宋_GB2312"/>
                <w:sz w:val="20"/>
                <w:szCs w:val="20"/>
                <w:highlight w:val="none"/>
              </w:rPr>
              <w:br w:type="textWrapping"/>
            </w:r>
            <w:r>
              <w:rPr>
                <w:rFonts w:hint="eastAsia" w:ascii="仿宋_GB2312" w:hAnsi="仿宋_GB2312" w:eastAsia="仿宋_GB2312" w:cs="仿宋_GB2312"/>
                <w:sz w:val="20"/>
                <w:szCs w:val="20"/>
                <w:highlight w:val="none"/>
              </w:rPr>
              <w:t>（202</w:t>
            </w:r>
            <w:r>
              <w:rPr>
                <w:rFonts w:hint="eastAsia" w:ascii="仿宋_GB2312" w:hAnsi="仿宋_GB2312" w:eastAsia="仿宋_GB2312" w:cs="仿宋_GB2312"/>
                <w:sz w:val="20"/>
                <w:szCs w:val="20"/>
                <w:highlight w:val="none"/>
                <w:lang w:val="en-US" w:eastAsia="zh-CN"/>
              </w:rPr>
              <w:t>4</w:t>
            </w:r>
            <w:r>
              <w:rPr>
                <w:rFonts w:hint="eastAsia" w:ascii="仿宋_GB2312" w:hAnsi="仿宋_GB2312" w:eastAsia="仿宋_GB2312" w:cs="仿宋_GB2312"/>
                <w:sz w:val="20"/>
                <w:szCs w:val="20"/>
                <w:highlight w:val="none"/>
              </w:rPr>
              <w:t>年完工项目）</w:t>
            </w:r>
          </w:p>
        </w:tc>
        <w:tc>
          <w:tcPr>
            <w:tcW w:w="1189"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批复规模</w:t>
            </w:r>
            <w:r>
              <w:rPr>
                <w:rFonts w:hint="eastAsia" w:ascii="仿宋_GB2312" w:hAnsi="仿宋_GB2312" w:eastAsia="仿宋_GB2312" w:cs="仿宋_GB2312"/>
                <w:bCs/>
                <w:sz w:val="20"/>
                <w:szCs w:val="20"/>
                <w:highlight w:val="none"/>
              </w:rPr>
              <w:br w:type="textWrapping"/>
            </w:r>
            <w:r>
              <w:rPr>
                <w:rFonts w:hint="eastAsia" w:ascii="仿宋_GB2312" w:hAnsi="仿宋_GB2312" w:eastAsia="仿宋_GB2312" w:cs="仿宋_GB2312"/>
                <w:bCs/>
                <w:sz w:val="20"/>
                <w:szCs w:val="20"/>
                <w:highlight w:val="none"/>
              </w:rPr>
              <w:t>（㎡）</w:t>
            </w:r>
          </w:p>
        </w:tc>
        <w:tc>
          <w:tcPr>
            <w:tcW w:w="849"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实际规模（㎡）</w:t>
            </w:r>
          </w:p>
        </w:tc>
        <w:tc>
          <w:tcPr>
            <w:tcW w:w="1129"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规模控制率</w:t>
            </w:r>
          </w:p>
        </w:tc>
        <w:tc>
          <w:tcPr>
            <w:tcW w:w="111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预算投资（万元）</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实际投资（万元）</w:t>
            </w:r>
          </w:p>
        </w:tc>
        <w:tc>
          <w:tcPr>
            <w:tcW w:w="8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bCs/>
                <w:sz w:val="20"/>
                <w:szCs w:val="20"/>
                <w:highlight w:val="none"/>
              </w:rPr>
            </w:pPr>
            <w:r>
              <w:rPr>
                <w:rFonts w:hint="eastAsia" w:ascii="仿宋_GB2312" w:hAnsi="仿宋_GB2312" w:eastAsia="仿宋_GB2312" w:cs="仿宋_GB2312"/>
                <w:bCs/>
                <w:sz w:val="20"/>
                <w:szCs w:val="20"/>
                <w:highlight w:val="none"/>
              </w:rPr>
              <w:t>投资概算控制率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p>
        </w:tc>
        <w:tc>
          <w:tcPr>
            <w:tcW w:w="1189"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849"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　</w:t>
            </w:r>
            <w:r>
              <w:rPr>
                <w:rFonts w:hint="eastAsia" w:ascii="仿宋_GB2312" w:hAnsi="仿宋_GB2312" w:eastAsia="仿宋_GB2312" w:cs="仿宋_GB2312"/>
                <w:sz w:val="20"/>
                <w:szCs w:val="20"/>
                <w:highlight w:val="none"/>
                <w:lang w:val="en-US" w:eastAsia="zh-CN"/>
              </w:rPr>
              <w:t>0</w:t>
            </w:r>
          </w:p>
        </w:tc>
        <w:tc>
          <w:tcPr>
            <w:tcW w:w="1129"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1111"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992"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0</w:t>
            </w:r>
          </w:p>
        </w:tc>
        <w:tc>
          <w:tcPr>
            <w:tcW w:w="820"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3354" w:type="dxa"/>
            <w:noWrap w:val="0"/>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厉行节约保障措施</w:t>
            </w:r>
          </w:p>
        </w:tc>
        <w:tc>
          <w:tcPr>
            <w:tcW w:w="6090" w:type="dxa"/>
            <w:gridSpan w:val="6"/>
            <w:noWrap w:val="0"/>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sz w:val="20"/>
                <w:szCs w:val="20"/>
                <w:highlight w:val="none"/>
                <w:lang w:val="en-US" w:eastAsia="zh-CN"/>
              </w:rPr>
              <w:t xml:space="preserve">    </w:t>
            </w:r>
            <w:r>
              <w:rPr>
                <w:rFonts w:hint="eastAsia" w:ascii="仿宋_GB2312" w:hAnsi="仿宋_GB2312" w:eastAsia="仿宋_GB2312" w:cs="仿宋_GB2312"/>
                <w:color w:val="auto"/>
                <w:sz w:val="20"/>
                <w:szCs w:val="20"/>
                <w:highlight w:val="none"/>
              </w:rPr>
              <w:t>压缩“一般性财政支出”，严控“三公经费”</w:t>
            </w:r>
            <w:r>
              <w:rPr>
                <w:rFonts w:hint="eastAsia" w:ascii="仿宋_GB2312" w:hAnsi="仿宋_GB2312" w:eastAsia="仿宋_GB2312" w:cs="仿宋_GB2312"/>
                <w:color w:val="auto"/>
                <w:sz w:val="20"/>
                <w:szCs w:val="20"/>
                <w:highlight w:val="none"/>
                <w:lang w:eastAsia="zh-CN"/>
              </w:rPr>
              <w:t>，</w:t>
            </w:r>
            <w:r>
              <w:rPr>
                <w:rFonts w:hint="eastAsia" w:ascii="仿宋_GB2312" w:hAnsi="仿宋_GB2312" w:eastAsia="仿宋_GB2312" w:cs="仿宋_GB2312"/>
                <w:color w:val="auto"/>
                <w:sz w:val="20"/>
                <w:szCs w:val="20"/>
                <w:highlight w:val="none"/>
                <w:lang w:val="en-US" w:eastAsia="zh-CN"/>
              </w:rPr>
              <w:t>加强内部控制与管理以及资金支出绩效管理。具体措施有：（1）抓好食堂和公务接待领域的节约用餐。食堂建立以需供餐预测制度，提高原辅材料利用率，强化成本核算和节约管理。单位的公务活动严格执行会议、接待、培训等用餐标准，把节约理念贯穿于公务接待采购、用餐等各方面、全过程，坚决落实中央八项规定及其实施细则精神，杜绝铺张浪费现象发生，推进“光盘行动”常态化。（2）加强事前绩效管理，各项目支出采取先定事，再确定支出规模的方式，确保了资金支出绩效。</w:t>
            </w:r>
            <w:r>
              <w:rPr>
                <w:rFonts w:hint="eastAsia" w:ascii="仿宋_GB2312" w:hAnsi="仿宋_GB2312" w:eastAsia="仿宋_GB2312" w:cs="仿宋_GB2312"/>
                <w:sz w:val="20"/>
                <w:szCs w:val="20"/>
                <w:highlight w:val="none"/>
              </w:rPr>
              <w:t>　</w:t>
            </w:r>
          </w:p>
        </w:tc>
      </w:tr>
    </w:tbl>
    <w:p>
      <w:pPr>
        <w:keepNext w:val="0"/>
        <w:keepLines w:val="0"/>
        <w:pageBreakBefore w:val="0"/>
        <w:widowControl/>
        <w:kinsoku/>
        <w:wordWrap/>
        <w:overflowPunct/>
        <w:topLinePunct w:val="0"/>
        <w:autoSpaceDE/>
        <w:autoSpaceDN/>
        <w:bidi w:val="0"/>
        <w:adjustRightInd/>
        <w:snapToGrid/>
        <w:spacing w:afterLines="0" w:line="480" w:lineRule="exact"/>
        <w:jc w:val="left"/>
        <w:textAlignment w:val="auto"/>
        <w:rPr>
          <w:rFonts w:hint="default" w:ascii="Times New Roman" w:hAnsi="Times New Roman" w:eastAsia="仿宋_GB2312" w:cs="Times New Roman"/>
          <w:sz w:val="22"/>
          <w:highlight w:val="none"/>
        </w:rPr>
      </w:pPr>
    </w:p>
    <w:p>
      <w:pPr>
        <w:keepNext w:val="0"/>
        <w:keepLines w:val="0"/>
        <w:pageBreakBefore w:val="0"/>
        <w:widowControl/>
        <w:kinsoku/>
        <w:wordWrap/>
        <w:overflowPunct/>
        <w:topLinePunct w:val="0"/>
        <w:autoSpaceDE/>
        <w:autoSpaceDN/>
        <w:bidi w:val="0"/>
        <w:adjustRightInd/>
        <w:snapToGrid/>
        <w:spacing w:after="0" w:afterLines="0" w:line="480" w:lineRule="exact"/>
        <w:jc w:val="left"/>
        <w:textAlignment w:val="auto"/>
        <w:rPr>
          <w:rFonts w:hint="eastAsia" w:ascii="黑体" w:hAnsi="黑体" w:eastAsia="黑体" w:cs="黑体"/>
          <w:sz w:val="32"/>
          <w:szCs w:val="32"/>
          <w:highlight w:val="none"/>
          <w:lang w:eastAsia="zh-CN"/>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val="en-US" w:eastAsia="zh-CN"/>
        </w:rPr>
        <w:t>龙邓</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填报日期：</w:t>
      </w:r>
      <w:r>
        <w:rPr>
          <w:rFonts w:hint="eastAsia" w:ascii="仿宋_GB2312" w:hAnsi="仿宋_GB2312" w:eastAsia="仿宋_GB2312" w:cs="仿宋_GB2312"/>
          <w:sz w:val="22"/>
          <w:highlight w:val="none"/>
          <w:lang w:val="en-US" w:eastAsia="zh-CN"/>
        </w:rPr>
        <w:t>2025.6.26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8220516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val="en-US" w:eastAsia="zh-CN"/>
        </w:rPr>
        <w:t>何志军</w:t>
      </w:r>
      <w:r>
        <w:rPr>
          <w:rFonts w:hint="eastAsia" w:ascii="仿宋_GB2312" w:hAnsi="仿宋_GB2312" w:eastAsia="仿宋_GB2312" w:cs="仿宋_GB2312"/>
          <w:sz w:val="22"/>
          <w:highlight w:val="none"/>
        </w:rPr>
        <w:br w:type="page"/>
      </w: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2</w:t>
      </w:r>
    </w:p>
    <w:p>
      <w:pPr>
        <w:widowControl/>
        <w:spacing w:after="120" w:afterLines="50"/>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年度部门整体支出绩效自评表</w:t>
      </w:r>
    </w:p>
    <w:tbl>
      <w:tblPr>
        <w:tblStyle w:val="8"/>
        <w:tblW w:w="9947" w:type="dxa"/>
        <w:jc w:val="center"/>
        <w:tblLayout w:type="fixed"/>
        <w:tblCellMar>
          <w:top w:w="0" w:type="dxa"/>
          <w:left w:w="108" w:type="dxa"/>
          <w:bottom w:w="0" w:type="dxa"/>
          <w:right w:w="108" w:type="dxa"/>
        </w:tblCellMar>
      </w:tblPr>
      <w:tblGrid>
        <w:gridCol w:w="1080"/>
        <w:gridCol w:w="1080"/>
        <w:gridCol w:w="1034"/>
        <w:gridCol w:w="1428"/>
        <w:gridCol w:w="1221"/>
        <w:gridCol w:w="1225"/>
        <w:gridCol w:w="725"/>
        <w:gridCol w:w="888"/>
        <w:gridCol w:w="1266"/>
      </w:tblGrid>
      <w:tr>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市</w:t>
            </w:r>
            <w:r>
              <w:rPr>
                <w:rFonts w:hint="eastAsia" w:ascii="仿宋_GB2312" w:hAnsi="仿宋_GB2312" w:eastAsia="仿宋_GB2312" w:cs="仿宋_GB2312"/>
                <w:color w:val="000000"/>
                <w:sz w:val="20"/>
                <w:szCs w:val="20"/>
                <w:highlight w:val="none"/>
              </w:rPr>
              <w:t>级预算部门名称</w:t>
            </w:r>
          </w:p>
        </w:tc>
        <w:tc>
          <w:tcPr>
            <w:tcW w:w="8867"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岳阳市停车管理服务中心</w:t>
            </w:r>
            <w:r>
              <w:rPr>
                <w:rFonts w:hint="eastAsia" w:ascii="仿宋_GB2312" w:hAnsi="仿宋_GB2312" w:eastAsia="仿宋_GB2312" w:cs="仿宋_GB2312"/>
                <w:color w:val="000000"/>
                <w:sz w:val="20"/>
                <w:szCs w:val="20"/>
                <w:highlight w:val="none"/>
              </w:rPr>
              <w:t>　</w:t>
            </w:r>
          </w:p>
        </w:tc>
      </w:tr>
      <w:tr>
        <w:trPr>
          <w:trHeight w:val="265" w:hRule="atLeast"/>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年度预</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算申请</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14"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p>
        </w:tc>
        <w:tc>
          <w:tcPr>
            <w:tcW w:w="14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年初预算数</w:t>
            </w:r>
          </w:p>
        </w:tc>
        <w:tc>
          <w:tcPr>
            <w:tcW w:w="122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全年预算数</w:t>
            </w:r>
          </w:p>
        </w:tc>
        <w:tc>
          <w:tcPr>
            <w:tcW w:w="122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全年执行数</w:t>
            </w:r>
          </w:p>
        </w:tc>
        <w:tc>
          <w:tcPr>
            <w:tcW w:w="72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rPr>
          <w:jc w:val="center"/>
        </w:trPr>
        <w:tc>
          <w:tcPr>
            <w:tcW w:w="1080" w:type="dxa"/>
            <w:vMerge w:val="continue"/>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2114" w:type="dxa"/>
            <w:gridSpan w:val="2"/>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000000"/>
                <w:sz w:val="20"/>
                <w:szCs w:val="20"/>
                <w:highlight w:val="none"/>
              </w:rPr>
              <w:t>年度资金总额</w:t>
            </w:r>
          </w:p>
        </w:tc>
        <w:tc>
          <w:tcPr>
            <w:tcW w:w="14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513.93</w:t>
            </w:r>
          </w:p>
        </w:tc>
        <w:tc>
          <w:tcPr>
            <w:tcW w:w="122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690.25</w:t>
            </w:r>
          </w:p>
        </w:tc>
        <w:tc>
          <w:tcPr>
            <w:tcW w:w="122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658.90</w:t>
            </w:r>
          </w:p>
        </w:tc>
        <w:tc>
          <w:tcPr>
            <w:tcW w:w="725"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10</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95.46%</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lang w:val="en-US" w:eastAsia="zh-CN"/>
              </w:rPr>
              <w:t>9.55</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4763"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按收入性质分：</w:t>
            </w:r>
          </w:p>
        </w:tc>
        <w:tc>
          <w:tcPr>
            <w:tcW w:w="4104"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按支出性质分：</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4763"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20"/>
                <w:szCs w:val="20"/>
                <w:highlight w:val="none"/>
                <w:lang w:val="en" w:eastAsia="zh-CN"/>
              </w:rPr>
            </w:pPr>
            <w:r>
              <w:rPr>
                <w:rFonts w:hint="eastAsia" w:ascii="仿宋_GB2312" w:hAnsi="仿宋_GB2312" w:eastAsia="仿宋_GB2312" w:cs="仿宋_GB2312"/>
                <w:color w:val="auto"/>
                <w:sz w:val="20"/>
                <w:szCs w:val="20"/>
                <w:highlight w:val="none"/>
              </w:rPr>
              <w:t xml:space="preserve"> </w:t>
            </w:r>
            <w:r>
              <w:rPr>
                <w:rFonts w:hint="eastAsia" w:ascii="仿宋_GB2312" w:hAnsi="仿宋_GB2312" w:eastAsia="仿宋_GB2312" w:cs="仿宋_GB2312"/>
                <w:color w:val="auto"/>
                <w:sz w:val="20"/>
                <w:szCs w:val="20"/>
                <w:highlight w:val="none"/>
                <w:lang w:val="en-US" w:eastAsia="zh-CN"/>
              </w:rPr>
              <w:t xml:space="preserve">    </w:t>
            </w:r>
            <w:r>
              <w:rPr>
                <w:rFonts w:hint="eastAsia" w:ascii="仿宋_GB2312" w:hAnsi="仿宋_GB2312" w:eastAsia="仿宋_GB2312" w:cs="仿宋_GB2312"/>
                <w:color w:val="auto"/>
                <w:sz w:val="20"/>
                <w:szCs w:val="20"/>
                <w:highlight w:val="none"/>
              </w:rPr>
              <w:t xml:space="preserve"> 其中：  一般公共预算：</w:t>
            </w:r>
            <w:r>
              <w:rPr>
                <w:rFonts w:hint="eastAsia" w:ascii="仿宋_GB2312" w:hAnsi="仿宋_GB2312" w:eastAsia="仿宋_GB2312" w:cs="仿宋_GB2312"/>
                <w:color w:val="auto"/>
                <w:sz w:val="20"/>
                <w:szCs w:val="20"/>
                <w:highlight w:val="none"/>
                <w:lang w:val="en-US" w:eastAsia="zh-CN"/>
              </w:rPr>
              <w:t>6</w:t>
            </w:r>
            <w:r>
              <w:rPr>
                <w:rFonts w:hint="eastAsia" w:ascii="仿宋_GB2312" w:hAnsi="仿宋_GB2312" w:eastAsia="仿宋_GB2312" w:cs="仿宋_GB2312"/>
                <w:color w:val="auto"/>
                <w:sz w:val="20"/>
                <w:szCs w:val="20"/>
                <w:highlight w:val="none"/>
                <w:lang w:val="en" w:eastAsia="zh-CN"/>
              </w:rPr>
              <w:t>14.56</w:t>
            </w:r>
          </w:p>
        </w:tc>
        <w:tc>
          <w:tcPr>
            <w:tcW w:w="4104"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其中：基本支出：</w:t>
            </w:r>
            <w:r>
              <w:rPr>
                <w:rFonts w:hint="eastAsia" w:ascii="仿宋_GB2312" w:hAnsi="仿宋_GB2312" w:eastAsia="仿宋_GB2312" w:cs="仿宋_GB2312"/>
                <w:color w:val="000000"/>
                <w:sz w:val="20"/>
                <w:szCs w:val="20"/>
                <w:highlight w:val="none"/>
                <w:lang w:val="en-US" w:eastAsia="zh-CN"/>
              </w:rPr>
              <w:t>343.69</w:t>
            </w:r>
          </w:p>
        </w:tc>
      </w:tr>
      <w:tr>
        <w:trPr>
          <w:trHeight w:val="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4763"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1200" w:firstLineChars="600"/>
              <w:jc w:val="left"/>
              <w:textAlignment w:val="auto"/>
              <w:rPr>
                <w:rFonts w:hint="eastAsia" w:ascii="仿宋_GB2312" w:hAnsi="仿宋_GB2312" w:eastAsia="仿宋_GB2312" w:cs="仿宋_GB2312"/>
                <w:color w:val="auto"/>
                <w:sz w:val="20"/>
                <w:szCs w:val="20"/>
                <w:highlight w:val="none"/>
                <w:lang w:val="en"/>
              </w:rPr>
            </w:pPr>
            <w:r>
              <w:rPr>
                <w:rFonts w:hint="eastAsia" w:ascii="仿宋_GB2312" w:hAnsi="仿宋_GB2312" w:eastAsia="仿宋_GB2312" w:cs="仿宋_GB2312"/>
                <w:color w:val="auto"/>
                <w:sz w:val="20"/>
                <w:szCs w:val="20"/>
                <w:highlight w:val="none"/>
              </w:rPr>
              <w:t>政府性基金拨款：</w:t>
            </w:r>
            <w:r>
              <w:rPr>
                <w:rFonts w:hint="eastAsia" w:ascii="仿宋_GB2312" w:hAnsi="仿宋_GB2312" w:eastAsia="仿宋_GB2312" w:cs="仿宋_GB2312"/>
                <w:color w:val="auto"/>
                <w:sz w:val="20"/>
                <w:szCs w:val="20"/>
                <w:highlight w:val="none"/>
                <w:lang w:val="en"/>
              </w:rPr>
              <w:t>65.80</w:t>
            </w:r>
          </w:p>
        </w:tc>
        <w:tc>
          <w:tcPr>
            <w:tcW w:w="4104"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600" w:firstLineChars="3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项目支出：</w:t>
            </w:r>
            <w:r>
              <w:rPr>
                <w:rFonts w:hint="eastAsia" w:ascii="仿宋_GB2312" w:hAnsi="仿宋_GB2312" w:eastAsia="仿宋_GB2312" w:cs="仿宋_GB2312"/>
                <w:color w:val="000000"/>
                <w:sz w:val="20"/>
                <w:szCs w:val="20"/>
                <w:highlight w:val="none"/>
                <w:lang w:val="en-US" w:eastAsia="zh-CN"/>
              </w:rPr>
              <w:t>315.21</w:t>
            </w:r>
          </w:p>
        </w:tc>
      </w:tr>
      <w:tr>
        <w:trPr>
          <w:trHeight w:val="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4763"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纳入专户管理的非税收入拨款：</w:t>
            </w:r>
          </w:p>
        </w:tc>
        <w:tc>
          <w:tcPr>
            <w:tcW w:w="4104"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trPr>
          <w:trHeight w:val="225" w:hRule="atLeast"/>
          <w:jc w:val="center"/>
        </w:trPr>
        <w:tc>
          <w:tcPr>
            <w:tcW w:w="1080" w:type="dxa"/>
            <w:vMerge w:val="continue"/>
            <w:tcBorders>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4763"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1800" w:firstLineChars="900"/>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color w:val="auto"/>
                <w:sz w:val="20"/>
                <w:szCs w:val="20"/>
                <w:highlight w:val="none"/>
              </w:rPr>
              <w:t>其他资金：</w:t>
            </w:r>
            <w:r>
              <w:rPr>
                <w:rFonts w:hint="eastAsia" w:ascii="仿宋_GB2312" w:hAnsi="仿宋_GB2312" w:eastAsia="仿宋_GB2312" w:cs="仿宋_GB2312"/>
                <w:color w:val="auto"/>
                <w:sz w:val="20"/>
                <w:szCs w:val="20"/>
                <w:highlight w:val="none"/>
                <w:lang w:val="en-US" w:eastAsia="zh-CN"/>
              </w:rPr>
              <w:t>9.89</w:t>
            </w:r>
          </w:p>
        </w:tc>
        <w:tc>
          <w:tcPr>
            <w:tcW w:w="4104" w:type="dxa"/>
            <w:gridSpan w:val="4"/>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763"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10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4763"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目标1：加强中心城区人行道停车管理，及时录入人行道违停车辆信息，改善停车秩序，保障人行道畅通;</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目标2：挖掘城区停车潜力，督促市直临街机关事业单位停车场对外开放，缓解市民停车“难”; </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目标3：安装维护中心城区人行道停车辅助设施，保障其处于良好的使用状态; </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目标4：加大绿色出行宣传，提出慢行交通建设建议，确保绿色出行安全，加强行业监管考评。                                                                                                                                                                         　　</w:t>
            </w:r>
          </w:p>
        </w:tc>
        <w:tc>
          <w:tcPr>
            <w:tcW w:w="410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目标1：</w:t>
            </w:r>
            <w:r>
              <w:rPr>
                <w:rFonts w:hint="eastAsia" w:ascii="仿宋_GB2312" w:hAnsi="仿宋_GB2312" w:eastAsia="仿宋_GB2312" w:cs="仿宋_GB2312"/>
                <w:color w:val="000000"/>
                <w:sz w:val="20"/>
                <w:szCs w:val="20"/>
                <w:highlight w:val="none"/>
                <w:lang w:eastAsia="zh-CN"/>
              </w:rPr>
              <w:t>加大了</w:t>
            </w:r>
            <w:r>
              <w:rPr>
                <w:rFonts w:hint="eastAsia" w:ascii="仿宋_GB2312" w:hAnsi="仿宋_GB2312" w:eastAsia="仿宋_GB2312" w:cs="仿宋_GB2312"/>
                <w:color w:val="000000"/>
                <w:sz w:val="20"/>
                <w:szCs w:val="20"/>
                <w:highlight w:val="none"/>
              </w:rPr>
              <w:t>中心城区人行道停车管理，人行道违停车辆信息录入及时，改善</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停车秩序，保障人行道畅通;</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目标2：挖掘</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城区停车潜力，督促市直临街机关事业单位停车场</w:t>
            </w:r>
            <w:r>
              <w:rPr>
                <w:rFonts w:hint="eastAsia" w:ascii="仿宋_GB2312" w:hAnsi="仿宋_GB2312" w:eastAsia="仿宋_GB2312" w:cs="仿宋_GB2312"/>
                <w:color w:val="000000"/>
                <w:sz w:val="20"/>
                <w:szCs w:val="20"/>
                <w:highlight w:val="none"/>
                <w:lang w:eastAsia="zh-CN"/>
              </w:rPr>
              <w:t>正常</w:t>
            </w:r>
            <w:r>
              <w:rPr>
                <w:rFonts w:hint="eastAsia" w:ascii="仿宋_GB2312" w:hAnsi="仿宋_GB2312" w:eastAsia="仿宋_GB2312" w:cs="仿宋_GB2312"/>
                <w:color w:val="000000"/>
                <w:sz w:val="20"/>
                <w:szCs w:val="20"/>
                <w:highlight w:val="none"/>
              </w:rPr>
              <w:t>对外开放，</w:t>
            </w:r>
            <w:r>
              <w:rPr>
                <w:rFonts w:hint="eastAsia" w:ascii="仿宋_GB2312" w:hAnsi="仿宋_GB2312" w:eastAsia="仿宋_GB2312" w:cs="仿宋_GB2312"/>
                <w:color w:val="000000"/>
                <w:sz w:val="20"/>
                <w:szCs w:val="20"/>
                <w:highlight w:val="none"/>
                <w:lang w:eastAsia="zh-CN"/>
              </w:rPr>
              <w:t>有效</w:t>
            </w:r>
            <w:r>
              <w:rPr>
                <w:rFonts w:hint="eastAsia" w:ascii="仿宋_GB2312" w:hAnsi="仿宋_GB2312" w:eastAsia="仿宋_GB2312" w:cs="仿宋_GB2312"/>
                <w:color w:val="000000"/>
                <w:sz w:val="20"/>
                <w:szCs w:val="20"/>
                <w:highlight w:val="none"/>
              </w:rPr>
              <w:t>缓解</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 xml:space="preserve">市民停车“难”; </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目标3：</w:t>
            </w:r>
            <w:r>
              <w:rPr>
                <w:rFonts w:hint="eastAsia" w:ascii="仿宋_GB2312" w:hAnsi="仿宋_GB2312" w:eastAsia="仿宋_GB2312" w:cs="仿宋_GB2312"/>
                <w:color w:val="000000"/>
                <w:sz w:val="20"/>
                <w:szCs w:val="20"/>
                <w:highlight w:val="none"/>
                <w:lang w:eastAsia="zh-CN"/>
              </w:rPr>
              <w:t>及时维护了</w:t>
            </w:r>
            <w:r>
              <w:rPr>
                <w:rFonts w:hint="eastAsia" w:ascii="仿宋_GB2312" w:hAnsi="仿宋_GB2312" w:eastAsia="仿宋_GB2312" w:cs="仿宋_GB2312"/>
                <w:color w:val="000000"/>
                <w:sz w:val="20"/>
                <w:szCs w:val="20"/>
                <w:highlight w:val="none"/>
              </w:rPr>
              <w:t xml:space="preserve">中心城区人行道停车辅助设施，保障其处于良好的使用状态; </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目标4：加大</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绿色</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安全出行宣传，</w:t>
            </w:r>
            <w:r>
              <w:rPr>
                <w:rFonts w:hint="eastAsia" w:ascii="仿宋_GB2312" w:hAnsi="仿宋_GB2312" w:eastAsia="仿宋_GB2312" w:cs="仿宋_GB2312"/>
                <w:color w:val="000000"/>
                <w:sz w:val="20"/>
                <w:szCs w:val="20"/>
                <w:highlight w:val="none"/>
                <w:lang w:eastAsia="zh-CN"/>
              </w:rPr>
              <w:t>并</w:t>
            </w:r>
            <w:r>
              <w:rPr>
                <w:rFonts w:hint="eastAsia" w:ascii="仿宋_GB2312" w:hAnsi="仿宋_GB2312" w:eastAsia="仿宋_GB2312" w:cs="仿宋_GB2312"/>
                <w:color w:val="000000"/>
                <w:sz w:val="20"/>
                <w:szCs w:val="20"/>
                <w:highlight w:val="none"/>
              </w:rPr>
              <w:t>提出慢行交通建设建议，加</w:t>
            </w:r>
            <w:r>
              <w:rPr>
                <w:rFonts w:hint="eastAsia" w:ascii="仿宋_GB2312" w:hAnsi="仿宋_GB2312" w:eastAsia="仿宋_GB2312" w:cs="仿宋_GB2312"/>
                <w:color w:val="000000"/>
                <w:sz w:val="20"/>
                <w:szCs w:val="20"/>
                <w:highlight w:val="none"/>
                <w:lang w:eastAsia="zh-CN"/>
              </w:rPr>
              <w:t>大了</w:t>
            </w:r>
            <w:r>
              <w:rPr>
                <w:rFonts w:hint="eastAsia" w:ascii="仿宋_GB2312" w:hAnsi="仿宋_GB2312" w:eastAsia="仿宋_GB2312" w:cs="仿宋_GB2312"/>
                <w:color w:val="000000"/>
                <w:sz w:val="20"/>
                <w:szCs w:val="20"/>
                <w:highlight w:val="none"/>
              </w:rPr>
              <w:t xml:space="preserve">行业监管考评。          </w:t>
            </w:r>
          </w:p>
        </w:tc>
      </w:tr>
      <w:tr>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4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22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年度指标值</w:t>
            </w:r>
          </w:p>
        </w:tc>
        <w:tc>
          <w:tcPr>
            <w:tcW w:w="12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实际完成值</w:t>
            </w:r>
          </w:p>
        </w:tc>
        <w:tc>
          <w:tcPr>
            <w:tcW w:w="7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开展倡导绿色出行宣传工作</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2次</w:t>
            </w:r>
          </w:p>
        </w:tc>
        <w:tc>
          <w:tcPr>
            <w:tcW w:w="7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学习其他地区先进的慢行交通管理工作经验</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≥2</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2次</w:t>
            </w:r>
          </w:p>
        </w:tc>
        <w:tc>
          <w:tcPr>
            <w:tcW w:w="7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trHeight w:val="612"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拖车</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次/台/天</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次/台/天</w:t>
            </w:r>
          </w:p>
        </w:tc>
        <w:tc>
          <w:tcPr>
            <w:tcW w:w="7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僵尸车、广告车集中整治</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2次</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2次</w:t>
            </w:r>
          </w:p>
        </w:tc>
        <w:tc>
          <w:tcPr>
            <w:tcW w:w="7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trPr>
          <w:trHeight w:val="638"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摩托车</w:t>
            </w:r>
            <w:r>
              <w:rPr>
                <w:rFonts w:hint="eastAsia" w:ascii="仿宋_GB2312" w:hAnsi="仿宋_GB2312" w:eastAsia="仿宋_GB2312" w:cs="仿宋_GB2312"/>
                <w:color w:val="000000"/>
                <w:sz w:val="20"/>
                <w:szCs w:val="20"/>
                <w:highlight w:val="none"/>
              </w:rPr>
              <w:t>运行</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次/台/天</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次/台/天</w:t>
            </w:r>
          </w:p>
        </w:tc>
        <w:tc>
          <w:tcPr>
            <w:tcW w:w="7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有固定协管队伍</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5人</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5人</w:t>
            </w:r>
          </w:p>
        </w:tc>
        <w:tc>
          <w:tcPr>
            <w:tcW w:w="7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法律法规、文明执法、作风纪律等</w:t>
            </w:r>
            <w:r>
              <w:rPr>
                <w:rFonts w:hint="eastAsia" w:ascii="仿宋_GB2312" w:hAnsi="仿宋_GB2312" w:eastAsia="仿宋_GB2312" w:cs="仿宋_GB2312"/>
                <w:color w:val="000000"/>
                <w:sz w:val="20"/>
                <w:szCs w:val="20"/>
                <w:highlight w:val="none"/>
                <w:lang w:val="en-US" w:eastAsia="zh-CN"/>
              </w:rPr>
              <w:t>培训</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1次</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1次</w:t>
            </w:r>
          </w:p>
        </w:tc>
        <w:tc>
          <w:tcPr>
            <w:tcW w:w="7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trPr>
          <w:trHeight w:val="1054"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协管员</w:t>
            </w:r>
            <w:r>
              <w:rPr>
                <w:rFonts w:hint="eastAsia" w:ascii="仿宋_GB2312" w:hAnsi="仿宋_GB2312" w:eastAsia="仿宋_GB2312" w:cs="仿宋_GB2312"/>
                <w:color w:val="000000"/>
                <w:sz w:val="20"/>
                <w:szCs w:val="20"/>
                <w:highlight w:val="none"/>
              </w:rPr>
              <w:t>业务考核</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2次</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2次</w:t>
            </w:r>
          </w:p>
        </w:tc>
        <w:tc>
          <w:tcPr>
            <w:tcW w:w="7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CESI仿宋-GB2312" w:hAnsi="CESI仿宋-GB2312" w:eastAsia="CESI仿宋-GB2312" w:cs="CESI仿宋-GB2312"/>
                <w:color w:val="000000"/>
                <w:sz w:val="20"/>
                <w:szCs w:val="20"/>
                <w:highlight w:val="none"/>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违停车辆信息录入</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4万台次</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1.88万台次</w:t>
            </w:r>
          </w:p>
        </w:tc>
        <w:tc>
          <w:tcPr>
            <w:tcW w:w="7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p>
        </w:tc>
        <w:tc>
          <w:tcPr>
            <w:tcW w:w="12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重大政策调整，部门需建立车辆管理信息平台，加强停车秩序管理。</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CESI仿宋-GB2312" w:hAnsi="CESI仿宋-GB2312" w:eastAsia="CESI仿宋-GB2312" w:cs="CESI仿宋-GB2312"/>
                <w:color w:val="000000"/>
                <w:sz w:val="20"/>
                <w:szCs w:val="20"/>
                <w:highlight w:val="none"/>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市直临街机关事业单位停车场对外开放</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48家</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48家正常对外开放</w:t>
            </w:r>
          </w:p>
        </w:tc>
        <w:tc>
          <w:tcPr>
            <w:tcW w:w="7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2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CESI仿宋-GB2312" w:hAnsi="CESI仿宋-GB2312" w:eastAsia="CESI仿宋-GB2312" w:cs="CESI仿宋-GB2312"/>
                <w:color w:val="000000"/>
                <w:sz w:val="20"/>
                <w:szCs w:val="20"/>
                <w:highlight w:val="none"/>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共享电动自行车运营管理考评考核</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6次/年以上</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12次</w:t>
            </w:r>
          </w:p>
        </w:tc>
        <w:tc>
          <w:tcPr>
            <w:tcW w:w="7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trPr>
          <w:trHeight w:val="622"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CESI仿宋-GB2312" w:hAnsi="CESI仿宋-GB2312" w:eastAsia="CESI仿宋-GB2312" w:cs="CESI仿宋-GB2312"/>
                <w:color w:val="000000"/>
                <w:sz w:val="20"/>
                <w:szCs w:val="20"/>
                <w:highlight w:val="none"/>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停车管理考评</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2次/月</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2次/月</w:t>
            </w:r>
          </w:p>
        </w:tc>
        <w:tc>
          <w:tcPr>
            <w:tcW w:w="7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CESI仿宋-GB2312" w:hAnsi="CESI仿宋-GB2312" w:eastAsia="CESI仿宋-GB2312" w:cs="CESI仿宋-GB2312"/>
                <w:color w:val="000000"/>
                <w:sz w:val="20"/>
                <w:szCs w:val="20"/>
                <w:highlight w:val="none"/>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维护人行道公共停车泊位</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lang w:val="en" w:eastAsia="zh-CN"/>
              </w:rPr>
              <w:t>20</w:t>
            </w:r>
            <w:r>
              <w:rPr>
                <w:rFonts w:hint="eastAsia" w:ascii="仿宋_GB2312" w:hAnsi="仿宋_GB2312" w:eastAsia="仿宋_GB2312" w:cs="仿宋_GB2312"/>
                <w:color w:val="000000"/>
                <w:sz w:val="20"/>
                <w:szCs w:val="20"/>
                <w:highlight w:val="none"/>
                <w:lang w:val="en-US" w:eastAsia="zh-CN"/>
              </w:rPr>
              <w:t>00个</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lang w:val="en" w:eastAsia="zh-CN"/>
              </w:rPr>
              <w:t>20</w:t>
            </w:r>
            <w:r>
              <w:rPr>
                <w:rFonts w:hint="eastAsia" w:ascii="仿宋_GB2312" w:hAnsi="仿宋_GB2312" w:eastAsia="仿宋_GB2312" w:cs="仿宋_GB2312"/>
                <w:color w:val="000000"/>
                <w:sz w:val="20"/>
                <w:szCs w:val="20"/>
                <w:highlight w:val="none"/>
                <w:lang w:val="en-US" w:eastAsia="zh-CN"/>
              </w:rPr>
              <w:t>00个</w:t>
            </w:r>
          </w:p>
        </w:tc>
        <w:tc>
          <w:tcPr>
            <w:tcW w:w="7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CESI仿宋-GB2312" w:hAnsi="CESI仿宋-GB2312" w:eastAsia="CESI仿宋-GB2312" w:cs="CESI仿宋-GB2312"/>
                <w:color w:val="000000"/>
                <w:sz w:val="20"/>
                <w:szCs w:val="20"/>
                <w:highlight w:val="none"/>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维护及安装隔离桩</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 w:eastAsia="zh-CN"/>
              </w:rPr>
              <w:t>约</w:t>
            </w:r>
            <w:r>
              <w:rPr>
                <w:rFonts w:hint="eastAsia" w:ascii="仿宋_GB2312" w:hAnsi="仿宋_GB2312" w:eastAsia="仿宋_GB2312" w:cs="仿宋_GB2312"/>
                <w:color w:val="000000"/>
                <w:sz w:val="20"/>
                <w:szCs w:val="20"/>
                <w:highlight w:val="none"/>
                <w:lang w:val="en-US" w:eastAsia="zh-CN"/>
              </w:rPr>
              <w:t>600个</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lang w:val="en" w:eastAsia="zh-CN"/>
              </w:rPr>
              <w:t>约</w:t>
            </w:r>
            <w:r>
              <w:rPr>
                <w:rFonts w:hint="eastAsia" w:ascii="仿宋_GB2312" w:hAnsi="仿宋_GB2312" w:eastAsia="仿宋_GB2312" w:cs="仿宋_GB2312"/>
                <w:color w:val="000000"/>
                <w:sz w:val="20"/>
                <w:szCs w:val="20"/>
                <w:highlight w:val="none"/>
                <w:lang w:val="en-US" w:eastAsia="zh-CN"/>
              </w:rPr>
              <w:t>600个</w:t>
            </w:r>
          </w:p>
        </w:tc>
        <w:tc>
          <w:tcPr>
            <w:tcW w:w="7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CESI仿宋-GB2312" w:hAnsi="CESI仿宋-GB2312" w:eastAsia="CESI仿宋-GB2312" w:cs="CESI仿宋-GB2312"/>
                <w:color w:val="000000"/>
                <w:sz w:val="20"/>
                <w:szCs w:val="20"/>
                <w:highlight w:val="none"/>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维护及安装停车栏杆</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lang w:val="en" w:eastAsia="zh-CN"/>
              </w:rPr>
              <w:t>约</w:t>
            </w:r>
            <w:r>
              <w:rPr>
                <w:rFonts w:hint="eastAsia" w:ascii="仿宋_GB2312" w:hAnsi="仿宋_GB2312" w:eastAsia="仿宋_GB2312" w:cs="仿宋_GB2312"/>
                <w:color w:val="000000"/>
                <w:sz w:val="20"/>
                <w:szCs w:val="20"/>
                <w:highlight w:val="none"/>
                <w:lang w:val="en"/>
              </w:rPr>
              <w:t>70</w:t>
            </w:r>
            <w:r>
              <w:rPr>
                <w:rFonts w:hint="eastAsia" w:ascii="仿宋_GB2312" w:hAnsi="仿宋_GB2312" w:eastAsia="仿宋_GB2312" w:cs="仿宋_GB2312"/>
                <w:color w:val="000000"/>
                <w:sz w:val="20"/>
                <w:szCs w:val="20"/>
                <w:highlight w:val="none"/>
                <w:lang w:val="en-US" w:eastAsia="zh-CN"/>
              </w:rPr>
              <w:t>0</w:t>
            </w:r>
            <w:r>
              <w:rPr>
                <w:rFonts w:hint="eastAsia" w:ascii="仿宋_GB2312" w:hAnsi="仿宋_GB2312" w:eastAsia="仿宋_GB2312" w:cs="仿宋_GB2312"/>
                <w:color w:val="000000"/>
                <w:sz w:val="20"/>
                <w:szCs w:val="20"/>
                <w:highlight w:val="none"/>
                <w:lang w:val="en" w:eastAsia="zh-CN"/>
              </w:rPr>
              <w:t>米</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 w:eastAsia="zh-CN"/>
              </w:rPr>
              <w:t>约</w:t>
            </w:r>
            <w:r>
              <w:rPr>
                <w:rFonts w:hint="eastAsia" w:ascii="仿宋_GB2312" w:hAnsi="仿宋_GB2312" w:eastAsia="仿宋_GB2312" w:cs="仿宋_GB2312"/>
                <w:color w:val="000000"/>
                <w:sz w:val="20"/>
                <w:szCs w:val="20"/>
                <w:highlight w:val="none"/>
                <w:lang w:val="en"/>
              </w:rPr>
              <w:t>70</w:t>
            </w:r>
            <w:r>
              <w:rPr>
                <w:rFonts w:hint="eastAsia" w:ascii="仿宋_GB2312" w:hAnsi="仿宋_GB2312" w:eastAsia="仿宋_GB2312" w:cs="仿宋_GB2312"/>
                <w:color w:val="000000"/>
                <w:sz w:val="20"/>
                <w:szCs w:val="20"/>
                <w:highlight w:val="none"/>
                <w:lang w:val="en-US" w:eastAsia="zh-CN"/>
              </w:rPr>
              <w:t>0</w:t>
            </w:r>
            <w:r>
              <w:rPr>
                <w:rFonts w:hint="eastAsia" w:ascii="仿宋_GB2312" w:hAnsi="仿宋_GB2312" w:eastAsia="仿宋_GB2312" w:cs="仿宋_GB2312"/>
                <w:color w:val="000000"/>
                <w:sz w:val="20"/>
                <w:szCs w:val="20"/>
                <w:highlight w:val="none"/>
                <w:lang w:val="en" w:eastAsia="zh-CN"/>
              </w:rPr>
              <w:t>米</w:t>
            </w:r>
          </w:p>
        </w:tc>
        <w:tc>
          <w:tcPr>
            <w:tcW w:w="7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共享电动自行车网点设置</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合理规划共享电动车网点</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共享电动自行车网点设置</w:t>
            </w:r>
            <w:r>
              <w:rPr>
                <w:rFonts w:hint="eastAsia" w:ascii="仿宋_GB2312" w:hAnsi="仿宋_GB2312" w:eastAsia="仿宋_GB2312" w:cs="仿宋_GB2312"/>
                <w:color w:val="000000"/>
                <w:sz w:val="20"/>
                <w:szCs w:val="20"/>
                <w:highlight w:val="none"/>
                <w:lang w:eastAsia="zh-CN"/>
              </w:rPr>
              <w:t>合理</w:t>
            </w:r>
          </w:p>
        </w:tc>
        <w:tc>
          <w:tcPr>
            <w:tcW w:w="7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停车管理文明规范</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无违规投诉</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无违规投诉</w:t>
            </w:r>
          </w:p>
        </w:tc>
        <w:tc>
          <w:tcPr>
            <w:tcW w:w="7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trPr>
          <w:trHeight w:val="61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违停车辆信息录入准确</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97%以上</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99.8%以上</w:t>
            </w:r>
          </w:p>
        </w:tc>
        <w:tc>
          <w:tcPr>
            <w:tcW w:w="7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trPr>
          <w:trHeight w:val="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34"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4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人行道停车设施设备维护质量</w:t>
            </w:r>
          </w:p>
        </w:tc>
        <w:tc>
          <w:tcPr>
            <w:tcW w:w="122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符合相关规定</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均</w:t>
            </w:r>
            <w:r>
              <w:rPr>
                <w:rFonts w:hint="eastAsia" w:ascii="仿宋_GB2312" w:hAnsi="仿宋_GB2312" w:eastAsia="仿宋_GB2312" w:cs="仿宋_GB2312"/>
                <w:color w:val="000000"/>
                <w:sz w:val="20"/>
                <w:szCs w:val="20"/>
                <w:highlight w:val="none"/>
              </w:rPr>
              <w:t>符合相关规定</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按年度工作计划实施</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2024年12月31日前</w:t>
            </w:r>
          </w:p>
        </w:tc>
        <w:tc>
          <w:tcPr>
            <w:tcW w:w="12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均按时完成</w:t>
            </w:r>
            <w:r>
              <w:rPr>
                <w:rFonts w:hint="eastAsia" w:ascii="仿宋_GB2312" w:hAnsi="仿宋_GB2312" w:eastAsia="仿宋_GB2312" w:cs="仿宋_GB2312"/>
                <w:color w:val="000000"/>
                <w:sz w:val="20"/>
                <w:szCs w:val="20"/>
                <w:highlight w:val="none"/>
                <w:lang w:val="en-US" w:eastAsia="zh-CN"/>
              </w:rPr>
              <w:t xml:space="preserve"> </w:t>
            </w:r>
          </w:p>
        </w:tc>
        <w:tc>
          <w:tcPr>
            <w:tcW w:w="7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2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违停车辆信息录入</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符合相关法律法规要求</w:t>
            </w:r>
          </w:p>
        </w:tc>
        <w:tc>
          <w:tcPr>
            <w:tcW w:w="12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均符合相关法律法规要求</w:t>
            </w:r>
          </w:p>
        </w:tc>
        <w:tc>
          <w:tcPr>
            <w:tcW w:w="7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投诉处置时效</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投诉在72小时内处置回复</w:t>
            </w:r>
          </w:p>
        </w:tc>
        <w:tc>
          <w:tcPr>
            <w:tcW w:w="12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均在规定时间内完成</w:t>
            </w:r>
          </w:p>
        </w:tc>
        <w:tc>
          <w:tcPr>
            <w:tcW w:w="7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auto"/>
                <w:sz w:val="20"/>
                <w:szCs w:val="20"/>
                <w:highlight w:val="none"/>
              </w:rPr>
            </w:pPr>
            <w:r>
              <w:rPr>
                <w:rFonts w:hint="eastAsia" w:ascii="仿宋_GB2312" w:hAnsi="仿宋_GB2312" w:eastAsia="仿宋_GB2312" w:cs="仿宋_GB2312"/>
                <w:color w:val="auto"/>
                <w:sz w:val="20"/>
                <w:szCs w:val="20"/>
                <w:highlight w:val="none"/>
              </w:rPr>
              <w:t>不超过年</w:t>
            </w:r>
            <w:r>
              <w:rPr>
                <w:rFonts w:hint="eastAsia" w:ascii="仿宋_GB2312" w:hAnsi="仿宋_GB2312" w:eastAsia="仿宋_GB2312" w:cs="仿宋_GB2312"/>
                <w:color w:val="auto"/>
                <w:sz w:val="20"/>
                <w:szCs w:val="20"/>
                <w:highlight w:val="none"/>
                <w:lang w:val="en-US" w:eastAsia="zh-CN"/>
              </w:rPr>
              <w:t>度</w:t>
            </w:r>
            <w:r>
              <w:rPr>
                <w:rFonts w:hint="eastAsia" w:ascii="仿宋_GB2312" w:hAnsi="仿宋_GB2312" w:eastAsia="仿宋_GB2312" w:cs="仿宋_GB2312"/>
                <w:color w:val="auto"/>
                <w:sz w:val="20"/>
                <w:szCs w:val="20"/>
                <w:highlight w:val="none"/>
              </w:rPr>
              <w:t>预算</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auto"/>
                <w:sz w:val="20"/>
                <w:szCs w:val="20"/>
                <w:highlight w:val="none"/>
                <w:lang w:val="en-US" w:eastAsia="zh-CN"/>
              </w:rPr>
            </w:pPr>
            <w:r>
              <w:rPr>
                <w:rFonts w:hint="eastAsia" w:ascii="仿宋_GB2312" w:hAnsi="仿宋_GB2312" w:eastAsia="仿宋_GB2312" w:cs="仿宋_GB2312"/>
                <w:sz w:val="20"/>
                <w:szCs w:val="20"/>
                <w:highlight w:val="none"/>
                <w:lang w:val="en-US" w:eastAsia="zh-CN"/>
              </w:rPr>
              <w:t>690.25</w:t>
            </w:r>
            <w:r>
              <w:rPr>
                <w:rFonts w:hint="eastAsia" w:ascii="仿宋_GB2312" w:hAnsi="仿宋_GB2312" w:eastAsia="仿宋_GB2312" w:cs="仿宋_GB2312"/>
                <w:color w:val="auto"/>
                <w:sz w:val="20"/>
                <w:szCs w:val="20"/>
                <w:highlight w:val="none"/>
                <w:lang w:val="en-US" w:eastAsia="zh-CN"/>
              </w:rPr>
              <w:t>万元</w:t>
            </w:r>
          </w:p>
        </w:tc>
        <w:tc>
          <w:tcPr>
            <w:tcW w:w="12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658.90万元</w:t>
            </w:r>
          </w:p>
        </w:tc>
        <w:tc>
          <w:tcPr>
            <w:tcW w:w="7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trHeight w:val="91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是否对自然生态环境造成负面影响</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2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7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trHeight w:val="13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CESI仿宋-GB2312" w:hAnsi="CESI仿宋-GB2312" w:eastAsia="CESI仿宋-GB2312" w:cs="CESI仿宋-GB2312"/>
                <w:color w:val="000000"/>
                <w:sz w:val="20"/>
                <w:szCs w:val="20"/>
                <w:highlight w:val="none"/>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是否对社会发展造成负面影响</w:t>
            </w:r>
          </w:p>
        </w:tc>
        <w:tc>
          <w:tcPr>
            <w:tcW w:w="122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2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7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产生一定的</w:t>
            </w:r>
            <w:r>
              <w:rPr>
                <w:rFonts w:hint="eastAsia" w:ascii="仿宋_GB2312" w:hAnsi="仿宋_GB2312" w:eastAsia="仿宋_GB2312" w:cs="仿宋_GB2312"/>
                <w:color w:val="000000"/>
                <w:sz w:val="20"/>
                <w:szCs w:val="20"/>
                <w:highlight w:val="none"/>
              </w:rPr>
              <w:t>罚没收入</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完成年度非税收入征收计划</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FF0000"/>
                <w:sz w:val="20"/>
                <w:szCs w:val="20"/>
                <w:highlight w:val="none"/>
              </w:rPr>
              <w:t>　</w:t>
            </w:r>
            <w:r>
              <w:rPr>
                <w:rFonts w:hint="eastAsia" w:ascii="仿宋_GB2312" w:hAnsi="仿宋_GB2312" w:eastAsia="仿宋_GB2312" w:cs="仿宋_GB2312"/>
                <w:color w:val="auto"/>
                <w:sz w:val="20"/>
                <w:szCs w:val="20"/>
                <w:highlight w:val="none"/>
                <w:lang w:eastAsia="zh-CN"/>
              </w:rPr>
              <w:t>未完成</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8"/>
                <w:szCs w:val="18"/>
                <w:highlight w:val="none"/>
                <w:lang w:eastAsia="zh-CN"/>
              </w:rPr>
              <w:t>重大政策调整，部门需建立车辆管理信息平台，加强停车秩序管理。</w:t>
            </w:r>
          </w:p>
        </w:tc>
      </w:tr>
      <w:tr>
        <w:trPr>
          <w:trHeight w:val="134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城区人行道停车设施设备完好情况</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设施设备处于良好状态，市民停车便利。</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设施设备处于良好状态，</w:t>
            </w:r>
            <w:r>
              <w:rPr>
                <w:rFonts w:hint="eastAsia" w:ascii="仿宋_GB2312" w:hAnsi="仿宋_GB2312" w:eastAsia="仿宋_GB2312" w:cs="仿宋_GB2312"/>
                <w:color w:val="000000"/>
                <w:sz w:val="20"/>
                <w:szCs w:val="20"/>
                <w:highlight w:val="none"/>
                <w:lang w:eastAsia="zh-CN"/>
              </w:rPr>
              <w:t>方便了</w:t>
            </w:r>
            <w:r>
              <w:rPr>
                <w:rFonts w:hint="eastAsia" w:ascii="仿宋_GB2312" w:hAnsi="仿宋_GB2312" w:eastAsia="仿宋_GB2312" w:cs="仿宋_GB2312"/>
                <w:color w:val="000000"/>
                <w:sz w:val="20"/>
                <w:szCs w:val="20"/>
                <w:highlight w:val="none"/>
              </w:rPr>
              <w:t>市民</w:t>
            </w:r>
            <w:r>
              <w:rPr>
                <w:rFonts w:hint="eastAsia" w:ascii="仿宋_GB2312" w:hAnsi="仿宋_GB2312" w:eastAsia="仿宋_GB2312" w:cs="仿宋_GB2312"/>
                <w:color w:val="000000"/>
                <w:sz w:val="20"/>
                <w:szCs w:val="20"/>
                <w:highlight w:val="none"/>
                <w:lang w:eastAsia="zh-CN"/>
              </w:rPr>
              <w:t>出行</w:t>
            </w:r>
            <w:r>
              <w:rPr>
                <w:rFonts w:hint="eastAsia" w:ascii="仿宋_GB2312" w:hAnsi="仿宋_GB2312" w:eastAsia="仿宋_GB2312" w:cs="仿宋_GB2312"/>
                <w:color w:val="000000"/>
                <w:sz w:val="20"/>
                <w:szCs w:val="20"/>
                <w:highlight w:val="none"/>
              </w:rPr>
              <w:t>。</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6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城区人行道停车秩序管理</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城区人行道停车秩序良好，市民出行便利</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城区人行道停车秩序良好，市民出行便利</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为市民出行提供便利</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解决市民出行“最后一公里”</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有效解决了市民出行“最后一公里”</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缓解城市交通压力</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提供</w:t>
            </w:r>
            <w:r>
              <w:rPr>
                <w:rFonts w:hint="eastAsia" w:ascii="仿宋_GB2312" w:hAnsi="仿宋_GB2312" w:eastAsia="仿宋_GB2312" w:cs="仿宋_GB2312"/>
                <w:color w:val="000000"/>
                <w:sz w:val="20"/>
                <w:szCs w:val="20"/>
                <w:highlight w:val="none"/>
              </w:rPr>
              <w:t>多样化的出行方式</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缓解交通压力</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提供了</w:t>
            </w:r>
            <w:r>
              <w:rPr>
                <w:rFonts w:hint="eastAsia" w:ascii="仿宋_GB2312" w:hAnsi="仿宋_GB2312" w:eastAsia="仿宋_GB2312" w:cs="仿宋_GB2312"/>
                <w:color w:val="000000"/>
                <w:sz w:val="20"/>
                <w:szCs w:val="20"/>
                <w:highlight w:val="none"/>
              </w:rPr>
              <w:t>多样化的出行方式</w:t>
            </w:r>
            <w:r>
              <w:rPr>
                <w:rFonts w:hint="eastAsia" w:ascii="仿宋_GB2312" w:hAnsi="仿宋_GB2312" w:eastAsia="仿宋_GB2312" w:cs="仿宋_GB2312"/>
                <w:color w:val="000000"/>
                <w:sz w:val="20"/>
                <w:szCs w:val="20"/>
                <w:highlight w:val="none"/>
                <w:lang w:eastAsia="zh-CN"/>
              </w:rPr>
              <w:t>，有效</w:t>
            </w:r>
            <w:r>
              <w:rPr>
                <w:rFonts w:hint="eastAsia" w:ascii="仿宋_GB2312" w:hAnsi="仿宋_GB2312" w:eastAsia="仿宋_GB2312" w:cs="仿宋_GB2312"/>
                <w:color w:val="000000"/>
                <w:sz w:val="20"/>
                <w:szCs w:val="20"/>
                <w:highlight w:val="none"/>
              </w:rPr>
              <w:t>缓解</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交通压力</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p>
        </w:tc>
      </w:tr>
      <w:tr>
        <w:trPr>
          <w:trHeight w:val="1257"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人行道停车设施规范、美观</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人行道停车秩序良好，城市整体形象提升</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城市整体形象提升</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ind w:firstLine="200" w:firstLineChars="1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34"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节能减排，助力提升环保。</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调节城市空气质量，改善城市生态环境</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改善</w:t>
            </w:r>
            <w:r>
              <w:rPr>
                <w:rFonts w:hint="eastAsia" w:ascii="仿宋_GB2312" w:hAnsi="仿宋_GB2312" w:eastAsia="仿宋_GB2312" w:cs="仿宋_GB2312"/>
                <w:color w:val="000000"/>
                <w:sz w:val="20"/>
                <w:szCs w:val="20"/>
                <w:highlight w:val="none"/>
                <w:lang w:eastAsia="zh-CN"/>
              </w:rPr>
              <w:t>了城市</w:t>
            </w:r>
            <w:r>
              <w:rPr>
                <w:rFonts w:hint="eastAsia" w:ascii="仿宋_GB2312" w:hAnsi="仿宋_GB2312" w:eastAsia="仿宋_GB2312" w:cs="仿宋_GB2312"/>
                <w:color w:val="000000"/>
                <w:sz w:val="20"/>
                <w:szCs w:val="20"/>
                <w:highlight w:val="none"/>
              </w:rPr>
              <w:t>生态环境</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trHeight w:val="29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4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中心城区停车秩序良好，提供多样化的出行交通工具，节能减排，缓解交通压力。</w:t>
            </w:r>
          </w:p>
        </w:tc>
        <w:tc>
          <w:tcPr>
            <w:tcW w:w="122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城区停车秩序良好，提供多样化的出行交通工具，节能减排，缓解交通压力。</w:t>
            </w:r>
          </w:p>
        </w:tc>
        <w:tc>
          <w:tcPr>
            <w:tcW w:w="12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提供</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多样化的出行交通工具，</w:t>
            </w:r>
            <w:r>
              <w:rPr>
                <w:rFonts w:hint="eastAsia" w:ascii="仿宋_GB2312" w:hAnsi="仿宋_GB2312" w:eastAsia="仿宋_GB2312" w:cs="仿宋_GB2312"/>
                <w:color w:val="000000"/>
                <w:sz w:val="20"/>
                <w:szCs w:val="20"/>
                <w:highlight w:val="none"/>
                <w:lang w:eastAsia="zh-CN"/>
              </w:rPr>
              <w:t>助力了</w:t>
            </w:r>
            <w:r>
              <w:rPr>
                <w:rFonts w:hint="eastAsia" w:ascii="仿宋_GB2312" w:hAnsi="仿宋_GB2312" w:eastAsia="仿宋_GB2312" w:cs="仿宋_GB2312"/>
                <w:color w:val="000000"/>
                <w:sz w:val="20"/>
                <w:szCs w:val="20"/>
                <w:highlight w:val="none"/>
              </w:rPr>
              <w:t>节能减排，缓解</w:t>
            </w:r>
            <w:r>
              <w:rPr>
                <w:rFonts w:hint="eastAsia" w:ascii="仿宋_GB2312" w:hAnsi="仿宋_GB2312" w:eastAsia="仿宋_GB2312" w:cs="仿宋_GB2312"/>
                <w:color w:val="000000"/>
                <w:sz w:val="20"/>
                <w:szCs w:val="20"/>
                <w:highlight w:val="none"/>
                <w:lang w:eastAsia="zh-CN"/>
              </w:rPr>
              <w:t>了城市</w:t>
            </w:r>
            <w:r>
              <w:rPr>
                <w:rFonts w:hint="eastAsia" w:ascii="仿宋_GB2312" w:hAnsi="仿宋_GB2312" w:eastAsia="仿宋_GB2312" w:cs="仿宋_GB2312"/>
                <w:color w:val="000000"/>
                <w:sz w:val="20"/>
                <w:szCs w:val="20"/>
                <w:highlight w:val="none"/>
              </w:rPr>
              <w:t>交通压力。</w:t>
            </w:r>
          </w:p>
        </w:tc>
        <w:tc>
          <w:tcPr>
            <w:tcW w:w="72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26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trHeight w:val="330"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34"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4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市民满意</w:t>
            </w:r>
          </w:p>
        </w:tc>
        <w:tc>
          <w:tcPr>
            <w:tcW w:w="1221"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95%以上</w:t>
            </w:r>
          </w:p>
        </w:tc>
        <w:tc>
          <w:tcPr>
            <w:tcW w:w="12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72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8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trHeight w:val="520" w:hRule="atLeast"/>
          <w:jc w:val="center"/>
        </w:trPr>
        <w:tc>
          <w:tcPr>
            <w:tcW w:w="7068"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2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8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96.55</w:t>
            </w:r>
          </w:p>
        </w:tc>
        <w:tc>
          <w:tcPr>
            <w:tcW w:w="126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eastAsia" w:ascii="仿宋_GB2312" w:hAnsi="仿宋_GB2312" w:eastAsia="仿宋_GB2312" w:cs="仿宋_GB2312"/>
          <w:sz w:val="22"/>
          <w:highlight w:val="none"/>
        </w:rPr>
      </w:pPr>
    </w:p>
    <w:p>
      <w:pPr>
        <w:keepNext w:val="0"/>
        <w:keepLines w:val="0"/>
        <w:pageBreakBefore w:val="0"/>
        <w:widowControl/>
        <w:kinsoku/>
        <w:wordWrap/>
        <w:overflowPunct/>
        <w:topLinePunct w:val="0"/>
        <w:autoSpaceDE/>
        <w:autoSpaceDN/>
        <w:bidi w:val="0"/>
        <w:adjustRightInd/>
        <w:snapToGrid/>
        <w:spacing w:line="280" w:lineRule="exact"/>
        <w:jc w:val="left"/>
        <w:textAlignment w:val="auto"/>
        <w:rPr>
          <w:rFonts w:hint="default" w:ascii="Times New Roman" w:hAnsi="Times New Roman" w:eastAsia="仿宋_GB2312" w:cs="Times New Roman"/>
          <w:sz w:val="22"/>
          <w:szCs w:val="22"/>
          <w:highlight w:val="none"/>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val="en-US" w:eastAsia="zh-CN"/>
        </w:rPr>
        <w:t>龙邓</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填报日期：</w:t>
      </w:r>
      <w:r>
        <w:rPr>
          <w:rFonts w:hint="eastAsia" w:ascii="仿宋_GB2312" w:hAnsi="仿宋_GB2312" w:eastAsia="仿宋_GB2312" w:cs="仿宋_GB2312"/>
          <w:sz w:val="22"/>
          <w:highlight w:val="none"/>
          <w:lang w:val="en-US" w:eastAsia="zh-CN"/>
        </w:rPr>
        <w:t>202</w:t>
      </w:r>
      <w:r>
        <w:rPr>
          <w:rFonts w:hint="eastAsia" w:ascii="仿宋_GB2312" w:hAnsi="仿宋_GB2312" w:eastAsia="仿宋_GB2312" w:cs="仿宋_GB2312"/>
          <w:sz w:val="22"/>
          <w:highlight w:val="none"/>
          <w:lang w:val="en" w:eastAsia="zh-CN"/>
        </w:rPr>
        <w:t>5</w:t>
      </w:r>
      <w:r>
        <w:rPr>
          <w:rFonts w:hint="eastAsia" w:ascii="仿宋_GB2312" w:hAnsi="仿宋_GB2312" w:eastAsia="仿宋_GB2312" w:cs="仿宋_GB2312"/>
          <w:sz w:val="22"/>
          <w:highlight w:val="none"/>
          <w:lang w:val="en-US" w:eastAsia="zh-CN"/>
        </w:rPr>
        <w:t>.6.2</w:t>
      </w:r>
      <w:r>
        <w:rPr>
          <w:rFonts w:hint="eastAsia" w:ascii="仿宋_GB2312" w:hAnsi="仿宋_GB2312" w:eastAsia="仿宋_GB2312" w:cs="仿宋_GB2312"/>
          <w:sz w:val="22"/>
          <w:highlight w:val="none"/>
          <w:lang w:val="en" w:eastAsia="zh-CN"/>
        </w:rPr>
        <w:t>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8220516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val="en-US" w:eastAsia="zh-CN"/>
        </w:rPr>
        <w:t>何志军</w:t>
      </w:r>
      <w:r>
        <w:rPr>
          <w:rFonts w:hint="eastAsia" w:ascii="仿宋_GB2312" w:hAnsi="仿宋_GB2312" w:eastAsia="仿宋_GB2312" w:cs="仿宋_GB2312"/>
          <w:sz w:val="22"/>
          <w:highlight w:val="none"/>
        </w:rPr>
        <w:br w:type="page"/>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sz w:val="44"/>
          <w:szCs w:val="44"/>
          <w:highlight w:val="none"/>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sz w:val="44"/>
          <w:szCs w:val="44"/>
          <w:highlight w:val="none"/>
        </w:rPr>
      </w:pP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Theme="majorEastAsia" w:hAnsiTheme="majorEastAsia" w:eastAsiaTheme="majorEastAsia" w:cstheme="majorEastAsia"/>
          <w:b/>
          <w:bCs/>
          <w:sz w:val="44"/>
          <w:szCs w:val="44"/>
          <w:highlight w:val="none"/>
          <w:u w:val="none"/>
          <w:lang w:val="en-US" w:eastAsia="zh-CN"/>
        </w:rPr>
      </w:pPr>
      <w:r>
        <w:rPr>
          <w:rFonts w:hint="eastAsia" w:asciiTheme="majorEastAsia" w:hAnsiTheme="majorEastAsia" w:eastAsiaTheme="majorEastAsia" w:cstheme="majorEastAsia"/>
          <w:b/>
          <w:bCs/>
          <w:sz w:val="44"/>
          <w:szCs w:val="44"/>
          <w:highlight w:val="none"/>
        </w:rPr>
        <w:t>202</w:t>
      </w:r>
      <w:r>
        <w:rPr>
          <w:rFonts w:hint="eastAsia" w:asciiTheme="majorEastAsia" w:hAnsiTheme="majorEastAsia" w:eastAsiaTheme="majorEastAsia" w:cstheme="majorEastAsia"/>
          <w:b/>
          <w:bCs/>
          <w:sz w:val="44"/>
          <w:szCs w:val="44"/>
          <w:highlight w:val="none"/>
          <w:lang w:val="en-US" w:eastAsia="zh-CN"/>
        </w:rPr>
        <w:t>4</w:t>
      </w:r>
      <w:r>
        <w:rPr>
          <w:rFonts w:hint="eastAsia" w:asciiTheme="majorEastAsia" w:hAnsiTheme="majorEastAsia" w:eastAsiaTheme="majorEastAsia" w:cstheme="majorEastAsia"/>
          <w:b/>
          <w:bCs/>
          <w:sz w:val="44"/>
          <w:szCs w:val="44"/>
          <w:highlight w:val="none"/>
        </w:rPr>
        <w:t>年度</w:t>
      </w:r>
      <w:r>
        <w:rPr>
          <w:rFonts w:hint="eastAsia" w:asciiTheme="majorEastAsia" w:hAnsiTheme="majorEastAsia" w:eastAsiaTheme="majorEastAsia" w:cstheme="majorEastAsia"/>
          <w:b/>
          <w:bCs/>
          <w:sz w:val="44"/>
          <w:szCs w:val="44"/>
          <w:highlight w:val="none"/>
          <w:u w:val="none"/>
          <w:lang w:val="en-US" w:eastAsia="zh-CN"/>
        </w:rPr>
        <w:t>岳阳市停车管理服务中心</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highlight w:val="none"/>
        </w:rPr>
      </w:pPr>
      <w:r>
        <w:rPr>
          <w:rFonts w:hint="eastAsia" w:asciiTheme="majorEastAsia" w:hAnsiTheme="majorEastAsia" w:eastAsiaTheme="majorEastAsia" w:cstheme="majorEastAsia"/>
          <w:b/>
          <w:bCs/>
          <w:sz w:val="44"/>
          <w:szCs w:val="44"/>
          <w:highlight w:val="none"/>
          <w:lang w:val="en-US" w:eastAsia="zh-CN"/>
        </w:rPr>
        <w:t>项目</w:t>
      </w:r>
      <w:r>
        <w:rPr>
          <w:rFonts w:hint="eastAsia" w:asciiTheme="majorEastAsia" w:hAnsiTheme="majorEastAsia" w:eastAsiaTheme="majorEastAsia" w:cstheme="majorEastAsia"/>
          <w:b/>
          <w:bCs/>
          <w:sz w:val="44"/>
          <w:szCs w:val="44"/>
          <w:highlight w:val="none"/>
        </w:rPr>
        <w:t>支出绩效自评报告</w:t>
      </w:r>
    </w:p>
    <w:p>
      <w:pPr>
        <w:keepNext w:val="0"/>
        <w:keepLines w:val="0"/>
        <w:pageBreakBefore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32"/>
          <w:szCs w:val="32"/>
          <w:highlight w:val="none"/>
        </w:rPr>
      </w:pPr>
    </w:p>
    <w:p>
      <w:pPr>
        <w:keepNext w:val="0"/>
        <w:keepLines w:val="0"/>
        <w:pageBreakBefore w:val="0"/>
        <w:widowControl w:val="0"/>
        <w:numPr>
          <w:ilvl w:val="0"/>
          <w:numId w:val="4"/>
        </w:numPr>
        <w:kinsoku/>
        <w:wordWrap/>
        <w:overflowPunct/>
        <w:topLinePunct w:val="0"/>
        <w:autoSpaceDE/>
        <w:autoSpaceDN/>
        <w:bidi w:val="0"/>
        <w:adjustRightInd/>
        <w:snapToGrid/>
        <w:spacing w:afterLines="0" w:line="600" w:lineRule="exact"/>
        <w:ind w:right="0" w:rightChars="0" w:firstLine="642" w:firstLineChars="200"/>
        <w:jc w:val="left"/>
        <w:textAlignment w:val="auto"/>
        <w:rPr>
          <w:rFonts w:hint="eastAsia" w:ascii="黑体" w:hAnsi="黑体" w:eastAsia="黑体" w:cs="黑体"/>
          <w:b/>
          <w:bCs/>
          <w:sz w:val="32"/>
          <w:szCs w:val="32"/>
          <w:lang w:val="en" w:eastAsia="zh-CN"/>
        </w:rPr>
      </w:pPr>
      <w:r>
        <w:rPr>
          <w:rFonts w:hint="eastAsia" w:ascii="黑体" w:hAnsi="黑体" w:eastAsia="黑体" w:cs="黑体"/>
          <w:b/>
          <w:bCs/>
          <w:sz w:val="32"/>
          <w:szCs w:val="32"/>
          <w:lang w:val="en" w:eastAsia="zh-CN"/>
        </w:rPr>
        <w:t>项目基本情况</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lang w:val="en-US" w:eastAsia="zh-CN"/>
        </w:rPr>
        <w:t>（一）</w:t>
      </w:r>
      <w:r>
        <w:rPr>
          <w:rFonts w:hint="eastAsia" w:ascii="仿宋_GB2312" w:hAnsi="仿宋_GB2312" w:eastAsia="仿宋_GB2312" w:cs="仿宋_GB2312"/>
          <w:b/>
          <w:bCs/>
          <w:sz w:val="32"/>
          <w:szCs w:val="32"/>
        </w:rPr>
        <w:t>项目基本概况</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心项目主要为中心城区人行道和公共停车场停车秩序管理，以及停车辅助设施安装与维护。挖掘停车资源，增加停车泊位，对长期占用人行道公共停车泊位的“僵尸车广告车”进行清理，释放被长期占用的公共停车泊位。中心城区共享电动自行车安全运行监管，引导市民以绿色、安全、环保的方式出行，缓解中心城区交通压力等工作。</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rPr>
        <w:t>项目实施依据</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lang w:val="en"/>
        </w:rPr>
        <w:t>1</w:t>
      </w:r>
      <w:r>
        <w:rPr>
          <w:rFonts w:hint="eastAsia" w:ascii="仿宋_GB2312" w:hAnsi="仿宋_GB2312" w:eastAsia="仿宋_GB2312" w:cs="仿宋_GB2312"/>
          <w:b w:val="0"/>
          <w:bCs w:val="0"/>
          <w:sz w:val="32"/>
          <w:szCs w:val="32"/>
          <w:lang w:val="en" w:eastAsia="zh-CN"/>
        </w:rPr>
        <w:t>、</w:t>
      </w:r>
      <w:r>
        <w:rPr>
          <w:rFonts w:hint="eastAsia" w:ascii="仿宋_GB2312" w:hAnsi="仿宋_GB2312" w:eastAsia="仿宋_GB2312" w:cs="仿宋_GB2312"/>
          <w:b w:val="0"/>
          <w:bCs w:val="0"/>
          <w:sz w:val="32"/>
          <w:szCs w:val="32"/>
        </w:rPr>
        <w:t>《中华人民共和国道路交通安全法》第九十三条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 </w:t>
      </w:r>
    </w:p>
    <w:p>
      <w:pPr>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 xml:space="preserve">    2、</w:t>
      </w:r>
      <w:r>
        <w:rPr>
          <w:rFonts w:hint="eastAsia" w:ascii="仿宋_GB2312" w:hAnsi="仿宋_GB2312" w:eastAsia="仿宋_GB2312" w:cs="仿宋_GB2312"/>
          <w:b w:val="0"/>
          <w:bCs w:val="0"/>
          <w:sz w:val="32"/>
          <w:szCs w:val="32"/>
        </w:rPr>
        <w:t>《湖南省实施〈中华人民共和国道路交通安全法〉办法》第四十二条</w:t>
      </w:r>
      <w:r>
        <w:rPr>
          <w:rFonts w:hint="eastAsia" w:ascii="仿宋_GB2312" w:hAnsi="仿宋_GB2312" w:eastAsia="仿宋_GB2312" w:cs="仿宋_GB2312"/>
          <w:b w:val="0"/>
          <w:bCs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黑体" w:hAnsi="黑体" w:eastAsia="黑体" w:cs="黑体"/>
          <w:b/>
          <w:bCs/>
          <w:sz w:val="32"/>
          <w:szCs w:val="32"/>
          <w:lang w:val="en-US" w:eastAsia="zh-CN"/>
        </w:rPr>
      </w:pPr>
      <w:r>
        <w:rPr>
          <w:rFonts w:hint="eastAsia" w:ascii="黑体" w:hAnsi="黑体" w:eastAsia="黑体" w:cs="黑体"/>
          <w:b/>
          <w:bCs/>
          <w:sz w:val="32"/>
          <w:szCs w:val="32"/>
          <w:lang w:eastAsia="zh-CN"/>
        </w:rPr>
        <w:t>二、项目资金使用及管理情况</w:t>
      </w:r>
    </w:p>
    <w:p>
      <w:pPr>
        <w:keepNext w:val="0"/>
        <w:keepLines w:val="0"/>
        <w:pageBreakBefore w:val="0"/>
        <w:widowControl w:val="0"/>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rPr>
        <w:t>（一）项目资金情况分析</w:t>
      </w:r>
    </w:p>
    <w:p>
      <w:pPr>
        <w:pStyle w:val="11"/>
        <w:keepNext w:val="0"/>
        <w:keepLines w:val="0"/>
        <w:pageBreakBefore w:val="0"/>
        <w:widowControl/>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Cs/>
          <w:sz w:val="32"/>
          <w:szCs w:val="32"/>
          <w:lang w:val="en-US"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市财政预算批复</w:t>
      </w:r>
      <w:r>
        <w:rPr>
          <w:rFonts w:hint="eastAsia" w:ascii="仿宋_GB2312" w:hAnsi="仿宋_GB2312" w:eastAsia="仿宋_GB2312" w:cs="仿宋_GB2312"/>
          <w:color w:val="auto"/>
          <w:sz w:val="32"/>
          <w:szCs w:val="32"/>
          <w:lang w:val="en-US" w:eastAsia="zh-CN"/>
        </w:rPr>
        <w:t>中心</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val="en-US" w:eastAsia="zh-CN"/>
        </w:rPr>
        <w:t>经费预算总额为119.00</w:t>
      </w:r>
      <w:r>
        <w:rPr>
          <w:rFonts w:hint="eastAsia" w:ascii="仿宋_GB2312" w:hAnsi="仿宋_GB2312" w:eastAsia="仿宋_GB2312" w:cs="仿宋_GB2312"/>
          <w:color w:val="auto"/>
          <w:sz w:val="32"/>
          <w:szCs w:val="32"/>
        </w:rPr>
        <w:t>万元</w:t>
      </w:r>
      <w:r>
        <w:rPr>
          <w:rFonts w:hint="eastAsia" w:ascii="仿宋_GB2312" w:hAnsi="仿宋_GB2312" w:eastAsia="仿宋_GB2312" w:cs="仿宋_GB2312"/>
          <w:color w:val="auto"/>
          <w:sz w:val="32"/>
          <w:szCs w:val="32"/>
          <w:lang w:eastAsia="zh-CN"/>
        </w:rPr>
        <w:t>，上年项目经费结转</w:t>
      </w:r>
      <w:r>
        <w:rPr>
          <w:rFonts w:hint="eastAsia" w:ascii="仿宋_GB2312" w:hAnsi="仿宋_GB2312" w:eastAsia="仿宋_GB2312" w:cs="仿宋_GB2312"/>
          <w:color w:val="auto"/>
          <w:sz w:val="32"/>
          <w:szCs w:val="32"/>
          <w:lang w:val="en-US" w:eastAsia="zh-CN"/>
        </w:rPr>
        <w:t>65.27万元，合计184.27万元。年中项目预算总金额调整至330.07万元，实际支出总金额为315.21万元，其中</w:t>
      </w:r>
      <w:r>
        <w:rPr>
          <w:rFonts w:hint="eastAsia" w:ascii="仿宋_GB2312" w:hAnsi="仿宋_GB2312" w:eastAsia="仿宋_GB2312" w:cs="仿宋_GB2312"/>
          <w:sz w:val="32"/>
          <w:szCs w:val="32"/>
          <w:lang w:val="en-US" w:eastAsia="zh-CN"/>
        </w:rPr>
        <w:t>慢行交通管理工作经费支出18.99万元、设施设备维护费支出33.46万元、协管员经费支出22.00万元、</w:t>
      </w:r>
      <w:r>
        <w:rPr>
          <w:rFonts w:hint="eastAsia" w:ascii="仿宋_GB2312" w:hAnsi="仿宋_GB2312" w:eastAsia="仿宋_GB2312" w:cs="仿宋_GB2312"/>
          <w:sz w:val="32"/>
          <w:szCs w:val="32"/>
          <w:highlight w:val="none"/>
          <w:lang w:val="en" w:eastAsia="zh-CN"/>
        </w:rPr>
        <w:t>城管事务经费</w:t>
      </w:r>
      <w:r>
        <w:rPr>
          <w:rFonts w:hint="eastAsia" w:ascii="仿宋_GB2312" w:hAnsi="仿宋_GB2312" w:eastAsia="仿宋_GB2312" w:cs="仿宋_GB2312"/>
          <w:sz w:val="32"/>
          <w:szCs w:val="32"/>
          <w:highlight w:val="none"/>
          <w:lang w:val="en-US" w:eastAsia="zh-CN"/>
        </w:rPr>
        <w:t>支出23.60</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sz w:val="32"/>
          <w:szCs w:val="32"/>
          <w:highlight w:val="none"/>
          <w:lang w:val="en" w:eastAsia="zh-CN"/>
        </w:rPr>
        <w:t>、</w:t>
      </w:r>
      <w:r>
        <w:rPr>
          <w:rFonts w:hint="eastAsia" w:ascii="仿宋_GB2312" w:hAnsi="仿宋_GB2312" w:eastAsia="仿宋_GB2312" w:cs="仿宋_GB2312"/>
          <w:sz w:val="32"/>
          <w:szCs w:val="32"/>
          <w:lang w:val="en-US" w:eastAsia="zh-CN"/>
        </w:rPr>
        <w:t>执勤巡逻车辆补助（含拖车经费）支出25.97万元、</w:t>
      </w:r>
      <w:r>
        <w:rPr>
          <w:rFonts w:hint="eastAsia" w:ascii="仿宋_GB2312" w:hAnsi="仿宋_GB2312" w:eastAsia="仿宋_GB2312" w:cs="仿宋_GB2312"/>
          <w:color w:val="auto"/>
          <w:sz w:val="32"/>
          <w:szCs w:val="32"/>
          <w:highlight w:val="none"/>
          <w:lang w:val="en-US" w:eastAsia="zh-CN"/>
        </w:rPr>
        <w:t>办案费支出125.39</w:t>
      </w:r>
      <w:r>
        <w:rPr>
          <w:rFonts w:hint="eastAsia" w:ascii="仿宋_GB2312" w:hAnsi="仿宋_GB2312" w:eastAsia="仿宋_GB2312" w:cs="仿宋_GB2312"/>
          <w:sz w:val="32"/>
          <w:szCs w:val="32"/>
          <w:lang w:val="en-US" w:eastAsia="zh-CN"/>
        </w:rPr>
        <w:t>万元</w:t>
      </w:r>
      <w:r>
        <w:rPr>
          <w:rFonts w:hint="eastAsia" w:ascii="仿宋_GB2312" w:hAnsi="仿宋_GB2312" w:eastAsia="仿宋_GB2312" w:cs="仿宋_GB2312"/>
          <w:color w:val="auto"/>
          <w:sz w:val="32"/>
          <w:szCs w:val="32"/>
          <w:highlight w:val="none"/>
          <w:lang w:val="en-US" w:eastAsia="zh-CN"/>
        </w:rPr>
        <w:t>、</w:t>
      </w:r>
      <w:r>
        <w:rPr>
          <w:rFonts w:hint="eastAsia" w:ascii="仿宋_GB2312" w:hAnsi="仿宋_GB2312" w:eastAsia="仿宋_GB2312" w:cs="仿宋_GB2312"/>
          <w:sz w:val="32"/>
          <w:szCs w:val="32"/>
          <w:highlight w:val="none"/>
          <w:lang w:eastAsia="zh-CN"/>
        </w:rPr>
        <w:t>市主城区慢行系统专项规划</w:t>
      </w:r>
      <w:r>
        <w:rPr>
          <w:rFonts w:hint="eastAsia" w:ascii="仿宋_GB2312" w:hAnsi="仿宋_GB2312" w:eastAsia="仿宋_GB2312" w:cs="仿宋_GB2312"/>
          <w:sz w:val="32"/>
          <w:szCs w:val="32"/>
          <w:highlight w:val="none"/>
          <w:lang w:val="en-US" w:eastAsia="zh-CN"/>
        </w:rPr>
        <w:t>项目支出65.80</w:t>
      </w:r>
      <w:r>
        <w:rPr>
          <w:rFonts w:hint="eastAsia" w:ascii="仿宋_GB2312" w:hAnsi="仿宋_GB2312" w:eastAsia="仿宋_GB2312" w:cs="仿宋_GB2312"/>
          <w:sz w:val="32"/>
          <w:szCs w:val="32"/>
          <w:lang w:val="en-US" w:eastAsia="zh-CN"/>
        </w:rPr>
        <w:t>万元，主要用于中心</w:t>
      </w:r>
      <w:r>
        <w:rPr>
          <w:rFonts w:hint="eastAsia" w:ascii="仿宋_GB2312" w:hAnsi="仿宋_GB2312" w:eastAsia="仿宋_GB2312" w:cs="仿宋_GB2312"/>
          <w:bCs/>
          <w:sz w:val="32"/>
          <w:szCs w:val="32"/>
          <w:lang w:val="en-US" w:eastAsia="zh-CN"/>
        </w:rPr>
        <w:t>城区人行道停车辅助设施更新及维修、违停车辆信息管理平台维护与升级、录入人员劳务费、中心城区停车秩序及公共停车场管理、巡逻车维护以及绿色、安全出行宣传等项目支出。</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rPr>
        <w:t>（二）专项资金管理情况分析</w:t>
      </w:r>
    </w:p>
    <w:p>
      <w:pPr>
        <w:pStyle w:val="2"/>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我单位结合实际情况，制订了《预算业务管理制度》、《专项资金管理制度》，从预算管理职责，预算编制，预算审批与分解下达流程，预算的执行、控制与调整，决算与绩效评价等方面对专项资金进行管理，做到专项资金预算编制有目标、预算执行有监控、预算完成有评价、评价结果有反馈、反馈结果有应。</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eastAsia" w:ascii="黑体" w:hAnsi="黑体" w:eastAsia="黑体" w:cs="黑体"/>
          <w:sz w:val="28"/>
          <w:szCs w:val="28"/>
        </w:rPr>
      </w:pPr>
      <w:r>
        <w:rPr>
          <w:rFonts w:hint="eastAsia" w:ascii="黑体" w:hAnsi="黑体" w:eastAsia="黑体" w:cs="黑体"/>
          <w:b/>
          <w:bCs/>
          <w:sz w:val="32"/>
          <w:szCs w:val="32"/>
        </w:rPr>
        <w:t>三</w:t>
      </w:r>
      <w:r>
        <w:rPr>
          <w:rFonts w:hint="eastAsia" w:ascii="黑体" w:hAnsi="黑体" w:eastAsia="黑体" w:cs="黑体"/>
          <w:b/>
          <w:bCs/>
          <w:sz w:val="32"/>
          <w:szCs w:val="32"/>
          <w:lang w:eastAsia="zh-CN"/>
        </w:rPr>
        <w:t>、</w:t>
      </w:r>
      <w:r>
        <w:rPr>
          <w:rFonts w:hint="eastAsia" w:ascii="黑体" w:hAnsi="黑体" w:eastAsia="黑体" w:cs="黑体"/>
          <w:b/>
          <w:bCs/>
          <w:sz w:val="32"/>
          <w:szCs w:val="32"/>
        </w:rPr>
        <w:t>项目组织实施情况分析</w:t>
      </w:r>
    </w:p>
    <w:p>
      <w:pPr>
        <w:keepNext w:val="0"/>
        <w:keepLines w:val="0"/>
        <w:pageBreakBefore w:val="0"/>
        <w:widowControl w:val="0"/>
        <w:numPr>
          <w:ilvl w:val="0"/>
          <w:numId w:val="0"/>
        </w:numPr>
        <w:kinsoku/>
        <w:wordWrap/>
        <w:overflowPunct/>
        <w:topLinePunct w:val="0"/>
        <w:autoSpaceDE/>
        <w:autoSpaceDN/>
        <w:bidi w:val="0"/>
        <w:adjustRightInd/>
        <w:snapToGrid/>
        <w:spacing w:afterLines="0" w:line="600" w:lineRule="exact"/>
        <w:ind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根据中心内设机构设置和科室职责，实行业务归口管理，授权审批的财管管理制度，重大业务费用支出由业务科室提出申请，并进行必要的事前绩效评估后，报中心分管领导审核，送财务部确定资金来源，再呈报中心党支部研究决策，通过后按相关规定组织实施。项目实施完成后，结合预算绩效目标和项目要求，按合同约定组织验收，验收合格后再进行相关费用结算。</w:t>
      </w:r>
    </w:p>
    <w:p>
      <w:pPr>
        <w:keepNext w:val="0"/>
        <w:keepLines w:val="0"/>
        <w:pageBreakBefore w:val="0"/>
        <w:kinsoku/>
        <w:wordWrap/>
        <w:overflowPunct/>
        <w:topLinePunct w:val="0"/>
        <w:autoSpaceDE/>
        <w:autoSpaceDN/>
        <w:bidi w:val="0"/>
        <w:adjustRightInd/>
        <w:snapToGrid/>
        <w:spacing w:line="600" w:lineRule="exact"/>
        <w:ind w:firstLine="642" w:firstLineChars="200"/>
        <w:textAlignment w:val="auto"/>
        <w:rPr>
          <w:rFonts w:hint="eastAsia" w:ascii="黑体" w:hAnsi="黑体" w:eastAsia="黑体" w:cs="黑体"/>
          <w:b/>
          <w:bCs/>
          <w:sz w:val="32"/>
          <w:szCs w:val="32"/>
        </w:rPr>
      </w:pPr>
      <w:r>
        <w:rPr>
          <w:rFonts w:hint="eastAsia" w:ascii="黑体" w:hAnsi="黑体" w:eastAsia="黑体" w:cs="黑体"/>
          <w:b/>
          <w:bCs/>
          <w:sz w:val="32"/>
          <w:szCs w:val="32"/>
          <w:lang w:val="en-US" w:eastAsia="zh-CN"/>
        </w:rPr>
        <w:t>四</w:t>
      </w:r>
      <w:r>
        <w:rPr>
          <w:rFonts w:hint="eastAsia" w:ascii="黑体" w:hAnsi="黑体" w:eastAsia="黑体" w:cs="黑体"/>
          <w:b/>
          <w:bCs/>
          <w:sz w:val="32"/>
          <w:szCs w:val="32"/>
          <w:lang w:eastAsia="zh-CN"/>
        </w:rPr>
        <w:t>、</w:t>
      </w:r>
      <w:r>
        <w:rPr>
          <w:rFonts w:hint="eastAsia" w:ascii="黑体" w:hAnsi="黑体" w:eastAsia="黑体" w:cs="黑体"/>
          <w:b/>
          <w:bCs/>
          <w:sz w:val="32"/>
          <w:szCs w:val="32"/>
        </w:rPr>
        <w:t>综合评价情况及评价结论</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sz w:val="32"/>
          <w:szCs w:val="32"/>
          <w:lang w:val="en-US" w:eastAsia="zh-CN"/>
        </w:rPr>
        <w:t>评价小组依</w:t>
      </w:r>
      <w:r>
        <w:rPr>
          <w:rFonts w:hint="eastAsia" w:ascii="仿宋_GB2312" w:hAnsi="仿宋_GB2312" w:eastAsia="仿宋_GB2312" w:cs="仿宋_GB2312"/>
          <w:sz w:val="32"/>
          <w:szCs w:val="32"/>
        </w:rPr>
        <w:t>据</w:t>
      </w:r>
      <w:r>
        <w:rPr>
          <w:rFonts w:hint="eastAsia" w:ascii="仿宋_GB2312" w:hAnsi="仿宋_GB2312" w:eastAsia="仿宋_GB2312" w:cs="仿宋_GB2312"/>
          <w:sz w:val="32"/>
          <w:szCs w:val="32"/>
          <w:lang w:val="en-US" w:eastAsia="zh-CN"/>
        </w:rPr>
        <w:t>岳阳市财政局《关于印发&lt;岳阳市市级预算部门绩效自评操作规程&gt;的通知》岳财函〔2022〕209号文件规定相关</w:t>
      </w:r>
      <w:r>
        <w:rPr>
          <w:rFonts w:hint="eastAsia" w:ascii="仿宋_GB2312" w:hAnsi="仿宋_GB2312" w:eastAsia="仿宋_GB2312" w:cs="仿宋_GB2312"/>
          <w:sz w:val="32"/>
          <w:szCs w:val="32"/>
        </w:rPr>
        <w:t>评价指标</w:t>
      </w:r>
      <w:r>
        <w:rPr>
          <w:rFonts w:hint="eastAsia" w:ascii="仿宋_GB2312" w:hAnsi="仿宋_GB2312" w:eastAsia="仿宋_GB2312" w:cs="仿宋_GB2312"/>
          <w:sz w:val="32"/>
          <w:szCs w:val="32"/>
          <w:lang w:val="en-US" w:eastAsia="zh-CN"/>
        </w:rPr>
        <w:t>和标准进行了分析与</w:t>
      </w:r>
      <w:r>
        <w:rPr>
          <w:rFonts w:hint="eastAsia" w:ascii="仿宋_GB2312" w:hAnsi="仿宋_GB2312" w:eastAsia="仿宋_GB2312" w:cs="仿宋_GB2312"/>
          <w:sz w:val="32"/>
          <w:szCs w:val="32"/>
        </w:rPr>
        <w:t>评分，</w:t>
      </w:r>
      <w:r>
        <w:rPr>
          <w:rFonts w:hint="eastAsia" w:ascii="仿宋_GB2312" w:hAnsi="仿宋_GB2312" w:eastAsia="仿宋_GB2312" w:cs="仿宋_GB2312"/>
          <w:sz w:val="32"/>
          <w:szCs w:val="32"/>
          <w:lang w:eastAsia="zh-CN"/>
        </w:rPr>
        <w:t>一致认为中心</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eastAsia="zh-CN"/>
        </w:rPr>
        <w:t>度</w:t>
      </w:r>
      <w:r>
        <w:rPr>
          <w:rFonts w:hint="eastAsia" w:ascii="仿宋_GB2312" w:hAnsi="仿宋_GB2312" w:eastAsia="仿宋_GB2312" w:cs="仿宋_GB2312"/>
          <w:color w:val="000000"/>
          <w:sz w:val="32"/>
          <w:szCs w:val="32"/>
        </w:rPr>
        <w:t>项目</w:t>
      </w:r>
      <w:r>
        <w:rPr>
          <w:rFonts w:hint="eastAsia" w:ascii="仿宋_GB2312" w:hAnsi="仿宋_GB2312" w:eastAsia="仿宋_GB2312" w:cs="仿宋_GB2312"/>
          <w:color w:val="000000"/>
          <w:sz w:val="32"/>
          <w:szCs w:val="32"/>
          <w:lang w:eastAsia="zh-CN"/>
        </w:rPr>
        <w:t>资金</w:t>
      </w:r>
      <w:r>
        <w:rPr>
          <w:rFonts w:hint="eastAsia" w:ascii="仿宋_GB2312" w:hAnsi="仿宋_GB2312" w:eastAsia="仿宋_GB2312" w:cs="仿宋_GB2312"/>
          <w:sz w:val="32"/>
          <w:szCs w:val="32"/>
        </w:rPr>
        <w:t>管</w:t>
      </w:r>
      <w:r>
        <w:rPr>
          <w:rFonts w:hint="eastAsia" w:ascii="仿宋_GB2312" w:hAnsi="仿宋_GB2312" w:eastAsia="仿宋_GB2312" w:cs="仿宋_GB2312"/>
          <w:sz w:val="32"/>
          <w:szCs w:val="32"/>
          <w:lang w:val="en-US" w:eastAsia="zh-CN"/>
        </w:rPr>
        <w:t>理和使用规范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遵守了相关法规</w:t>
      </w:r>
      <w:r>
        <w:rPr>
          <w:rFonts w:hint="eastAsia" w:ascii="仿宋_GB2312" w:hAnsi="仿宋_GB2312" w:eastAsia="仿宋_GB2312" w:cs="仿宋_GB2312"/>
          <w:sz w:val="32"/>
          <w:szCs w:val="32"/>
        </w:rPr>
        <w:t>政策，</w:t>
      </w:r>
      <w:r>
        <w:rPr>
          <w:rFonts w:hint="eastAsia" w:ascii="仿宋_GB2312" w:hAnsi="仿宋_GB2312" w:eastAsia="仿宋_GB2312" w:cs="仿宋_GB2312"/>
          <w:sz w:val="32"/>
          <w:szCs w:val="32"/>
          <w:lang w:eastAsia="zh-CN"/>
        </w:rPr>
        <w:t>项目预算执行率高，资金使用规范，且圆满完成了年初绩效目标，</w:t>
      </w:r>
      <w:r>
        <w:rPr>
          <w:rFonts w:hint="eastAsia" w:ascii="仿宋_GB2312" w:hAnsi="仿宋_GB2312" w:eastAsia="仿宋_GB2312" w:cs="仿宋_GB2312"/>
          <w:sz w:val="32"/>
          <w:szCs w:val="32"/>
        </w:rPr>
        <w:t>有效发挥了</w:t>
      </w:r>
      <w:r>
        <w:rPr>
          <w:rFonts w:hint="eastAsia" w:ascii="仿宋_GB2312" w:hAnsi="仿宋_GB2312" w:eastAsia="仿宋_GB2312" w:cs="仿宋_GB2312"/>
          <w:sz w:val="32"/>
          <w:szCs w:val="32"/>
          <w:lang w:eastAsia="zh-CN"/>
        </w:rPr>
        <w:t>预算</w:t>
      </w:r>
      <w:r>
        <w:rPr>
          <w:rFonts w:hint="eastAsia" w:ascii="仿宋_GB2312" w:hAnsi="仿宋_GB2312" w:eastAsia="仿宋_GB2312" w:cs="仿宋_GB2312"/>
          <w:sz w:val="32"/>
          <w:szCs w:val="32"/>
        </w:rPr>
        <w:t>资金的使用效</w:t>
      </w:r>
      <w:r>
        <w:rPr>
          <w:rFonts w:hint="eastAsia" w:ascii="仿宋_GB2312" w:hAnsi="仿宋_GB2312" w:eastAsia="仿宋_GB2312" w:cs="仿宋_GB2312"/>
          <w:sz w:val="32"/>
          <w:szCs w:val="32"/>
          <w:lang w:eastAsia="zh-CN"/>
        </w:rPr>
        <w:t>益，绩效</w:t>
      </w:r>
      <w:r>
        <w:rPr>
          <w:rFonts w:hint="eastAsia" w:ascii="仿宋_GB2312" w:hAnsi="仿宋_GB2312" w:eastAsia="仿宋_GB2312" w:cs="仿宋_GB2312"/>
          <w:sz w:val="32"/>
          <w:szCs w:val="32"/>
          <w:lang w:val="en-US" w:eastAsia="zh-CN"/>
        </w:rPr>
        <w:t>自评得分均在</w:t>
      </w:r>
      <w:r>
        <w:rPr>
          <w:rFonts w:hint="eastAsia" w:ascii="仿宋_GB2312" w:hAnsi="仿宋_GB2312" w:eastAsia="仿宋_GB2312" w:cs="仿宋_GB2312"/>
          <w:color w:val="auto"/>
          <w:sz w:val="32"/>
          <w:szCs w:val="32"/>
          <w:lang w:val="en-US" w:eastAsia="zh-CN"/>
        </w:rPr>
        <w:t>94.79</w:t>
      </w:r>
      <w:r>
        <w:rPr>
          <w:rFonts w:hint="eastAsia" w:ascii="仿宋_GB2312" w:hAnsi="仿宋_GB2312" w:eastAsia="仿宋_GB2312" w:cs="仿宋_GB2312"/>
          <w:sz w:val="32"/>
          <w:szCs w:val="32"/>
          <w:lang w:val="en-US" w:eastAsia="zh-CN"/>
        </w:rPr>
        <w:t>分以上，</w:t>
      </w:r>
      <w:r>
        <w:rPr>
          <w:rFonts w:hint="eastAsia" w:ascii="仿宋_GB2312" w:hAnsi="仿宋_GB2312" w:eastAsia="仿宋_GB2312" w:cs="仿宋_GB2312"/>
          <w:sz w:val="32"/>
          <w:szCs w:val="32"/>
        </w:rPr>
        <w:t>考评等级</w:t>
      </w:r>
      <w:r>
        <w:rPr>
          <w:rFonts w:hint="eastAsia" w:ascii="仿宋_GB2312" w:hAnsi="仿宋_GB2312" w:eastAsia="仿宋_GB2312" w:cs="仿宋_GB2312"/>
          <w:sz w:val="32"/>
          <w:szCs w:val="32"/>
          <w:lang w:eastAsia="zh-CN"/>
        </w:rPr>
        <w:t>均</w:t>
      </w:r>
      <w:r>
        <w:rPr>
          <w:rFonts w:hint="eastAsia" w:ascii="仿宋_GB2312" w:hAnsi="仿宋_GB2312" w:eastAsia="仿宋_GB2312" w:cs="仿宋_GB2312"/>
          <w:sz w:val="32"/>
          <w:szCs w:val="32"/>
        </w:rPr>
        <w:t>为优</w:t>
      </w:r>
      <w:r>
        <w:rPr>
          <w:rFonts w:hint="eastAsia" w:ascii="仿宋_GB2312" w:hAnsi="仿宋_GB2312" w:eastAsia="仿宋_GB2312" w:cs="仿宋_GB2312"/>
          <w:sz w:val="32"/>
          <w:szCs w:val="32"/>
          <w:lang w:eastAsia="zh-CN"/>
        </w:rPr>
        <w:t>秀</w:t>
      </w:r>
      <w:r>
        <w:rPr>
          <w:rFonts w:hint="eastAsia" w:ascii="仿宋_GB2312" w:hAnsi="仿宋_GB2312" w:eastAsia="仿宋_GB2312" w:cs="仿宋_GB2312"/>
          <w:sz w:val="32"/>
          <w:szCs w:val="32"/>
        </w:rPr>
        <w:t>。</w:t>
      </w:r>
    </w:p>
    <w:p>
      <w:pPr>
        <w:pStyle w:val="2"/>
        <w:keepNext w:val="0"/>
        <w:keepLines w:val="0"/>
        <w:pageBreakBefore w:val="0"/>
        <w:numPr>
          <w:ilvl w:val="0"/>
          <w:numId w:val="0"/>
        </w:numPr>
        <w:kinsoku/>
        <w:wordWrap/>
        <w:overflowPunct/>
        <w:topLinePunct w:val="0"/>
        <w:autoSpaceDE/>
        <w:autoSpaceDN/>
        <w:bidi w:val="0"/>
        <w:adjustRightInd/>
        <w:snapToGrid/>
        <w:spacing w:line="600" w:lineRule="exact"/>
        <w:ind w:left="640" w:leftChars="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bCs/>
          <w:color w:val="auto"/>
          <w:sz w:val="32"/>
          <w:szCs w:val="32"/>
          <w:lang w:val="en-US" w:eastAsia="zh-CN"/>
        </w:rPr>
        <w:t>五、项目主要绩效情况分析</w:t>
      </w:r>
    </w:p>
    <w:p>
      <w:pPr>
        <w:pStyle w:val="3"/>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i w:val="0"/>
          <w:snapToGrid/>
          <w:color w:val="000000"/>
          <w:sz w:val="32"/>
          <w:szCs w:val="32"/>
          <w:shd w:val="clear" w:color="auto" w:fill="FFFFFF"/>
          <w:lang w:val="en-US" w:eastAsia="zh-CN"/>
        </w:rPr>
      </w:pPr>
      <w:r>
        <w:rPr>
          <w:rFonts w:hint="eastAsia" w:ascii="仿宋_GB2312" w:hAnsi="仿宋_GB2312" w:eastAsia="仿宋_GB2312" w:cs="仿宋_GB2312"/>
          <w:b w:val="0"/>
          <w:bCs w:val="0"/>
          <w:color w:val="000000"/>
          <w:kern w:val="0"/>
          <w:sz w:val="32"/>
          <w:szCs w:val="32"/>
          <w:lang w:val="en-US" w:eastAsia="zh-CN"/>
        </w:rPr>
        <w:t>2024年，</w:t>
      </w:r>
      <w:r>
        <w:rPr>
          <w:rFonts w:hint="eastAsia" w:ascii="仿宋_GB2312" w:hAnsi="仿宋_GB2312" w:eastAsia="仿宋_GB2312" w:cs="仿宋_GB2312"/>
          <w:b w:val="0"/>
          <w:bCs w:val="0"/>
          <w:color w:val="000000"/>
          <w:kern w:val="0"/>
          <w:sz w:val="32"/>
          <w:szCs w:val="32"/>
          <w:lang w:eastAsia="zh-CN"/>
        </w:rPr>
        <w:t>开展</w:t>
      </w:r>
      <w:r>
        <w:rPr>
          <w:rFonts w:hint="eastAsia" w:ascii="仿宋_GB2312" w:hAnsi="仿宋_GB2312" w:eastAsia="仿宋_GB2312" w:cs="仿宋_GB2312"/>
          <w:b w:val="0"/>
          <w:bCs w:val="0"/>
          <w:color w:val="000000"/>
          <w:kern w:val="0"/>
          <w:sz w:val="32"/>
          <w:szCs w:val="32"/>
        </w:rPr>
        <w:t>违规占道整治</w:t>
      </w:r>
      <w:r>
        <w:rPr>
          <w:rFonts w:hint="eastAsia" w:ascii="仿宋_GB2312" w:hAnsi="仿宋_GB2312" w:eastAsia="仿宋_GB2312" w:cs="仿宋_GB2312"/>
          <w:b w:val="0"/>
          <w:bCs w:val="0"/>
          <w:color w:val="000000"/>
          <w:kern w:val="0"/>
          <w:sz w:val="32"/>
          <w:szCs w:val="32"/>
          <w:lang w:eastAsia="zh-CN"/>
        </w:rPr>
        <w:t>工作，</w:t>
      </w:r>
      <w:r>
        <w:rPr>
          <w:rFonts w:hint="eastAsia" w:ascii="仿宋_GB2312" w:hAnsi="仿宋_GB2312" w:eastAsia="仿宋_GB2312" w:cs="仿宋_GB2312"/>
          <w:b w:val="0"/>
          <w:bCs w:val="0"/>
          <w:sz w:val="32"/>
          <w:szCs w:val="32"/>
          <w:lang w:val="en-US" w:eastAsia="zh-CN"/>
        </w:rPr>
        <w:t>联合市城管支队对中心城区40个</w:t>
      </w:r>
      <w:r>
        <w:rPr>
          <w:rFonts w:hint="eastAsia" w:ascii="仿宋_GB2312" w:hAnsi="仿宋_GB2312" w:eastAsia="仿宋_GB2312" w:cs="仿宋_GB2312"/>
          <w:sz w:val="32"/>
          <w:szCs w:val="32"/>
          <w:lang w:val="en-US" w:eastAsia="zh-CN"/>
        </w:rPr>
        <w:t>未备案的停车场下达了限期整改通知，并对其</w:t>
      </w:r>
      <w:r>
        <w:rPr>
          <w:rFonts w:hint="eastAsia" w:ascii="仿宋_GB2312" w:hAnsi="仿宋_GB2312" w:eastAsia="仿宋_GB2312" w:cs="仿宋_GB2312"/>
          <w:b w:val="0"/>
          <w:bCs w:val="0"/>
          <w:sz w:val="32"/>
          <w:szCs w:val="32"/>
          <w:lang w:val="en-US" w:eastAsia="zh-CN"/>
        </w:rPr>
        <w:t>停车设施设备进行了</w:t>
      </w:r>
      <w:r>
        <w:rPr>
          <w:rFonts w:hint="eastAsia" w:ascii="仿宋_GB2312" w:hAnsi="仿宋_GB2312" w:eastAsia="仿宋_GB2312" w:cs="仿宋_GB2312"/>
          <w:b w:val="0"/>
          <w:bCs w:val="0"/>
          <w:i w:val="0"/>
          <w:snapToGrid/>
          <w:color w:val="000000"/>
          <w:sz w:val="32"/>
          <w:szCs w:val="32"/>
          <w:shd w:val="clear" w:color="auto" w:fill="FFFFFF"/>
          <w:lang w:val="en-US" w:eastAsia="zh-CN"/>
        </w:rPr>
        <w:t>代履行拆除，针对</w:t>
      </w:r>
      <w:r>
        <w:rPr>
          <w:rFonts w:hint="eastAsia" w:ascii="仿宋_GB2312" w:hAnsi="仿宋_GB2312" w:eastAsia="仿宋_GB2312" w:cs="仿宋_GB2312"/>
          <w:sz w:val="32"/>
          <w:szCs w:val="32"/>
          <w:lang w:val="en-US" w:eastAsia="zh-CN"/>
        </w:rPr>
        <w:t>擅自占道设置停车设施的4家公司进行了立案查处。</w:t>
      </w:r>
      <w:r>
        <w:rPr>
          <w:rFonts w:hint="eastAsia" w:ascii="仿宋_GB2312" w:hAnsi="仿宋_GB2312" w:eastAsia="仿宋_GB2312" w:cs="仿宋_GB2312"/>
          <w:b w:val="0"/>
          <w:i w:val="0"/>
          <w:snapToGrid/>
          <w:color w:val="000000"/>
          <w:sz w:val="32"/>
          <w:szCs w:val="32"/>
          <w:shd w:val="clear" w:color="auto" w:fill="FFFFFF"/>
          <w:lang w:val="en-US" w:eastAsia="zh-CN"/>
        </w:rPr>
        <w:t>协助市城管支队统计主城区停车场194家，完成整改规范收费标准、退让公共资源红线等相关要求的停车场189家，其中规范</w:t>
      </w:r>
      <w:r>
        <w:rPr>
          <w:rFonts w:hint="eastAsia" w:ascii="仿宋_GB2312" w:hAnsi="仿宋_GB2312" w:eastAsia="仿宋_GB2312" w:cs="仿宋_GB2312"/>
          <w:kern w:val="2"/>
          <w:sz w:val="32"/>
          <w:szCs w:val="32"/>
          <w:lang w:val="en-US" w:eastAsia="zh-CN" w:bidi="ar-SA"/>
        </w:rPr>
        <w:t>降价的停车场144个，退出公共资源的停车场7个，拆除停车场38个，</w:t>
      </w:r>
      <w:r>
        <w:rPr>
          <w:rFonts w:hint="eastAsia" w:ascii="仿宋_GB2312" w:hAnsi="仿宋_GB2312" w:eastAsia="仿宋_GB2312" w:cs="仿宋_GB2312"/>
          <w:b w:val="0"/>
          <w:i w:val="0"/>
          <w:snapToGrid/>
          <w:color w:val="000000"/>
          <w:sz w:val="32"/>
          <w:szCs w:val="32"/>
          <w:shd w:val="clear" w:color="auto" w:fill="FFFFFF"/>
          <w:lang w:val="en-US" w:eastAsia="zh-CN"/>
        </w:rPr>
        <w:t>完成率达到97.4%。对中心城区人行道违规停车行为进行劝导，停车管理力度的加大，中心城区停车秩序明显改观，提升了道路通行效率。查处违规占用公共资源停车场，释放停车泊位，确保了市民平等享有停车权益，促进社会和谐稳定。规范社会停车场收费标准，有效遏制乱收费、高收费现象，降低市民的出行成本。</w:t>
      </w:r>
    </w:p>
    <w:p>
      <w:pPr>
        <w:pStyle w:val="3"/>
        <w:keepNext w:val="0"/>
        <w:keepLines w:val="0"/>
        <w:pageBreakBefore w:val="0"/>
        <w:kinsoku/>
        <w:wordWrap/>
        <w:overflowPunct/>
        <w:topLinePunct w:val="0"/>
        <w:autoSpaceDE/>
        <w:autoSpaceDN/>
        <w:bidi w:val="0"/>
        <w:adjustRightInd/>
        <w:snapToGrid/>
        <w:spacing w:line="600" w:lineRule="exact"/>
        <w:ind w:left="0" w:leftChars="0"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i w:val="0"/>
          <w:snapToGrid/>
          <w:color w:val="000000"/>
          <w:sz w:val="32"/>
          <w:szCs w:val="32"/>
          <w:shd w:val="clear" w:color="auto" w:fill="FFFFFF"/>
          <w:lang w:val="en-US" w:eastAsia="zh-CN"/>
        </w:rPr>
        <w:t>挖掘现有停车资源，</w:t>
      </w:r>
      <w:r>
        <w:rPr>
          <w:rFonts w:hint="eastAsia" w:ascii="仿宋_GB2312" w:hAnsi="仿宋_GB2312" w:eastAsia="仿宋_GB2312" w:cs="仿宋_GB2312"/>
          <w:b w:val="0"/>
          <w:bCs w:val="0"/>
          <w:sz w:val="32"/>
          <w:szCs w:val="32"/>
          <w:lang w:val="en-US" w:eastAsia="zh-CN"/>
        </w:rPr>
        <w:t>元旦、五一、国庆等节假日期间，以随机抽查和全面督查的方式督促市直机关单位内部停车场48家对外开放，增加了停车泊位供给，为市民出行提供了便利，</w:t>
      </w:r>
      <w:r>
        <w:rPr>
          <w:rFonts w:hint="eastAsia" w:ascii="仿宋_GB2312" w:hAnsi="仿宋_GB2312" w:eastAsia="仿宋_GB2312" w:cs="仿宋_GB2312"/>
          <w:b w:val="0"/>
          <w:i w:val="0"/>
          <w:snapToGrid/>
          <w:color w:val="000000"/>
          <w:sz w:val="32"/>
          <w:szCs w:val="32"/>
          <w:shd w:val="clear" w:color="auto" w:fill="FFFFFF"/>
          <w:lang w:val="en-US" w:eastAsia="zh-CN"/>
        </w:rPr>
        <w:t>得到广大市民和各级领导的一致肯定。</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定期对共享电动自行车经营单位的运营组织和安全生产等方面进行考评考核，根据考评情况，要求运营公司进行相应整改，为市民提供良好、舒适的骑行环境。针对市民不佩戴头盔骑行共享电动自行车时有发生的情况，中心开展了绿色、安全骑行宣传，并要求运营公司对不佩戴头盔的行为开发新功能，做到必须佩戴头盔才可骑行。4月11日，共享电动自行车运营单位正式启用新型智能芯片头盔，市民在使用车辆骑行过程中不佩戴头盔车辆无法启用并自动降速断电。通过宣传引导和科技手段规范骑行，增强了市民安全骑行的意识，减少了潜在风险，为市民的出行安全提供了一定的保障。</w:t>
      </w:r>
    </w:p>
    <w:p>
      <w:pPr>
        <w:pStyle w:val="2"/>
        <w:keepNext w:val="0"/>
        <w:keepLines w:val="0"/>
        <w:pageBreakBefore w:val="0"/>
        <w:kinsoku/>
        <w:wordWrap/>
        <w:overflowPunct/>
        <w:topLinePunct w:val="0"/>
        <w:autoSpaceDE/>
        <w:autoSpaceDN/>
        <w:bidi w:val="0"/>
        <w:adjustRightInd/>
        <w:snapToGrid/>
        <w:spacing w:line="600" w:lineRule="exact"/>
        <w:ind w:firstLine="800" w:firstLineChars="25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eastAsia="zh-CN"/>
        </w:rPr>
        <w:t>中心城区慢行系统专项规划（</w:t>
      </w:r>
      <w:r>
        <w:rPr>
          <w:rFonts w:hint="eastAsia" w:ascii="仿宋_GB2312" w:hAnsi="仿宋_GB2312" w:eastAsia="仿宋_GB2312" w:cs="仿宋_GB2312"/>
          <w:sz w:val="32"/>
          <w:szCs w:val="32"/>
          <w:highlight w:val="none"/>
          <w:lang w:val="en-US" w:eastAsia="zh-CN"/>
        </w:rPr>
        <w:t>2020-20</w:t>
      </w:r>
      <w:r>
        <w:rPr>
          <w:rFonts w:hint="eastAsia" w:ascii="仿宋_GB2312" w:hAnsi="仿宋_GB2312" w:eastAsia="仿宋_GB2312" w:cs="仿宋_GB2312"/>
          <w:sz w:val="32"/>
          <w:szCs w:val="32"/>
          <w:highlight w:val="none"/>
          <w:lang w:val="en" w:eastAsia="zh-CN"/>
        </w:rPr>
        <w:t>3</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napToGrid w:val="0"/>
          <w:color w:val="000000"/>
          <w:kern w:val="0"/>
          <w:sz w:val="32"/>
          <w:szCs w:val="32"/>
          <w:lang w:val="en-US" w:eastAsia="zh-CN"/>
        </w:rPr>
        <w:t>为城市慢行系统建设</w:t>
      </w:r>
      <w:r>
        <w:rPr>
          <w:rFonts w:hint="eastAsia" w:ascii="仿宋_GB2312" w:hAnsi="仿宋_GB2312" w:eastAsia="仿宋_GB2312" w:cs="仿宋_GB2312"/>
          <w:snapToGrid w:val="0"/>
          <w:color w:val="000000"/>
          <w:kern w:val="0"/>
          <w:sz w:val="32"/>
          <w:szCs w:val="32"/>
        </w:rPr>
        <w:t>提供规划</w:t>
      </w:r>
      <w:r>
        <w:rPr>
          <w:rFonts w:hint="eastAsia" w:ascii="仿宋_GB2312" w:hAnsi="仿宋_GB2312" w:eastAsia="仿宋_GB2312" w:cs="仿宋_GB2312"/>
          <w:snapToGrid w:val="0"/>
          <w:color w:val="000000"/>
          <w:kern w:val="0"/>
          <w:sz w:val="32"/>
          <w:szCs w:val="32"/>
          <w:lang w:val="en-US" w:eastAsia="zh-CN"/>
        </w:rPr>
        <w:t>引导</w:t>
      </w:r>
      <w:r>
        <w:rPr>
          <w:rFonts w:hint="eastAsia" w:ascii="仿宋_GB2312" w:hAnsi="仿宋_GB2312" w:eastAsia="仿宋_GB2312" w:cs="仿宋_GB2312"/>
          <w:snapToGrid w:val="0"/>
          <w:color w:val="000000"/>
          <w:kern w:val="0"/>
          <w:sz w:val="32"/>
          <w:szCs w:val="32"/>
        </w:rPr>
        <w:t>，</w:t>
      </w:r>
      <w:r>
        <w:rPr>
          <w:rFonts w:hint="eastAsia" w:ascii="仿宋_GB2312" w:hAnsi="仿宋_GB2312" w:eastAsia="仿宋_GB2312" w:cs="仿宋_GB2312"/>
          <w:snapToGrid w:val="0"/>
          <w:color w:val="000000"/>
          <w:kern w:val="0"/>
          <w:sz w:val="32"/>
          <w:szCs w:val="32"/>
          <w:lang w:eastAsia="zh-CN"/>
        </w:rPr>
        <w:t>助力</w:t>
      </w:r>
      <w:r>
        <w:rPr>
          <w:rFonts w:hint="eastAsia" w:ascii="仿宋_GB2312" w:hAnsi="仿宋_GB2312" w:eastAsia="仿宋_GB2312" w:cs="仿宋_GB2312"/>
          <w:snapToGrid w:val="0"/>
          <w:color w:val="000000"/>
          <w:kern w:val="0"/>
          <w:sz w:val="32"/>
          <w:szCs w:val="32"/>
          <w:lang w:val="en-US" w:eastAsia="zh-CN"/>
        </w:rPr>
        <w:t>城市空间布局优化与品质提升，增强公共空间活力，营造宜居宜业的生态环境。指导</w:t>
      </w:r>
      <w:r>
        <w:rPr>
          <w:rFonts w:hint="eastAsia" w:ascii="仿宋_GB2312" w:hAnsi="仿宋_GB2312" w:eastAsia="仿宋_GB2312" w:cs="仿宋_GB2312"/>
          <w:sz w:val="32"/>
          <w:szCs w:val="32"/>
          <w:highlight w:val="none"/>
          <w:lang w:eastAsia="zh-CN"/>
        </w:rPr>
        <w:t>中心城区慢行系统</w:t>
      </w:r>
      <w:r>
        <w:rPr>
          <w:rFonts w:hint="eastAsia" w:ascii="仿宋_GB2312" w:hAnsi="仿宋_GB2312" w:eastAsia="仿宋_GB2312" w:cs="仿宋_GB2312"/>
          <w:snapToGrid w:val="0"/>
          <w:color w:val="000000"/>
          <w:kern w:val="0"/>
          <w:sz w:val="32"/>
          <w:szCs w:val="32"/>
          <w:lang w:val="en-US" w:eastAsia="zh-CN"/>
        </w:rPr>
        <w:t>通过人车分流、非机动车专用道建设等，加快构建绿色低碳循环发展经济体系，助力实现碳达峰、碳中和目标，促进生态保护。</w:t>
      </w:r>
    </w:p>
    <w:p>
      <w:pPr>
        <w:keepNext w:val="0"/>
        <w:keepLines w:val="0"/>
        <w:pageBreakBefore w:val="0"/>
        <w:numPr>
          <w:ilvl w:val="0"/>
          <w:numId w:val="0"/>
        </w:numPr>
        <w:kinsoku/>
        <w:wordWrap/>
        <w:overflowPunct/>
        <w:topLinePunct w:val="0"/>
        <w:autoSpaceDE/>
        <w:autoSpaceDN/>
        <w:bidi w:val="0"/>
        <w:adjustRightInd/>
        <w:snapToGrid/>
        <w:spacing w:line="600" w:lineRule="exact"/>
        <w:ind w:firstLine="642" w:firstLineChars="200"/>
        <w:textAlignment w:val="auto"/>
        <w:rPr>
          <w:rFonts w:hint="eastAsia" w:ascii="黑体" w:hAnsi="黑体" w:eastAsia="黑体" w:cs="黑体"/>
          <w:b/>
          <w:bCs/>
          <w:color w:val="000000"/>
          <w:sz w:val="32"/>
          <w:szCs w:val="32"/>
          <w:highlight w:val="none"/>
          <w:lang w:val="en-US" w:eastAsia="zh-CN"/>
        </w:rPr>
      </w:pPr>
      <w:r>
        <w:rPr>
          <w:rFonts w:hint="eastAsia" w:ascii="黑体" w:hAnsi="黑体" w:eastAsia="黑体" w:cs="黑体"/>
          <w:b/>
          <w:bCs/>
          <w:color w:val="000000"/>
          <w:sz w:val="32"/>
          <w:szCs w:val="32"/>
          <w:highlight w:val="none"/>
          <w:lang w:val="en-US" w:eastAsia="zh-CN"/>
        </w:rPr>
        <w:t>六、存在的问题和下一步工作计划</w:t>
      </w:r>
    </w:p>
    <w:p>
      <w:pPr>
        <w:keepNext w:val="0"/>
        <w:keepLines w:val="0"/>
        <w:pageBreakBefore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随着城市车辆总量的增加，中心城区现有停车资源难以满足市民出行需求。下一步，大力挖掘现有停车资源，释放停车潜力，在停车需求较大的地段配套建设停车场，增加公共停车泊位供给。同时，加大宣传力度，引导市民采取公共交通或骑行等方式出行，缓解城市交通压力。</w:t>
      </w:r>
    </w:p>
    <w:p>
      <w:pPr>
        <w:pStyle w:val="2"/>
        <w:keepNext w:val="0"/>
        <w:keepLines w:val="0"/>
        <w:pageBreakBefore w:val="0"/>
        <w:kinsoku/>
        <w:wordWrap/>
        <w:overflowPunct/>
        <w:topLinePunct w:val="0"/>
        <w:autoSpaceDE/>
        <w:autoSpaceDN/>
        <w:bidi w:val="0"/>
        <w:adjustRightInd/>
        <w:snapToGrid/>
        <w:spacing w:line="600" w:lineRule="exact"/>
        <w:ind w:firstLine="56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附件：</w:t>
      </w:r>
      <w:r>
        <w:rPr>
          <w:rFonts w:hint="eastAsia" w:ascii="仿宋_GB2312" w:hAnsi="仿宋_GB2312" w:eastAsia="仿宋_GB2312" w:cs="仿宋_GB2312"/>
          <w:color w:val="auto"/>
          <w:sz w:val="32"/>
          <w:szCs w:val="32"/>
          <w:highlight w:val="none"/>
          <w:lang w:val="en-US" w:eastAsia="zh-CN"/>
        </w:rPr>
        <w:t>2024年度</w:t>
      </w:r>
      <w:r>
        <w:rPr>
          <w:rFonts w:hint="eastAsia" w:ascii="仿宋_GB2312" w:hAnsi="仿宋_GB2312" w:eastAsia="仿宋_GB2312" w:cs="仿宋_GB2312"/>
          <w:color w:val="auto"/>
          <w:sz w:val="32"/>
          <w:szCs w:val="32"/>
          <w:highlight w:val="none"/>
        </w:rPr>
        <w:t>项目支出绩效自评表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1-1至1-7）</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both"/>
        <w:textAlignment w:val="auto"/>
        <w:rPr>
          <w:rFonts w:hint="eastAsia" w:ascii="仿宋_GB2312" w:hAnsi="仿宋_GB2312" w:eastAsia="仿宋_GB2312" w:cs="仿宋_GB2312"/>
          <w:sz w:val="32"/>
          <w:szCs w:val="32"/>
          <w:highlight w:val="none"/>
          <w:lang w:eastAsia="zh-CN"/>
        </w:rPr>
      </w:pPr>
    </w:p>
    <w:p>
      <w:pPr>
        <w:keepNext w:val="0"/>
        <w:keepLines w:val="0"/>
        <w:pageBreakBefore w:val="0"/>
        <w:widowControl w:val="0"/>
        <w:kinsoku/>
        <w:wordWrap/>
        <w:overflowPunct/>
        <w:topLinePunct w:val="0"/>
        <w:autoSpaceDE/>
        <w:autoSpaceDN/>
        <w:bidi w:val="0"/>
        <w:adjustRightInd/>
        <w:snapToGrid/>
        <w:spacing w:afterLines="0" w:line="600" w:lineRule="exact"/>
        <w:jc w:val="both"/>
        <w:textAlignment w:val="auto"/>
        <w:rPr>
          <w:rFonts w:hint="eastAsia" w:ascii="仿宋_GB2312" w:hAnsi="仿宋_GB2312" w:eastAsia="仿宋_GB2312" w:cs="仿宋_GB2312"/>
          <w:sz w:val="32"/>
          <w:szCs w:val="32"/>
          <w:highlight w:val="none"/>
          <w:lang w:eastAsia="zh-CN"/>
        </w:rPr>
      </w:pPr>
    </w:p>
    <w:p>
      <w:pPr>
        <w:pStyle w:val="4"/>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highlight w:val="none"/>
          <w:lang w:val="en-US" w:eastAsia="zh-CN"/>
        </w:rPr>
        <w:t xml:space="preserve">                           岳阳市停车管理服务中心    </w:t>
      </w:r>
    </w:p>
    <w:p>
      <w:pPr>
        <w:keepNext w:val="0"/>
        <w:keepLines w:val="0"/>
        <w:pageBreakBefore w:val="0"/>
        <w:widowControl w:val="0"/>
        <w:kinsoku/>
        <w:wordWrap/>
        <w:overflowPunct/>
        <w:topLinePunct w:val="0"/>
        <w:autoSpaceDE/>
        <w:autoSpaceDN/>
        <w:bidi w:val="0"/>
        <w:adjustRightInd/>
        <w:snapToGrid/>
        <w:spacing w:afterLines="0" w:line="600" w:lineRule="exact"/>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2025年6月26日</w:t>
      </w:r>
    </w:p>
    <w:p>
      <w:pPr>
        <w:pStyle w:val="2"/>
        <w:keepNext w:val="0"/>
        <w:keepLines w:val="0"/>
        <w:pageBreakBefore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color w:val="auto"/>
          <w:sz w:val="32"/>
          <w:szCs w:val="32"/>
          <w:lang w:val="en-US" w:eastAsia="zh-CN"/>
        </w:rPr>
      </w:pPr>
    </w:p>
    <w:p>
      <w:pPr>
        <w:pStyle w:val="3"/>
        <w:rPr>
          <w:rFonts w:hint="eastAsia" w:ascii="仿宋_GB2312" w:hAnsi="仿宋_GB2312" w:eastAsia="仿宋_GB2312" w:cs="仿宋_GB2312"/>
          <w:color w:val="auto"/>
          <w:sz w:val="32"/>
          <w:szCs w:val="32"/>
          <w:lang w:val="en-US" w:eastAsia="zh-CN"/>
        </w:rPr>
      </w:pPr>
    </w:p>
    <w:p>
      <w:pPr>
        <w:rPr>
          <w:rFonts w:hint="default"/>
          <w:lang w:val="en-US" w:eastAsia="zh-CN"/>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eastAsia" w:ascii="黑体" w:hAnsi="黑体" w:eastAsia="黑体" w:cs="黑体"/>
          <w:sz w:val="32"/>
          <w:szCs w:val="32"/>
          <w:highlight w:val="none"/>
        </w:rPr>
      </w:pPr>
    </w:p>
    <w:p>
      <w:pPr>
        <w:widowControl/>
        <w:spacing w:line="600" w:lineRule="exact"/>
        <w:jc w:val="left"/>
        <w:rPr>
          <w:rFonts w:hint="default" w:ascii="Times New Roman" w:hAnsi="Times New Roman" w:eastAsia="黑体" w:cs="Times New Roman"/>
          <w:sz w:val="32"/>
          <w:szCs w:val="32"/>
          <w:highlight w:val="none"/>
          <w:lang w:val="en-US" w:eastAsia="zh-CN"/>
        </w:rPr>
      </w:pPr>
      <w:bookmarkStart w:id="0" w:name="_GoBack"/>
      <w:bookmarkEnd w:id="0"/>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1-1</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年度项目支出绩效自评表</w:t>
      </w:r>
    </w:p>
    <w:p>
      <w:pPr>
        <w:pStyle w:val="4"/>
        <w:rPr>
          <w:rFonts w:hint="eastAsia"/>
        </w:rPr>
      </w:pP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慢行交通管理工作经费　</w:t>
            </w:r>
          </w:p>
        </w:tc>
      </w:tr>
      <w:tr>
        <w:tblPrEx>
          <w:tblCellMar>
            <w:top w:w="0" w:type="dxa"/>
            <w:left w:w="108" w:type="dxa"/>
            <w:bottom w:w="0" w:type="dxa"/>
            <w:right w:w="108" w:type="dxa"/>
          </w:tblCellMar>
        </w:tblPrEx>
        <w:trPr>
          <w:trHeight w:val="495"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right" w:pos="4302"/>
              </w:tab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岳阳市城市管理和综合执法局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岳阳市停车管理服务中心</w:t>
            </w:r>
          </w:p>
        </w:tc>
      </w:tr>
      <w:tr>
        <w:tblPrEx>
          <w:tblCellMar>
            <w:top w:w="0" w:type="dxa"/>
            <w:left w:w="108" w:type="dxa"/>
            <w:bottom w:w="0" w:type="dxa"/>
            <w:right w:w="108" w:type="dxa"/>
          </w:tblCellMar>
        </w:tblPrEx>
        <w:trPr>
          <w:trHeight w:val="675"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48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tabs>
                <w:tab w:val="left" w:pos="438"/>
              </w:tabs>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ab/>
            </w:r>
            <w:r>
              <w:rPr>
                <w:rFonts w:hint="eastAsia" w:ascii="仿宋_GB2312" w:hAnsi="仿宋_GB2312" w:eastAsia="仿宋_GB2312" w:cs="仿宋_GB2312"/>
                <w:color w:val="000000"/>
                <w:sz w:val="20"/>
                <w:szCs w:val="20"/>
                <w:highlight w:val="none"/>
                <w:lang w:val="en-US" w:eastAsia="zh-CN"/>
              </w:rPr>
              <w:t>19.00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18.</w:t>
            </w:r>
            <w:r>
              <w:rPr>
                <w:rFonts w:hint="eastAsia" w:ascii="仿宋_GB2312" w:hAnsi="仿宋_GB2312" w:eastAsia="仿宋_GB2312" w:cs="仿宋_GB2312"/>
                <w:color w:val="000000"/>
                <w:sz w:val="20"/>
                <w:szCs w:val="20"/>
                <w:highlight w:val="none"/>
                <w:lang w:val="en" w:eastAsia="zh-CN"/>
              </w:rPr>
              <w:t>99</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99.95%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lang w:val="en" w:eastAsia="zh-CN"/>
              </w:rPr>
              <w:t>9.99</w:t>
            </w:r>
          </w:p>
        </w:tc>
      </w:tr>
      <w:tr>
        <w:tblPrEx>
          <w:tblCellMar>
            <w:top w:w="0" w:type="dxa"/>
            <w:left w:w="108" w:type="dxa"/>
            <w:bottom w:w="0" w:type="dxa"/>
            <w:right w:w="108" w:type="dxa"/>
          </w:tblCellMar>
        </w:tblPrEx>
        <w:trPr>
          <w:trHeight w:val="46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19.00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19.00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18.</w:t>
            </w:r>
            <w:r>
              <w:rPr>
                <w:rFonts w:hint="eastAsia" w:ascii="仿宋_GB2312" w:hAnsi="仿宋_GB2312" w:eastAsia="仿宋_GB2312" w:cs="仿宋_GB2312"/>
                <w:color w:val="000000"/>
                <w:sz w:val="20"/>
                <w:szCs w:val="20"/>
                <w:highlight w:val="none"/>
                <w:lang w:val="en" w:eastAsia="zh-CN"/>
              </w:rPr>
              <w:t>99</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5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9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35"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1916"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1、学习其他地区先进管理经验，布局合理，生态友好，清洁低碳，集约高效的绿色出行服务体系；</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2、加大宣传力度，倡导绿色出行健康环保岳阳理念，缓解城市交通压力，提升城市品位。</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3、完善共享电动自行车系统建设。</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0"/>
                <w:szCs w:val="20"/>
                <w:lang w:eastAsia="zh-CN"/>
              </w:rPr>
            </w:pPr>
            <w:r>
              <w:rPr>
                <w:rFonts w:hint="eastAsia" w:ascii="仿宋_GB2312" w:hAnsi="仿宋_GB2312" w:eastAsia="仿宋_GB2312" w:cs="仿宋_GB2312"/>
                <w:sz w:val="20"/>
                <w:szCs w:val="20"/>
              </w:rPr>
              <w:t>1</w:t>
            </w:r>
            <w:r>
              <w:rPr>
                <w:rFonts w:hint="eastAsia" w:ascii="仿宋_GB2312" w:hAnsi="仿宋_GB2312" w:eastAsia="仿宋_GB2312" w:cs="仿宋_GB2312"/>
                <w:sz w:val="20"/>
                <w:szCs w:val="20"/>
                <w:lang w:eastAsia="zh-CN"/>
              </w:rPr>
              <w:t>、逐步</w:t>
            </w:r>
            <w:r>
              <w:rPr>
                <w:rFonts w:hint="eastAsia" w:ascii="仿宋_GB2312" w:hAnsi="仿宋_GB2312" w:eastAsia="仿宋_GB2312" w:cs="仿宋_GB2312"/>
                <w:sz w:val="20"/>
                <w:szCs w:val="20"/>
                <w:lang w:val="en-US" w:eastAsia="zh-CN"/>
              </w:rPr>
              <w:t>建成了</w:t>
            </w:r>
            <w:r>
              <w:rPr>
                <w:rFonts w:hint="eastAsia" w:ascii="仿宋_GB2312" w:hAnsi="仿宋_GB2312" w:eastAsia="仿宋_GB2312" w:cs="仿宋_GB2312"/>
                <w:sz w:val="20"/>
                <w:szCs w:val="20"/>
              </w:rPr>
              <w:t>布局合理、生态友好、清洁低碳、集约高效</w:t>
            </w:r>
            <w:r>
              <w:rPr>
                <w:rFonts w:hint="eastAsia" w:ascii="仿宋_GB2312" w:hAnsi="仿宋_GB2312" w:eastAsia="仿宋_GB2312" w:cs="仿宋_GB2312"/>
                <w:sz w:val="20"/>
                <w:szCs w:val="20"/>
                <w:lang w:eastAsia="zh-CN"/>
              </w:rPr>
              <w:t>的慢行交通体系；</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sz w:val="20"/>
                <w:szCs w:val="20"/>
              </w:rPr>
            </w:pPr>
            <w:r>
              <w:rPr>
                <w:rFonts w:hint="eastAsia" w:ascii="仿宋_GB2312" w:hAnsi="仿宋_GB2312" w:eastAsia="仿宋_GB2312" w:cs="仿宋_GB2312"/>
                <w:sz w:val="20"/>
                <w:szCs w:val="20"/>
              </w:rPr>
              <w:t>2</w:t>
            </w:r>
            <w:r>
              <w:rPr>
                <w:rFonts w:hint="eastAsia" w:ascii="仿宋_GB2312" w:hAnsi="仿宋_GB2312" w:eastAsia="仿宋_GB2312" w:cs="仿宋_GB2312"/>
                <w:sz w:val="20"/>
                <w:szCs w:val="20"/>
                <w:lang w:eastAsia="zh-CN"/>
              </w:rPr>
              <w:t>、通过</w:t>
            </w:r>
            <w:r>
              <w:rPr>
                <w:rFonts w:hint="eastAsia" w:ascii="仿宋_GB2312" w:hAnsi="仿宋_GB2312" w:eastAsia="仿宋_GB2312" w:cs="仿宋_GB2312"/>
                <w:sz w:val="20"/>
                <w:szCs w:val="20"/>
              </w:rPr>
              <w:t>加</w:t>
            </w:r>
            <w:r>
              <w:rPr>
                <w:rFonts w:hint="eastAsia" w:ascii="仿宋_GB2312" w:hAnsi="仿宋_GB2312" w:eastAsia="仿宋_GB2312" w:cs="仿宋_GB2312"/>
                <w:sz w:val="20"/>
                <w:szCs w:val="20"/>
                <w:lang w:eastAsia="zh-CN"/>
              </w:rPr>
              <w:t>强绿色出行</w:t>
            </w:r>
            <w:r>
              <w:rPr>
                <w:rFonts w:hint="eastAsia" w:ascii="仿宋_GB2312" w:hAnsi="仿宋_GB2312" w:eastAsia="仿宋_GB2312" w:cs="仿宋_GB2312"/>
                <w:sz w:val="20"/>
                <w:szCs w:val="20"/>
              </w:rPr>
              <w:t>宣传，倡导绿色出行健康环保岳阳理念，城市品味</w:t>
            </w:r>
            <w:r>
              <w:rPr>
                <w:rFonts w:hint="eastAsia" w:ascii="仿宋_GB2312" w:hAnsi="仿宋_GB2312" w:eastAsia="仿宋_GB2312" w:cs="仿宋_GB2312"/>
                <w:sz w:val="20"/>
                <w:szCs w:val="20"/>
                <w:lang w:eastAsia="zh-CN"/>
              </w:rPr>
              <w:t>有效提升</w:t>
            </w:r>
            <w:r>
              <w:rPr>
                <w:rFonts w:hint="eastAsia" w:ascii="仿宋_GB2312" w:hAnsi="仿宋_GB2312" w:eastAsia="仿宋_GB2312" w:cs="仿宋_GB2312"/>
                <w:sz w:val="20"/>
                <w:szCs w:val="20"/>
              </w:rPr>
              <w:t>，城市交通压力</w:t>
            </w:r>
            <w:r>
              <w:rPr>
                <w:rFonts w:hint="eastAsia" w:ascii="仿宋_GB2312" w:hAnsi="仿宋_GB2312" w:eastAsia="仿宋_GB2312" w:cs="仿宋_GB2312"/>
                <w:sz w:val="20"/>
                <w:szCs w:val="20"/>
                <w:lang w:eastAsia="zh-CN"/>
              </w:rPr>
              <w:t>得到一定程度的缓解；</w:t>
            </w:r>
          </w:p>
          <w:p>
            <w:pPr>
              <w:pStyle w:val="4"/>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0"/>
                <w:szCs w:val="20"/>
              </w:rPr>
            </w:pPr>
            <w:r>
              <w:rPr>
                <w:rFonts w:hint="eastAsia" w:ascii="仿宋_GB2312" w:hAnsi="仿宋_GB2312" w:eastAsia="仿宋_GB2312" w:cs="仿宋_GB2312"/>
                <w:color w:val="000000"/>
                <w:sz w:val="20"/>
                <w:szCs w:val="20"/>
                <w:highlight w:val="none"/>
                <w:lang w:val="en-US" w:eastAsia="zh-CN"/>
              </w:rPr>
              <w:t>3、共享电动自行车系统建设</w:t>
            </w:r>
            <w:r>
              <w:rPr>
                <w:rFonts w:hint="eastAsia" w:ascii="仿宋_GB2312" w:hAnsi="仿宋_GB2312" w:eastAsia="仿宋_GB2312" w:cs="仿宋_GB2312"/>
                <w:color w:val="000000"/>
                <w:sz w:val="20"/>
                <w:szCs w:val="20"/>
                <w:highlight w:val="none"/>
                <w:lang w:eastAsia="zh-CN"/>
              </w:rPr>
              <w:t>得到进一步优化。</w:t>
            </w:r>
          </w:p>
        </w:tc>
      </w:tr>
      <w:tr>
        <w:tblPrEx>
          <w:tblCellMar>
            <w:top w:w="0" w:type="dxa"/>
            <w:left w:w="108" w:type="dxa"/>
            <w:bottom w:w="0" w:type="dxa"/>
            <w:right w:w="108" w:type="dxa"/>
          </w:tblCellMar>
        </w:tblPrEx>
        <w:trPr>
          <w:trHeight w:val="685" w:hRule="atLeast"/>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学习其他地区先进的</w:t>
            </w:r>
            <w:r>
              <w:rPr>
                <w:rFonts w:hint="eastAsia" w:ascii="仿宋_GB2312" w:hAnsi="仿宋_GB2312" w:eastAsia="仿宋_GB2312" w:cs="仿宋_GB2312"/>
                <w:color w:val="000000"/>
                <w:sz w:val="20"/>
                <w:szCs w:val="20"/>
                <w:highlight w:val="none"/>
                <w:lang w:eastAsia="zh-CN"/>
              </w:rPr>
              <w:t>慢行交通</w:t>
            </w:r>
            <w:r>
              <w:rPr>
                <w:rFonts w:hint="eastAsia" w:ascii="仿宋_GB2312" w:hAnsi="仿宋_GB2312" w:eastAsia="仿宋_GB2312" w:cs="仿宋_GB2312"/>
                <w:color w:val="000000"/>
                <w:sz w:val="20"/>
                <w:szCs w:val="20"/>
                <w:highlight w:val="none"/>
              </w:rPr>
              <w:t>管理工作经验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2</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共享电动自行车运营管理考评考核</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6次以上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12次</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开展倡导绿色出行宣传工作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共享电动自行车运营</w:t>
            </w:r>
            <w:r>
              <w:rPr>
                <w:rFonts w:hint="eastAsia" w:ascii="仿宋_GB2312" w:hAnsi="仿宋_GB2312" w:eastAsia="仿宋_GB2312" w:cs="仿宋_GB2312"/>
                <w:color w:val="000000"/>
                <w:sz w:val="20"/>
                <w:szCs w:val="20"/>
                <w:highlight w:val="none"/>
                <w:lang w:eastAsia="zh-CN"/>
              </w:rPr>
              <w:t>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6000台正常运行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正常运行</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少部分车辆维护及时性有待加强</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合理设置网点</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方便市民使用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站点设置规范</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市民使用</w:t>
            </w:r>
            <w:r>
              <w:rPr>
                <w:rFonts w:hint="eastAsia" w:ascii="仿宋_GB2312" w:hAnsi="仿宋_GB2312" w:eastAsia="仿宋_GB2312" w:cs="仿宋_GB2312"/>
                <w:color w:val="000000"/>
                <w:sz w:val="20"/>
                <w:szCs w:val="20"/>
                <w:highlight w:val="none"/>
                <w:lang w:eastAsia="zh-CN"/>
              </w:rPr>
              <w:t>便利。</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站点设置还有待进一步优化</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CESI仿宋-GB2312" w:hAnsi="CESI仿宋-GB2312" w:eastAsia="CESI仿宋-GB2312" w:cs="CESI仿宋-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按项目实施管理办法和项目实施细则按时完成</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202</w:t>
            </w:r>
            <w:r>
              <w:rPr>
                <w:rFonts w:hint="eastAsia" w:ascii="仿宋_GB2312" w:hAnsi="仿宋_GB2312" w:eastAsia="仿宋_GB2312" w:cs="仿宋_GB2312"/>
                <w:color w:val="000000"/>
                <w:sz w:val="20"/>
                <w:szCs w:val="20"/>
                <w:highlight w:val="none"/>
                <w:lang w:val="en"/>
              </w:rPr>
              <w:t>4</w:t>
            </w:r>
            <w:r>
              <w:rPr>
                <w:rFonts w:hint="eastAsia" w:ascii="仿宋_GB2312" w:hAnsi="仿宋_GB2312" w:eastAsia="仿宋_GB2312" w:cs="仿宋_GB2312"/>
                <w:color w:val="000000"/>
                <w:sz w:val="20"/>
                <w:szCs w:val="20"/>
                <w:highlight w:val="none"/>
              </w:rPr>
              <w:t>年12月31日前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202</w:t>
            </w:r>
            <w:r>
              <w:rPr>
                <w:rFonts w:hint="eastAsia" w:ascii="仿宋_GB2312" w:hAnsi="仿宋_GB2312" w:eastAsia="仿宋_GB2312" w:cs="仿宋_GB2312"/>
                <w:color w:val="000000"/>
                <w:sz w:val="20"/>
                <w:szCs w:val="20"/>
                <w:highlight w:val="none"/>
                <w:lang w:val="en"/>
              </w:rPr>
              <w:t>4</w:t>
            </w:r>
            <w:r>
              <w:rPr>
                <w:rFonts w:hint="eastAsia" w:ascii="仿宋_GB2312" w:hAnsi="仿宋_GB2312" w:eastAsia="仿宋_GB2312" w:cs="仿宋_GB2312"/>
                <w:color w:val="000000"/>
                <w:sz w:val="20"/>
                <w:szCs w:val="20"/>
                <w:highlight w:val="none"/>
              </w:rPr>
              <w:t>年12月31日前</w:t>
            </w:r>
            <w:r>
              <w:rPr>
                <w:rFonts w:hint="eastAsia" w:ascii="仿宋_GB2312" w:hAnsi="仿宋_GB2312" w:eastAsia="仿宋_GB2312" w:cs="仿宋_GB2312"/>
                <w:color w:val="000000"/>
                <w:sz w:val="20"/>
                <w:szCs w:val="20"/>
                <w:highlight w:val="none"/>
                <w:lang w:eastAsia="zh-CN"/>
              </w:rPr>
              <w:t>如期完成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项目实施成本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19万元以内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未超预算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中心城区共享电动自行车系统建设成本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避免重复建设支出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避免</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重复建设支出</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88" w:hRule="atLeast"/>
          <w:jc w:val="center"/>
        </w:trPr>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是否对自然生态环境造成负面影响</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064"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市民出行成本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降低市民出行成本</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降低</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市民出行成本</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i w:val="0"/>
                <w:color w:val="000000"/>
                <w:kern w:val="0"/>
                <w:sz w:val="20"/>
                <w:szCs w:val="20"/>
                <w:u w:val="none"/>
                <w:lang w:val="en-US" w:eastAsia="zh-CN" w:bidi="ar"/>
              </w:rPr>
              <w:t>为市民出行提供便利</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i w:val="0"/>
                <w:color w:val="000000"/>
                <w:kern w:val="0"/>
                <w:sz w:val="20"/>
                <w:szCs w:val="20"/>
                <w:u w:val="none"/>
                <w:lang w:val="en-US" w:eastAsia="zh-CN" w:bidi="ar"/>
              </w:rPr>
              <w:t>解决市民出行“最后一公里”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i w:val="0"/>
                <w:color w:val="000000"/>
                <w:kern w:val="0"/>
                <w:sz w:val="20"/>
                <w:szCs w:val="20"/>
                <w:u w:val="none"/>
                <w:lang w:val="en-US" w:eastAsia="zh-CN" w:bidi="ar"/>
              </w:rPr>
              <w:t>解决了市民出行“最后一公里”</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i w:val="0"/>
                <w:color w:val="000000"/>
                <w:kern w:val="0"/>
                <w:sz w:val="20"/>
                <w:szCs w:val="20"/>
                <w:u w:val="none"/>
                <w:lang w:val="en-US" w:eastAsia="zh-CN" w:bidi="ar"/>
              </w:rPr>
              <w:t>缓解城市交通压力</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i w:val="0"/>
                <w:color w:val="000000"/>
                <w:kern w:val="0"/>
                <w:sz w:val="20"/>
                <w:szCs w:val="20"/>
                <w:u w:val="none"/>
                <w:lang w:val="en-US" w:eastAsia="zh-CN" w:bidi="ar"/>
              </w:rPr>
              <w:t>缓解城市交通压力</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缓解了交通压力，方便市民出行</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节能减排，助力提升环保。</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i w:val="0"/>
                <w:color w:val="000000"/>
                <w:kern w:val="0"/>
                <w:sz w:val="20"/>
                <w:szCs w:val="20"/>
                <w:u w:val="none"/>
                <w:lang w:val="en-US" w:eastAsia="zh-CN" w:bidi="ar"/>
              </w:rPr>
              <w:t>调节城市空气质量，改善城市生态环境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有效助力了改善城市生态环境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auto"/>
                <w:sz w:val="20"/>
                <w:szCs w:val="20"/>
                <w:highlight w:val="none"/>
              </w:rPr>
              <w:t>节能减排</w:t>
            </w:r>
            <w:r>
              <w:rPr>
                <w:rFonts w:hint="eastAsia" w:ascii="仿宋_GB2312" w:hAnsi="仿宋_GB2312" w:eastAsia="仿宋_GB2312" w:cs="仿宋_GB2312"/>
                <w:color w:val="auto"/>
                <w:sz w:val="20"/>
                <w:szCs w:val="20"/>
                <w:highlight w:val="none"/>
                <w:lang w:eastAsia="zh-CN"/>
              </w:rPr>
              <w:t>，助力城市空气质量改善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rPr>
              <w:t>节能减排</w:t>
            </w:r>
            <w:r>
              <w:rPr>
                <w:rFonts w:hint="eastAsia" w:ascii="仿宋_GB2312" w:hAnsi="仿宋_GB2312" w:eastAsia="仿宋_GB2312" w:cs="仿宋_GB2312"/>
                <w:color w:val="auto"/>
                <w:sz w:val="20"/>
                <w:szCs w:val="20"/>
                <w:highlight w:val="none"/>
                <w:lang w:eastAsia="zh-CN"/>
              </w:rPr>
              <w:t>，助力城市空气质量改善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color w:val="auto"/>
                <w:sz w:val="20"/>
                <w:szCs w:val="20"/>
                <w:highlight w:val="none"/>
                <w:lang w:eastAsia="zh-CN"/>
              </w:rPr>
              <w:t>起到了</w:t>
            </w:r>
            <w:r>
              <w:rPr>
                <w:rFonts w:hint="eastAsia" w:ascii="仿宋_GB2312" w:hAnsi="仿宋_GB2312" w:eastAsia="仿宋_GB2312" w:cs="仿宋_GB2312"/>
                <w:color w:val="auto"/>
                <w:sz w:val="20"/>
                <w:szCs w:val="20"/>
                <w:highlight w:val="none"/>
              </w:rPr>
              <w:t>节能减排</w:t>
            </w:r>
            <w:r>
              <w:rPr>
                <w:rFonts w:hint="eastAsia" w:ascii="仿宋_GB2312" w:hAnsi="仿宋_GB2312" w:eastAsia="仿宋_GB2312" w:cs="仿宋_GB2312"/>
                <w:color w:val="auto"/>
                <w:sz w:val="20"/>
                <w:szCs w:val="20"/>
                <w:highlight w:val="none"/>
                <w:lang w:eastAsia="zh-CN"/>
              </w:rPr>
              <w:t>的作用，助力城市空气质量改善</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sz w:val="20"/>
                <w:szCs w:val="20"/>
              </w:rPr>
              <w:t>提供多样化的出行交通工具</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color w:val="auto"/>
                <w:sz w:val="20"/>
                <w:szCs w:val="20"/>
                <w:highlight w:val="none"/>
                <w:lang w:val="en-US" w:eastAsia="zh-CN"/>
              </w:rPr>
              <w:t>缓解交通压力</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sz w:val="20"/>
                <w:szCs w:val="20"/>
              </w:rPr>
              <w:t>提供多样化的出行交通工具</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color w:val="auto"/>
                <w:sz w:val="20"/>
                <w:szCs w:val="20"/>
                <w:highlight w:val="none"/>
                <w:lang w:val="en-US" w:eastAsia="zh-CN"/>
              </w:rPr>
              <w:t>有效缓解交通压力</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auto"/>
                <w:kern w:val="0"/>
                <w:sz w:val="20"/>
                <w:szCs w:val="20"/>
                <w:highlight w:val="none"/>
                <w:lang w:val="en-US" w:eastAsia="zh-CN" w:bidi="ar-SA"/>
              </w:rPr>
            </w:pPr>
            <w:r>
              <w:rPr>
                <w:rFonts w:hint="eastAsia" w:ascii="仿宋_GB2312" w:hAnsi="仿宋_GB2312" w:eastAsia="仿宋_GB2312" w:cs="仿宋_GB2312"/>
                <w:sz w:val="20"/>
                <w:szCs w:val="20"/>
              </w:rPr>
              <w:t>提供</w:t>
            </w:r>
            <w:r>
              <w:rPr>
                <w:rFonts w:hint="eastAsia" w:ascii="仿宋_GB2312" w:hAnsi="仿宋_GB2312" w:eastAsia="仿宋_GB2312" w:cs="仿宋_GB2312"/>
                <w:sz w:val="20"/>
                <w:szCs w:val="20"/>
                <w:lang w:eastAsia="zh-CN"/>
              </w:rPr>
              <w:t>了</w:t>
            </w:r>
            <w:r>
              <w:rPr>
                <w:rFonts w:hint="eastAsia" w:ascii="仿宋_GB2312" w:hAnsi="仿宋_GB2312" w:eastAsia="仿宋_GB2312" w:cs="仿宋_GB2312"/>
                <w:sz w:val="20"/>
                <w:szCs w:val="20"/>
              </w:rPr>
              <w:t>多样化的出行交通工具</w:t>
            </w:r>
            <w:r>
              <w:rPr>
                <w:rFonts w:hint="eastAsia" w:ascii="仿宋_GB2312" w:hAnsi="仿宋_GB2312" w:eastAsia="仿宋_GB2312" w:cs="仿宋_GB2312"/>
                <w:sz w:val="20"/>
                <w:szCs w:val="20"/>
                <w:lang w:eastAsia="zh-CN"/>
              </w:rPr>
              <w:t>，</w:t>
            </w:r>
            <w:r>
              <w:rPr>
                <w:rFonts w:hint="eastAsia" w:ascii="仿宋_GB2312" w:hAnsi="仿宋_GB2312" w:eastAsia="仿宋_GB2312" w:cs="仿宋_GB2312"/>
                <w:color w:val="auto"/>
                <w:sz w:val="20"/>
                <w:szCs w:val="20"/>
                <w:highlight w:val="none"/>
                <w:lang w:val="en-US" w:eastAsia="zh-CN"/>
              </w:rPr>
              <w:t>有效缓解了交通压力</w:t>
            </w:r>
            <w:r>
              <w:rPr>
                <w:rFonts w:hint="eastAsia" w:ascii="仿宋_GB2312" w:hAnsi="仿宋_GB2312" w:eastAsia="仿宋_GB2312" w:cs="仿宋_GB2312"/>
                <w:color w:val="auto"/>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nil"/>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市民满意度</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满意率达95%以</w:t>
            </w:r>
            <w:r>
              <w:rPr>
                <w:rFonts w:hint="eastAsia" w:ascii="仿宋_GB2312" w:hAnsi="仿宋_GB2312" w:eastAsia="仿宋_GB2312" w:cs="仿宋_GB2312"/>
                <w:color w:val="000000"/>
                <w:sz w:val="20"/>
                <w:szCs w:val="20"/>
                <w:highlight w:val="none"/>
                <w:lang w:eastAsia="zh-CN"/>
              </w:rPr>
              <w:t>上</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77"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auto"/>
                <w:sz w:val="20"/>
                <w:szCs w:val="20"/>
                <w:highlight w:val="none"/>
                <w:lang w:val="en-US" w:eastAsia="zh-CN"/>
              </w:rPr>
              <w:t>9</w:t>
            </w:r>
            <w:r>
              <w:rPr>
                <w:rFonts w:hint="eastAsia" w:ascii="仿宋_GB2312" w:hAnsi="仿宋_GB2312" w:eastAsia="仿宋_GB2312" w:cs="仿宋_GB2312"/>
                <w:color w:val="auto"/>
                <w:sz w:val="20"/>
                <w:szCs w:val="20"/>
                <w:highlight w:val="none"/>
                <w:lang w:val="en" w:eastAsia="zh-CN"/>
              </w:rPr>
              <w:t>7.99</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2"/>
          <w:highlight w:val="none"/>
        </w:rPr>
      </w:pP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2"/>
          <w:szCs w:val="22"/>
          <w:highlight w:val="none"/>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val="en-US" w:eastAsia="zh-CN"/>
        </w:rPr>
        <w:t>龙邓</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填报日期：</w:t>
      </w:r>
      <w:r>
        <w:rPr>
          <w:rFonts w:hint="eastAsia" w:ascii="仿宋_GB2312" w:hAnsi="仿宋_GB2312" w:eastAsia="仿宋_GB2312" w:cs="仿宋_GB2312"/>
          <w:sz w:val="22"/>
          <w:highlight w:val="none"/>
          <w:lang w:val="en-US" w:eastAsia="zh-CN"/>
        </w:rPr>
        <w:t>202</w:t>
      </w:r>
      <w:r>
        <w:rPr>
          <w:rFonts w:hint="eastAsia" w:ascii="仿宋_GB2312" w:hAnsi="仿宋_GB2312" w:eastAsia="仿宋_GB2312" w:cs="仿宋_GB2312"/>
          <w:sz w:val="22"/>
          <w:highlight w:val="none"/>
          <w:lang w:val="en" w:eastAsia="zh-CN"/>
        </w:rPr>
        <w:t>5</w:t>
      </w:r>
      <w:r>
        <w:rPr>
          <w:rFonts w:hint="eastAsia" w:ascii="仿宋_GB2312" w:hAnsi="仿宋_GB2312" w:eastAsia="仿宋_GB2312" w:cs="仿宋_GB2312"/>
          <w:sz w:val="22"/>
          <w:highlight w:val="none"/>
          <w:lang w:val="en-US" w:eastAsia="zh-CN"/>
        </w:rPr>
        <w:t>.6.2</w:t>
      </w:r>
      <w:r>
        <w:rPr>
          <w:rFonts w:hint="eastAsia" w:ascii="仿宋_GB2312" w:hAnsi="仿宋_GB2312" w:eastAsia="仿宋_GB2312" w:cs="仿宋_GB2312"/>
          <w:sz w:val="22"/>
          <w:highlight w:val="none"/>
          <w:lang w:val="en" w:eastAsia="zh-CN"/>
        </w:rPr>
        <w:t>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8220516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val="en-US" w:eastAsia="zh-CN"/>
        </w:rPr>
        <w:t>何志军</w:t>
      </w:r>
      <w:r>
        <w:rPr>
          <w:rFonts w:hint="eastAsia" w:ascii="仿宋_GB2312" w:hAnsi="仿宋_GB2312" w:eastAsia="仿宋_GB2312" w:cs="仿宋_GB2312"/>
          <w:sz w:val="22"/>
          <w:highlight w:val="none"/>
        </w:rPr>
        <w:br w:type="page"/>
      </w: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1-2</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年度项目支出绩效自评表</w:t>
      </w:r>
    </w:p>
    <w:p>
      <w:pPr>
        <w:pStyle w:val="4"/>
        <w:rPr>
          <w:rFonts w:hint="eastAsia"/>
        </w:rPr>
      </w:pP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设施设备维护费　</w:t>
            </w:r>
          </w:p>
        </w:tc>
      </w:tr>
      <w:tr>
        <w:tblPrEx>
          <w:tblCellMar>
            <w:top w:w="0" w:type="dxa"/>
            <w:left w:w="108" w:type="dxa"/>
            <w:bottom w:w="0" w:type="dxa"/>
            <w:right w:w="108" w:type="dxa"/>
          </w:tblCellMar>
        </w:tblPrEx>
        <w:trPr>
          <w:trHeight w:val="445"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right" w:pos="4302"/>
              </w:tab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岳阳市城市管理和综合执法局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岳阳市停车管理服务中心</w:t>
            </w:r>
          </w:p>
        </w:tc>
      </w:tr>
      <w:tr>
        <w:tblPrEx>
          <w:tblCellMar>
            <w:top w:w="0" w:type="dxa"/>
            <w:left w:w="108" w:type="dxa"/>
            <w:bottom w:w="0" w:type="dxa"/>
            <w:right w:w="108" w:type="dxa"/>
          </w:tblCellMar>
        </w:tblPrEx>
        <w:trPr>
          <w:trHeight w:val="553"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47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
              </w:rPr>
              <w:t xml:space="preserve"> </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lang w:val="en" w:eastAsia="zh-CN"/>
              </w:rPr>
              <w:t>3.46</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lang w:val="en" w:eastAsia="zh-CN"/>
              </w:rPr>
              <w:t>3.46</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200" w:firstLineChars="100"/>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lang w:val="en" w:eastAsia="zh-CN"/>
              </w:rPr>
              <w:t>33.46</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 w:eastAsia="zh-CN"/>
              </w:rPr>
              <w:t>100</w:t>
            </w:r>
            <w:r>
              <w:rPr>
                <w:rFonts w:hint="eastAsia" w:ascii="仿宋_GB2312" w:hAnsi="仿宋_GB2312" w:eastAsia="仿宋_GB2312" w:cs="仿宋_GB2312"/>
                <w:color w:val="000000"/>
                <w:sz w:val="20"/>
                <w:szCs w:val="20"/>
                <w:highlight w:val="none"/>
                <w:lang w:val="en-US" w:eastAsia="zh-CN"/>
              </w:rPr>
              <w:t>%</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lang w:val="en" w:eastAsia="zh-CN"/>
              </w:rPr>
              <w:t>10</w:t>
            </w:r>
          </w:p>
        </w:tc>
      </w:tr>
      <w:tr>
        <w:tblPrEx>
          <w:tblCellMar>
            <w:top w:w="0" w:type="dxa"/>
            <w:left w:w="108" w:type="dxa"/>
            <w:bottom w:w="0" w:type="dxa"/>
            <w:right w:w="108" w:type="dxa"/>
          </w:tblCellMar>
        </w:tblPrEx>
        <w:trPr>
          <w:trHeight w:val="41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30</w:t>
            </w:r>
            <w:r>
              <w:rPr>
                <w:rFonts w:hint="eastAsia" w:ascii="仿宋_GB2312" w:hAnsi="仿宋_GB2312" w:eastAsia="仿宋_GB2312" w:cs="仿宋_GB2312"/>
                <w:color w:val="000000"/>
                <w:sz w:val="20"/>
                <w:szCs w:val="20"/>
                <w:highlight w:val="none"/>
                <w:lang w:val="en" w:eastAsia="zh-CN"/>
              </w:rPr>
              <w:t>.00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w:t>
            </w:r>
            <w:r>
              <w:rPr>
                <w:rFonts w:hint="eastAsia" w:ascii="仿宋_GB2312" w:hAnsi="仿宋_GB2312" w:eastAsia="仿宋_GB2312" w:cs="仿宋_GB2312"/>
                <w:color w:val="000000"/>
                <w:sz w:val="20"/>
                <w:szCs w:val="20"/>
                <w:highlight w:val="none"/>
                <w:lang w:val="en" w:eastAsia="zh-CN"/>
              </w:rPr>
              <w:t>.00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
              </w:rPr>
              <w:t>30.00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0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
              </w:rPr>
              <w:t xml:space="preserve"> 3.46</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
              </w:rPr>
              <w:t>3.46</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
              </w:rPr>
              <w:t>3.46</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1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75"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1095" w:hRule="atLeast"/>
          <w:jc w:val="center"/>
        </w:trPr>
        <w:tc>
          <w:tcPr>
            <w:tcW w:w="1080" w:type="dxa"/>
            <w:vMerge w:val="continue"/>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tabs>
                <w:tab w:val="left" w:pos="1583"/>
                <w:tab w:val="center" w:pos="2411"/>
              </w:tabs>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1、及时维护停车管理信息平台，保障正常运行；</w:t>
            </w:r>
            <w:r>
              <w:rPr>
                <w:rFonts w:hint="eastAsia" w:ascii="仿宋_GB2312" w:hAnsi="仿宋_GB2312" w:eastAsia="仿宋_GB2312" w:cs="仿宋_GB2312"/>
                <w:color w:val="000000"/>
                <w:sz w:val="20"/>
                <w:szCs w:val="20"/>
                <w:highlight w:val="none"/>
                <w:lang w:val="en-US" w:eastAsia="zh-CN"/>
              </w:rPr>
              <w:t xml:space="preserve">  </w:t>
            </w:r>
            <w:r>
              <w:rPr>
                <w:rFonts w:hint="eastAsia" w:ascii="仿宋_GB2312" w:hAnsi="仿宋_GB2312" w:eastAsia="仿宋_GB2312" w:cs="仿宋_GB2312"/>
                <w:color w:val="000000"/>
                <w:sz w:val="20"/>
                <w:szCs w:val="20"/>
                <w:highlight w:val="none"/>
                <w:lang w:eastAsia="zh-CN"/>
              </w:rPr>
              <w:t>2、及时更新中心城区人行道停车泊位及停车辅助设施设备，方便市民停车，改善中心城区人行道停车秩序。</w:t>
            </w:r>
            <w:r>
              <w:rPr>
                <w:rFonts w:hint="eastAsia" w:ascii="仿宋_GB2312" w:hAnsi="仿宋_GB2312" w:eastAsia="仿宋_GB2312" w:cs="仿宋_GB2312"/>
                <w:color w:val="000000"/>
                <w:sz w:val="20"/>
                <w:szCs w:val="20"/>
                <w:highlight w:val="none"/>
              </w:rPr>
              <w:t>　</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lang w:eastAsia="zh-CN"/>
              </w:rPr>
              <w:t>及时维护了停车管理信息平台，保障其</w:t>
            </w:r>
            <w:r>
              <w:rPr>
                <w:rFonts w:hint="eastAsia" w:ascii="仿宋_GB2312" w:hAnsi="仿宋_GB2312" w:eastAsia="仿宋_GB2312" w:cs="仿宋_GB2312"/>
                <w:color w:val="000000"/>
                <w:sz w:val="20"/>
                <w:szCs w:val="20"/>
                <w:highlight w:val="none"/>
                <w:lang w:val="en-US" w:eastAsia="zh-CN"/>
              </w:rPr>
              <w:t>24小时处于良好</w:t>
            </w:r>
            <w:r>
              <w:rPr>
                <w:rFonts w:hint="eastAsia" w:ascii="仿宋_GB2312" w:hAnsi="仿宋_GB2312" w:eastAsia="仿宋_GB2312" w:cs="仿宋_GB2312"/>
                <w:color w:val="000000"/>
                <w:sz w:val="20"/>
                <w:szCs w:val="20"/>
                <w:highlight w:val="none"/>
                <w:lang w:eastAsia="zh-CN"/>
              </w:rPr>
              <w:t>的运行状态；</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更新</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城区人行道部分停车泊位及停车辅助设施，方便</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市民停车，提升城市人行道停车秩序。</w:t>
            </w:r>
          </w:p>
        </w:tc>
      </w:tr>
      <w:tr>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维护及安装隔离桩</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i w:val="0"/>
                <w:color w:val="000000"/>
                <w:kern w:val="0"/>
                <w:sz w:val="20"/>
                <w:szCs w:val="20"/>
                <w:u w:val="none"/>
                <w:lang w:val="en-US" w:eastAsia="zh-CN" w:bidi="ar"/>
              </w:rPr>
              <w:t>维护及安装600余个隔离桩</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600余个隔离桩安装得到及时维护</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维护及安装停车栏杆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安装维护700余米停车栏杆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700余米停车栏杆得到及时维护</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i w:val="0"/>
                <w:color w:val="000000"/>
                <w:kern w:val="0"/>
                <w:sz w:val="20"/>
                <w:szCs w:val="20"/>
                <w:u w:val="none"/>
                <w:lang w:val="en-US" w:eastAsia="zh-CN" w:bidi="ar"/>
              </w:rPr>
              <w:t>维护人行道公共停车泊位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保障12000个停车泊位处于良好使用状态</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12000余个停车泊位处于良好使用状态</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248"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设施设备使用状态</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设施设备完好，保证运行安全。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设施设备使用状态</w:t>
            </w:r>
            <w:r>
              <w:rPr>
                <w:rFonts w:hint="eastAsia" w:ascii="仿宋_GB2312" w:hAnsi="仿宋_GB2312" w:eastAsia="仿宋_GB2312" w:cs="仿宋_GB2312"/>
                <w:color w:val="000000"/>
                <w:sz w:val="20"/>
                <w:szCs w:val="20"/>
                <w:highlight w:val="none"/>
                <w:lang w:eastAsia="zh-CN"/>
              </w:rPr>
              <w:t>良好</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rPr>
            </w:pP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对设施、设备的维护</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符合相关规定</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均</w:t>
            </w:r>
            <w:r>
              <w:rPr>
                <w:rFonts w:hint="eastAsia" w:ascii="仿宋_GB2312" w:hAnsi="仿宋_GB2312" w:eastAsia="仿宋_GB2312" w:cs="仿宋_GB2312"/>
                <w:color w:val="000000"/>
                <w:sz w:val="20"/>
                <w:szCs w:val="20"/>
                <w:highlight w:val="none"/>
              </w:rPr>
              <w:t>符合相关规定</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i w:val="0"/>
                <w:color w:val="000000"/>
                <w:kern w:val="0"/>
                <w:sz w:val="20"/>
                <w:szCs w:val="20"/>
                <w:u w:val="none"/>
                <w:lang w:val="en-US" w:eastAsia="zh-CN" w:bidi="ar"/>
              </w:rPr>
              <w:t>更新停车泊位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规格符合国家相关规定</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规格均符合国家相关规定</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59"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按年度工作计划执行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于202</w:t>
            </w:r>
            <w:r>
              <w:rPr>
                <w:rFonts w:hint="eastAsia" w:ascii="仿宋_GB2312" w:hAnsi="仿宋_GB2312" w:eastAsia="仿宋_GB2312" w:cs="仿宋_GB2312"/>
                <w:color w:val="000000"/>
                <w:sz w:val="20"/>
                <w:szCs w:val="20"/>
                <w:highlight w:val="none"/>
                <w:lang w:val="en"/>
              </w:rPr>
              <w:t>4</w:t>
            </w:r>
            <w:r>
              <w:rPr>
                <w:rFonts w:hint="eastAsia" w:ascii="仿宋_GB2312" w:hAnsi="仿宋_GB2312" w:eastAsia="仿宋_GB2312" w:cs="仿宋_GB2312"/>
                <w:color w:val="000000"/>
                <w:sz w:val="20"/>
                <w:szCs w:val="20"/>
                <w:highlight w:val="none"/>
              </w:rPr>
              <w:t>年12月3</w:t>
            </w:r>
            <w:r>
              <w:rPr>
                <w:rFonts w:hint="eastAsia" w:ascii="仿宋_GB2312" w:hAnsi="仿宋_GB2312" w:eastAsia="仿宋_GB2312" w:cs="仿宋_GB2312"/>
                <w:color w:val="000000"/>
                <w:sz w:val="20"/>
                <w:szCs w:val="20"/>
                <w:highlight w:val="none"/>
                <w:lang w:val="en"/>
              </w:rPr>
              <w:t>1</w:t>
            </w:r>
            <w:r>
              <w:rPr>
                <w:rFonts w:hint="eastAsia" w:ascii="仿宋_GB2312" w:hAnsi="仿宋_GB2312" w:eastAsia="仿宋_GB2312" w:cs="仿宋_GB2312"/>
                <w:color w:val="000000"/>
                <w:sz w:val="20"/>
                <w:szCs w:val="20"/>
                <w:highlight w:val="none"/>
              </w:rPr>
              <w:t>日前完成</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均按时完成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合理使用工作经费</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3</w:t>
            </w:r>
            <w:r>
              <w:rPr>
                <w:rFonts w:hint="eastAsia" w:ascii="仿宋_GB2312" w:hAnsi="仿宋_GB2312" w:eastAsia="仿宋_GB2312" w:cs="仿宋_GB2312"/>
                <w:color w:val="000000"/>
                <w:sz w:val="20"/>
                <w:szCs w:val="20"/>
                <w:highlight w:val="none"/>
                <w:lang w:val="en" w:eastAsia="zh-CN"/>
              </w:rPr>
              <w:t>3.46</w:t>
            </w:r>
            <w:r>
              <w:rPr>
                <w:rFonts w:hint="eastAsia" w:ascii="仿宋_GB2312" w:hAnsi="仿宋_GB2312" w:eastAsia="仿宋_GB2312" w:cs="仿宋_GB2312"/>
                <w:color w:val="000000"/>
                <w:sz w:val="20"/>
                <w:szCs w:val="20"/>
                <w:highlight w:val="none"/>
                <w:lang w:val="en-US" w:eastAsia="zh-CN"/>
              </w:rPr>
              <w:t>万元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未超预算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是否对社会发展造成负面影响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是否对自然生态环境造成负面影响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86"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无直接经济效益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i w:val="0"/>
                <w:color w:val="000000"/>
                <w:kern w:val="0"/>
                <w:sz w:val="20"/>
                <w:szCs w:val="20"/>
                <w:u w:val="none"/>
                <w:lang w:val="en-US" w:eastAsia="zh-CN" w:bidi="ar"/>
              </w:rPr>
              <w:t>及时维护，减少次生维护费用。</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有效控制维护成本</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259"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人行道停车设施规范、美观</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提升城市整体形象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提升了城市整体形象</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1821"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规划设置生态</w:t>
            </w:r>
            <w:r>
              <w:rPr>
                <w:rFonts w:hint="eastAsia" w:ascii="仿宋_GB2312" w:hAnsi="仿宋_GB2312" w:eastAsia="仿宋_GB2312" w:cs="仿宋_GB2312"/>
                <w:color w:val="000000"/>
                <w:sz w:val="20"/>
                <w:szCs w:val="20"/>
                <w:highlight w:val="none"/>
              </w:rPr>
              <w:t>停车</w:t>
            </w:r>
            <w:r>
              <w:rPr>
                <w:rFonts w:hint="eastAsia" w:ascii="仿宋_GB2312" w:hAnsi="仿宋_GB2312" w:eastAsia="仿宋_GB2312" w:cs="仿宋_GB2312"/>
                <w:color w:val="000000"/>
                <w:sz w:val="20"/>
                <w:szCs w:val="20"/>
                <w:highlight w:val="none"/>
                <w:lang w:eastAsia="zh-CN"/>
              </w:rPr>
              <w:t>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tabs>
                <w:tab w:val="left" w:pos="555"/>
              </w:tabs>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改善城市空气质量，提升城市整体形象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有条件的地方已设置生态停车</w:t>
            </w:r>
            <w:r>
              <w:rPr>
                <w:rFonts w:hint="eastAsia" w:ascii="仿宋_GB2312" w:hAnsi="仿宋_GB2312" w:eastAsia="仿宋_GB2312" w:cs="仿宋_GB2312"/>
                <w:color w:val="000000"/>
                <w:sz w:val="20"/>
                <w:szCs w:val="20"/>
                <w:highlight w:val="none"/>
                <w:lang w:val="en-US" w:eastAsia="zh-CN"/>
              </w:rPr>
              <w:t>场，</w:t>
            </w:r>
            <w:r>
              <w:rPr>
                <w:rFonts w:hint="eastAsia" w:ascii="仿宋_GB2312" w:hAnsi="仿宋_GB2312" w:eastAsia="仿宋_GB2312" w:cs="仿宋_GB2312"/>
                <w:color w:val="000000"/>
                <w:sz w:val="20"/>
                <w:szCs w:val="20"/>
                <w:highlight w:val="none"/>
              </w:rPr>
              <w:t>城市整体形象</w:t>
            </w:r>
            <w:r>
              <w:rPr>
                <w:rFonts w:hint="eastAsia" w:ascii="仿宋_GB2312" w:hAnsi="仿宋_GB2312" w:eastAsia="仿宋_GB2312" w:cs="仿宋_GB2312"/>
                <w:color w:val="000000"/>
                <w:sz w:val="20"/>
                <w:szCs w:val="20"/>
                <w:highlight w:val="none"/>
                <w:lang w:eastAsia="zh-CN"/>
              </w:rPr>
              <w:t>不断提升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i w:val="0"/>
                <w:color w:val="000000"/>
                <w:kern w:val="0"/>
                <w:sz w:val="20"/>
                <w:szCs w:val="20"/>
                <w:u w:val="none"/>
                <w:lang w:val="en-US" w:eastAsia="zh-CN" w:bidi="ar"/>
              </w:rPr>
              <w:t>提供停车资源</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i w:val="0"/>
                <w:color w:val="000000"/>
                <w:kern w:val="0"/>
                <w:sz w:val="20"/>
                <w:szCs w:val="20"/>
                <w:u w:val="none"/>
                <w:lang w:val="en-US" w:eastAsia="zh-CN" w:bidi="ar"/>
              </w:rPr>
              <w:t>挖掘停车资源，缓解市民“停车难”</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i w:val="0"/>
                <w:color w:val="000000"/>
                <w:kern w:val="0"/>
                <w:sz w:val="20"/>
                <w:szCs w:val="20"/>
                <w:u w:val="none"/>
                <w:lang w:val="en-US" w:eastAsia="zh-CN" w:bidi="ar"/>
              </w:rPr>
              <w:t>大力挖掘了停车潜力，有效缓解了市民“停车难”</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停车资源潜力有待进一步挖掘</w:t>
            </w:r>
          </w:p>
        </w:tc>
      </w:tr>
      <w:tr>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群众满意</w:t>
            </w:r>
            <w:r>
              <w:rPr>
                <w:rFonts w:hint="eastAsia" w:ascii="仿宋_GB2312" w:hAnsi="仿宋_GB2312" w:eastAsia="仿宋_GB2312" w:cs="仿宋_GB2312"/>
                <w:color w:val="000000"/>
                <w:sz w:val="20"/>
                <w:szCs w:val="20"/>
                <w:highlight w:val="none"/>
                <w:lang w:eastAsia="zh-CN"/>
              </w:rPr>
              <w:t>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eastAsia="zh-CN"/>
              </w:rPr>
              <w:t>达</w:t>
            </w:r>
            <w:r>
              <w:rPr>
                <w:rFonts w:hint="eastAsia" w:ascii="仿宋_GB2312" w:hAnsi="仿宋_GB2312" w:eastAsia="仿宋_GB2312" w:cs="仿宋_GB2312"/>
                <w:color w:val="000000"/>
                <w:sz w:val="20"/>
                <w:szCs w:val="20"/>
                <w:highlight w:val="none"/>
                <w:lang w:val="en-US" w:eastAsia="zh-CN"/>
              </w:rPr>
              <w:t>95%以上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90" w:hRule="atLeast"/>
          <w:jc w:val="center"/>
        </w:trPr>
        <w:tc>
          <w:tcPr>
            <w:tcW w:w="6732"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98</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18"/>
          <w:szCs w:val="18"/>
          <w:highlight w:val="none"/>
        </w:rPr>
      </w:pPr>
    </w:p>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2"/>
          <w:szCs w:val="22"/>
          <w:highlight w:val="none"/>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val="en-US" w:eastAsia="zh-CN"/>
        </w:rPr>
        <w:t>龙邓</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填报日期：</w:t>
      </w:r>
      <w:r>
        <w:rPr>
          <w:rFonts w:hint="eastAsia" w:ascii="仿宋_GB2312" w:hAnsi="仿宋_GB2312" w:eastAsia="仿宋_GB2312" w:cs="仿宋_GB2312"/>
          <w:sz w:val="22"/>
          <w:highlight w:val="none"/>
          <w:lang w:val="en-US" w:eastAsia="zh-CN"/>
        </w:rPr>
        <w:t>202</w:t>
      </w:r>
      <w:r>
        <w:rPr>
          <w:rFonts w:hint="eastAsia" w:ascii="仿宋_GB2312" w:hAnsi="仿宋_GB2312" w:eastAsia="仿宋_GB2312" w:cs="仿宋_GB2312"/>
          <w:sz w:val="22"/>
          <w:highlight w:val="none"/>
          <w:lang w:val="en" w:eastAsia="zh-CN"/>
        </w:rPr>
        <w:t>5</w:t>
      </w:r>
      <w:r>
        <w:rPr>
          <w:rFonts w:hint="eastAsia" w:ascii="仿宋_GB2312" w:hAnsi="仿宋_GB2312" w:eastAsia="仿宋_GB2312" w:cs="仿宋_GB2312"/>
          <w:sz w:val="22"/>
          <w:highlight w:val="none"/>
          <w:lang w:val="en-US" w:eastAsia="zh-CN"/>
        </w:rPr>
        <w:t>.6.2</w:t>
      </w:r>
      <w:r>
        <w:rPr>
          <w:rFonts w:hint="eastAsia" w:ascii="仿宋_GB2312" w:hAnsi="仿宋_GB2312" w:eastAsia="仿宋_GB2312" w:cs="仿宋_GB2312"/>
          <w:sz w:val="22"/>
          <w:highlight w:val="none"/>
          <w:lang w:val="en" w:eastAsia="zh-CN"/>
        </w:rPr>
        <w:t>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8220516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val="en-US" w:eastAsia="zh-CN"/>
        </w:rPr>
        <w:t>何志军</w:t>
      </w:r>
      <w:r>
        <w:rPr>
          <w:rFonts w:hint="eastAsia" w:ascii="仿宋_GB2312" w:hAnsi="仿宋_GB2312" w:eastAsia="仿宋_GB2312" w:cs="仿宋_GB2312"/>
          <w:sz w:val="22"/>
          <w:highlight w:val="none"/>
        </w:rPr>
        <w:br w:type="page"/>
      </w: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1-3</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年度项目支出绩效自评表</w:t>
      </w:r>
    </w:p>
    <w:p>
      <w:pPr>
        <w:pStyle w:val="4"/>
        <w:rPr>
          <w:rFonts w:hint="eastAsia"/>
        </w:rPr>
      </w:pP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785"/>
        <w:gridCol w:w="1506"/>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协管员经费　</w:t>
            </w:r>
          </w:p>
        </w:tc>
      </w:tr>
      <w:tr>
        <w:tblPrEx>
          <w:tblCellMar>
            <w:top w:w="0" w:type="dxa"/>
            <w:left w:w="108" w:type="dxa"/>
            <w:bottom w:w="0" w:type="dxa"/>
            <w:right w:w="108" w:type="dxa"/>
          </w:tblCellMar>
        </w:tblPrEx>
        <w:trPr>
          <w:trHeight w:val="475"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right" w:pos="4302"/>
              </w:tab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岳阳市城市管理和综合执法局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岳阳市停车管理服务中心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43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w:t>
            </w:r>
            <w:r>
              <w:rPr>
                <w:rFonts w:hint="eastAsia" w:ascii="仿宋_GB2312" w:hAnsi="仿宋_GB2312" w:eastAsia="仿宋_GB2312" w:cs="仿宋_GB2312"/>
                <w:color w:val="000000"/>
                <w:sz w:val="20"/>
                <w:szCs w:val="20"/>
                <w:highlight w:val="none"/>
                <w:lang w:val="en" w:eastAsia="zh-CN"/>
              </w:rPr>
              <w:t>.00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w:t>
            </w:r>
            <w:r>
              <w:rPr>
                <w:rFonts w:hint="eastAsia" w:ascii="仿宋_GB2312" w:hAnsi="仿宋_GB2312" w:eastAsia="仿宋_GB2312" w:cs="仿宋_GB2312"/>
                <w:color w:val="000000"/>
                <w:sz w:val="20"/>
                <w:szCs w:val="20"/>
                <w:highlight w:val="none"/>
                <w:lang w:val="en" w:eastAsia="zh-CN"/>
              </w:rPr>
              <w:t>.00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w:t>
            </w:r>
            <w:r>
              <w:rPr>
                <w:rFonts w:hint="eastAsia" w:ascii="仿宋_GB2312" w:hAnsi="仿宋_GB2312" w:eastAsia="仿宋_GB2312" w:cs="仿宋_GB2312"/>
                <w:color w:val="000000"/>
                <w:sz w:val="20"/>
                <w:szCs w:val="20"/>
                <w:highlight w:val="none"/>
                <w:lang w:val="en" w:eastAsia="zh-CN"/>
              </w:rPr>
              <w:t>.00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10</w:t>
            </w:r>
          </w:p>
        </w:tc>
      </w:tr>
      <w:tr>
        <w:tblPrEx>
          <w:tblCellMar>
            <w:top w:w="0" w:type="dxa"/>
            <w:left w:w="108" w:type="dxa"/>
            <w:bottom w:w="0" w:type="dxa"/>
            <w:right w:w="108" w:type="dxa"/>
          </w:tblCellMar>
        </w:tblPrEx>
        <w:trPr>
          <w:trHeight w:val="43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w:t>
            </w:r>
            <w:r>
              <w:rPr>
                <w:rFonts w:hint="eastAsia" w:ascii="仿宋_GB2312" w:hAnsi="仿宋_GB2312" w:eastAsia="仿宋_GB2312" w:cs="仿宋_GB2312"/>
                <w:color w:val="000000"/>
                <w:sz w:val="20"/>
                <w:szCs w:val="20"/>
                <w:highlight w:val="none"/>
                <w:lang w:val="en" w:eastAsia="zh-CN"/>
              </w:rPr>
              <w:t>.00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w:t>
            </w:r>
            <w:r>
              <w:rPr>
                <w:rFonts w:hint="eastAsia" w:ascii="仿宋_GB2312" w:hAnsi="仿宋_GB2312" w:eastAsia="仿宋_GB2312" w:cs="仿宋_GB2312"/>
                <w:color w:val="000000"/>
                <w:sz w:val="20"/>
                <w:szCs w:val="20"/>
                <w:highlight w:val="none"/>
                <w:lang w:val="en" w:eastAsia="zh-CN"/>
              </w:rPr>
              <w:t>.00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w:t>
            </w:r>
            <w:r>
              <w:rPr>
                <w:rFonts w:hint="eastAsia" w:ascii="仿宋_GB2312" w:hAnsi="仿宋_GB2312" w:eastAsia="仿宋_GB2312" w:cs="仿宋_GB2312"/>
                <w:color w:val="000000"/>
                <w:sz w:val="20"/>
                <w:szCs w:val="20"/>
                <w:highlight w:val="none"/>
                <w:lang w:val="en" w:eastAsia="zh-CN"/>
              </w:rPr>
              <w:t>.00</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协助单位职工开展停车管理工作，及时录入人行道机动车违停信息；</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协管员协助完成工作量、出勤率与绩效工资挂钩，充分调动协管员工作积极性，并组织相关知识培训，定期组织考核，保障单位工作顺利开展。</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1、协管员能协助单位及时完成违停车辆录入工作；</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2、</w:t>
            </w:r>
            <w:r>
              <w:rPr>
                <w:rFonts w:hint="eastAsia" w:ascii="仿宋_GB2312" w:hAnsi="仿宋_GB2312" w:eastAsia="仿宋_GB2312" w:cs="仿宋_GB2312"/>
                <w:color w:val="000000"/>
                <w:sz w:val="20"/>
                <w:szCs w:val="20"/>
                <w:highlight w:val="none"/>
                <w:lang w:val="en-US" w:eastAsia="zh-CN"/>
              </w:rPr>
              <w:t>实现了</w:t>
            </w:r>
            <w:r>
              <w:rPr>
                <w:rFonts w:hint="eastAsia" w:ascii="仿宋_GB2312" w:hAnsi="仿宋_GB2312" w:eastAsia="仿宋_GB2312" w:cs="仿宋_GB2312"/>
                <w:color w:val="000000"/>
                <w:sz w:val="20"/>
                <w:szCs w:val="20"/>
                <w:highlight w:val="none"/>
              </w:rPr>
              <w:t>工作量、出勤率与绩效工资挂钩，充分调动</w:t>
            </w:r>
            <w:r>
              <w:rPr>
                <w:rFonts w:hint="eastAsia" w:ascii="仿宋_GB2312" w:hAnsi="仿宋_GB2312" w:eastAsia="仿宋_GB2312" w:cs="仿宋_GB2312"/>
                <w:color w:val="000000"/>
                <w:sz w:val="20"/>
                <w:szCs w:val="20"/>
                <w:highlight w:val="none"/>
                <w:lang w:val="en-US" w:eastAsia="zh-CN"/>
              </w:rPr>
              <w:t>了</w:t>
            </w:r>
            <w:r>
              <w:rPr>
                <w:rFonts w:hint="eastAsia" w:ascii="仿宋_GB2312" w:hAnsi="仿宋_GB2312" w:eastAsia="仿宋_GB2312" w:cs="仿宋_GB2312"/>
                <w:color w:val="000000"/>
                <w:sz w:val="20"/>
                <w:szCs w:val="20"/>
                <w:highlight w:val="none"/>
              </w:rPr>
              <w:t>协管员工作积极性，保障</w:t>
            </w:r>
            <w:r>
              <w:rPr>
                <w:rFonts w:hint="eastAsia" w:ascii="仿宋_GB2312" w:hAnsi="仿宋_GB2312" w:eastAsia="仿宋_GB2312" w:cs="仿宋_GB2312"/>
                <w:color w:val="000000"/>
                <w:sz w:val="20"/>
                <w:szCs w:val="20"/>
                <w:highlight w:val="none"/>
                <w:lang w:val="en-US" w:eastAsia="zh-CN"/>
              </w:rPr>
              <w:t>了</w:t>
            </w:r>
            <w:r>
              <w:rPr>
                <w:rFonts w:hint="eastAsia" w:ascii="仿宋_GB2312" w:hAnsi="仿宋_GB2312" w:eastAsia="仿宋_GB2312" w:cs="仿宋_GB2312"/>
                <w:color w:val="000000"/>
                <w:sz w:val="20"/>
                <w:szCs w:val="20"/>
                <w:highlight w:val="none"/>
              </w:rPr>
              <w:t>单位各项工作顺利开展。　　</w:t>
            </w:r>
          </w:p>
        </w:tc>
      </w:tr>
      <w:tr>
        <w:tblPrEx>
          <w:tblCellMar>
            <w:top w:w="0" w:type="dxa"/>
            <w:left w:w="108" w:type="dxa"/>
            <w:bottom w:w="0" w:type="dxa"/>
            <w:right w:w="108" w:type="dxa"/>
          </w:tblCellMar>
        </w:tblPrEx>
        <w:trPr>
          <w:jc w:val="center"/>
        </w:trPr>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57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业务考核</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2次</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有固定协管队伍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5人</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法律法规、文明执法、作风纪律等培训</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1次</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40"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文明执勤</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无负面舆情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无负面舆情</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72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违停车辆信息录入准确率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录入准确率97%以上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录入准确率99.8%以上</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72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协管队员管理及考核</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考核合格率</w:t>
            </w:r>
            <w:r>
              <w:rPr>
                <w:rFonts w:hint="eastAsia" w:ascii="仿宋_GB2312" w:hAnsi="仿宋_GB2312" w:eastAsia="仿宋_GB2312" w:cs="仿宋_GB2312"/>
                <w:color w:val="000000"/>
                <w:sz w:val="20"/>
                <w:szCs w:val="20"/>
                <w:highlight w:val="none"/>
                <w:lang w:val="en-US" w:eastAsia="zh-CN"/>
              </w:rPr>
              <w:t>100%</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91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违停车辆信息录入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符合相关法律法规要求</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均符合相关法律法规要求</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trHeight w:val="915" w:hRule="atLeast"/>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按考核结果发放协管员工资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每月</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每月</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是否对社会发展可能造成负面影响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年初预算经费</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22万元</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未超预算</w:t>
            </w:r>
          </w:p>
        </w:tc>
        <w:tc>
          <w:tcPr>
            <w:tcW w:w="82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7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5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是否对自然生态环境造成负面影响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w:t>
            </w:r>
          </w:p>
        </w:tc>
        <w:tc>
          <w:tcPr>
            <w:tcW w:w="1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产生一定的罚没收入</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完成年度非税收入计划额</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未完成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8"/>
                <w:szCs w:val="18"/>
                <w:highlight w:val="none"/>
                <w:lang w:eastAsia="zh-CN"/>
              </w:rPr>
              <w:t>重大政策调整，部门需建立车辆管理信息平台，加强停车秩序管理。</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产生一定的间接经济效益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协管员工资、保险按时支付</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协管员工资、保险按时支付</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城区人行道畅通</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保障城区人行道畅通，市民出行便利。</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城区人行道畅通，市民出行便利。</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城区人行道停车秩序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提升</w:t>
            </w:r>
            <w:r>
              <w:rPr>
                <w:rFonts w:hint="eastAsia" w:ascii="仿宋_GB2312" w:hAnsi="仿宋_GB2312" w:eastAsia="仿宋_GB2312" w:cs="仿宋_GB2312"/>
                <w:color w:val="000000"/>
                <w:sz w:val="20"/>
                <w:szCs w:val="20"/>
                <w:highlight w:val="none"/>
              </w:rPr>
              <w:t>城市停车管理秩序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城市停车秩序管理全面提升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是否产生一定的生态效益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无生态效益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无生态效益</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助力城区人行道停车管理</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城区人行道停车秩序良好</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城区人行道停车秩序良好</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785"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50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协助单位工作人员工作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协助及时完成工作</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及时完成了业务管理相关辅助工作</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785"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506"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群众满意度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95%以上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90"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785"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50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260" w:lineRule="exact"/>
        <w:rPr>
          <w:rFonts w:hint="eastAsia" w:ascii="仿宋_GB2312" w:hAnsi="仿宋_GB2312" w:eastAsia="仿宋_GB2312" w:cs="仿宋_GB2312"/>
          <w:sz w:val="22"/>
          <w:szCs w:val="22"/>
          <w:highlight w:val="none"/>
        </w:rPr>
      </w:pPr>
    </w:p>
    <w:p>
      <w:pPr>
        <w:keepNext w:val="0"/>
        <w:keepLines w:val="0"/>
        <w:pageBreakBefore w:val="0"/>
        <w:widowControl/>
        <w:kinsoku/>
        <w:wordWrap/>
        <w:overflowPunct/>
        <w:topLinePunct w:val="0"/>
        <w:autoSpaceDE/>
        <w:autoSpaceDN/>
        <w:bidi w:val="0"/>
        <w:adjustRightInd/>
        <w:snapToGrid/>
        <w:spacing w:line="260" w:lineRule="exact"/>
        <w:jc w:val="left"/>
        <w:rPr>
          <w:rFonts w:hint="eastAsia" w:ascii="黑体" w:hAnsi="黑体" w:eastAsia="黑体" w:cs="黑体"/>
          <w:sz w:val="32"/>
          <w:szCs w:val="32"/>
          <w:highlight w:val="none"/>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val="en-US" w:eastAsia="zh-CN"/>
        </w:rPr>
        <w:t>龙邓</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填报日期：</w:t>
      </w:r>
      <w:r>
        <w:rPr>
          <w:rFonts w:hint="eastAsia" w:ascii="仿宋_GB2312" w:hAnsi="仿宋_GB2312" w:eastAsia="仿宋_GB2312" w:cs="仿宋_GB2312"/>
          <w:sz w:val="22"/>
          <w:highlight w:val="none"/>
          <w:lang w:val="en-US" w:eastAsia="zh-CN"/>
        </w:rPr>
        <w:t>202</w:t>
      </w:r>
      <w:r>
        <w:rPr>
          <w:rFonts w:hint="eastAsia" w:ascii="仿宋_GB2312" w:hAnsi="仿宋_GB2312" w:eastAsia="仿宋_GB2312" w:cs="仿宋_GB2312"/>
          <w:sz w:val="22"/>
          <w:highlight w:val="none"/>
          <w:lang w:val="en" w:eastAsia="zh-CN"/>
        </w:rPr>
        <w:t>5</w:t>
      </w:r>
      <w:r>
        <w:rPr>
          <w:rFonts w:hint="eastAsia" w:ascii="仿宋_GB2312" w:hAnsi="仿宋_GB2312" w:eastAsia="仿宋_GB2312" w:cs="仿宋_GB2312"/>
          <w:sz w:val="22"/>
          <w:highlight w:val="none"/>
          <w:lang w:val="en-US" w:eastAsia="zh-CN"/>
        </w:rPr>
        <w:t>.6.2</w:t>
      </w:r>
      <w:r>
        <w:rPr>
          <w:rFonts w:hint="eastAsia" w:ascii="仿宋_GB2312" w:hAnsi="仿宋_GB2312" w:eastAsia="仿宋_GB2312" w:cs="仿宋_GB2312"/>
          <w:sz w:val="22"/>
          <w:highlight w:val="none"/>
          <w:lang w:val="en" w:eastAsia="zh-CN"/>
        </w:rPr>
        <w:t>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8220516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val="en-US" w:eastAsia="zh-CN"/>
        </w:rPr>
        <w:t>何志军</w:t>
      </w:r>
      <w:r>
        <w:rPr>
          <w:rFonts w:hint="eastAsia" w:ascii="仿宋_GB2312" w:hAnsi="仿宋_GB2312" w:eastAsia="仿宋_GB2312" w:cs="仿宋_GB2312"/>
          <w:sz w:val="22"/>
          <w:highlight w:val="none"/>
        </w:rPr>
        <w:br w:type="page"/>
      </w: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1-4</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default" w:ascii="方正小标宋简体" w:hAnsi="方正小标宋简体" w:eastAsia="方正小标宋简体" w:cs="方正小标宋简体"/>
          <w:color w:val="000000"/>
          <w:sz w:val="36"/>
          <w:szCs w:val="36"/>
          <w:highlight w:val="none"/>
          <w:lang w:val="en"/>
        </w:rPr>
        <w:t>4</w:t>
      </w:r>
      <w:r>
        <w:rPr>
          <w:rFonts w:hint="eastAsia" w:ascii="方正小标宋简体" w:hAnsi="方正小标宋简体" w:eastAsia="方正小标宋简体" w:cs="方正小标宋简体"/>
          <w:color w:val="000000"/>
          <w:sz w:val="36"/>
          <w:szCs w:val="36"/>
          <w:highlight w:val="none"/>
        </w:rPr>
        <w:t>年度项目支出绩效自评表</w:t>
      </w:r>
    </w:p>
    <w:p>
      <w:pPr>
        <w:pStyle w:val="4"/>
        <w:rPr>
          <w:rFonts w:hint="eastAsia"/>
        </w:rPr>
      </w:pP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24"/>
        <w:gridCol w:w="1134"/>
        <w:gridCol w:w="1134"/>
        <w:gridCol w:w="726"/>
        <w:gridCol w:w="812"/>
        <w:gridCol w:w="1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600" w:firstLineChars="13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eastAsia="zh-CN"/>
              </w:rPr>
              <w:t>城管事务</w:t>
            </w:r>
            <w:r>
              <w:rPr>
                <w:rFonts w:hint="eastAsia" w:ascii="仿宋_GB2312" w:hAnsi="仿宋_GB2312" w:eastAsia="仿宋_GB2312" w:cs="仿宋_GB2312"/>
                <w:color w:val="000000"/>
                <w:sz w:val="20"/>
                <w:szCs w:val="20"/>
                <w:highlight w:val="none"/>
              </w:rPr>
              <w:t>经费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noWrap w:val="0"/>
            <w:vAlign w:val="center"/>
          </w:tcPr>
          <w:p>
            <w:pPr>
              <w:keepNext w:val="0"/>
              <w:keepLines w:val="0"/>
              <w:pageBreakBefore w:val="0"/>
              <w:widowControl/>
              <w:tabs>
                <w:tab w:val="right" w:pos="4302"/>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岳阳市城市管理和综合执法局</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岳阳市停车管理服务中心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58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24.10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24.10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23.60</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yellow"/>
                <w:lang w:val="en-US" w:eastAsia="zh-CN"/>
              </w:rPr>
            </w:pPr>
            <w:r>
              <w:rPr>
                <w:rFonts w:hint="eastAsia" w:ascii="仿宋_GB2312" w:hAnsi="仿宋_GB2312" w:eastAsia="仿宋_GB2312" w:cs="仿宋_GB2312"/>
                <w:color w:val="auto"/>
                <w:sz w:val="20"/>
                <w:szCs w:val="20"/>
                <w:highlight w:val="none"/>
                <w:lang w:val="en-US" w:eastAsia="zh-CN"/>
              </w:rPr>
              <w:t>97.93%</w:t>
            </w:r>
          </w:p>
        </w:tc>
        <w:tc>
          <w:tcPr>
            <w:tcW w:w="158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auto"/>
                <w:sz w:val="20"/>
                <w:szCs w:val="20"/>
                <w:highlight w:val="yellow"/>
                <w:lang w:val="en-US" w:eastAsia="zh-CN"/>
              </w:rPr>
            </w:pPr>
            <w:r>
              <w:rPr>
                <w:rFonts w:hint="eastAsia" w:ascii="仿宋_GB2312" w:hAnsi="仿宋_GB2312" w:eastAsia="仿宋_GB2312" w:cs="仿宋_GB2312"/>
                <w:color w:val="auto"/>
                <w:sz w:val="20"/>
                <w:szCs w:val="20"/>
                <w:highlight w:val="none"/>
              </w:rPr>
              <w:t>　</w:t>
            </w:r>
            <w:r>
              <w:rPr>
                <w:rFonts w:hint="eastAsia" w:ascii="仿宋_GB2312" w:hAnsi="仿宋_GB2312" w:eastAsia="仿宋_GB2312" w:cs="仿宋_GB2312"/>
                <w:color w:val="auto"/>
                <w:sz w:val="20"/>
                <w:szCs w:val="20"/>
                <w:highlight w:val="none"/>
                <w:lang w:val="en-US" w:eastAsia="zh-CN"/>
              </w:rPr>
              <w:t>9.79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23.00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23.00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22.50</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8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1.10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1.10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1.10</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8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58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60" w:lineRule="exact"/>
              <w:ind w:leftChars="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1、加大停车管理力度，中心城区人行道违停车辆信息录入及时，改善中心城区人行道停车秩序，对区县按月开展停车管理考评；</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ind w:leftChars="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2、开展僵尸车、广告车集中整治，及时清理中心城区人行道僵尸车、广告车，提升城市形象；</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ind w:leftChars="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3、挖掘中心城区停车资源，督促市直临街机关事业单位停车场对外开放，并加强闲置土地建设的临时停车场管理。</w:t>
            </w:r>
          </w:p>
        </w:tc>
        <w:tc>
          <w:tcPr>
            <w:tcW w:w="4253" w:type="dxa"/>
            <w:gridSpan w:val="4"/>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1、持续加大了停车</w:t>
            </w:r>
            <w:r>
              <w:rPr>
                <w:rFonts w:hint="eastAsia" w:ascii="仿宋_GB2312" w:hAnsi="仿宋_GB2312" w:eastAsia="仿宋_GB2312" w:cs="仿宋_GB2312"/>
                <w:color w:val="000000"/>
                <w:sz w:val="20"/>
                <w:szCs w:val="20"/>
                <w:highlight w:val="none"/>
              </w:rPr>
              <w:t>管理力度，人行道违停车辆信息录入及时</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改善</w:t>
            </w:r>
            <w:r>
              <w:rPr>
                <w:rFonts w:hint="eastAsia" w:ascii="仿宋_GB2312" w:hAnsi="仿宋_GB2312" w:eastAsia="仿宋_GB2312" w:cs="仿宋_GB2312"/>
                <w:color w:val="000000"/>
                <w:sz w:val="20"/>
                <w:szCs w:val="20"/>
                <w:highlight w:val="none"/>
                <w:lang w:val="en-US" w:eastAsia="zh-CN"/>
              </w:rPr>
              <w:t>了</w:t>
            </w:r>
            <w:r>
              <w:rPr>
                <w:rFonts w:hint="eastAsia" w:ascii="仿宋_GB2312" w:hAnsi="仿宋_GB2312" w:eastAsia="仿宋_GB2312" w:cs="仿宋_GB2312"/>
                <w:color w:val="000000"/>
                <w:sz w:val="20"/>
                <w:szCs w:val="20"/>
                <w:highlight w:val="none"/>
              </w:rPr>
              <w:t>城区人行道停车秩序</w:t>
            </w:r>
            <w:r>
              <w:rPr>
                <w:rFonts w:hint="eastAsia" w:ascii="仿宋_GB2312" w:hAnsi="仿宋_GB2312" w:eastAsia="仿宋_GB2312" w:cs="仿宋_GB2312"/>
                <w:color w:val="000000"/>
                <w:sz w:val="20"/>
                <w:szCs w:val="20"/>
                <w:highlight w:val="none"/>
                <w:lang w:eastAsia="zh-CN"/>
              </w:rPr>
              <w:t>，考评工作按计划实施；</w:t>
            </w:r>
          </w:p>
          <w:p>
            <w:pPr>
              <w:keepNext w:val="0"/>
              <w:keepLines w:val="0"/>
              <w:pageBreakBefore w:val="0"/>
              <w:widowControl/>
              <w:numPr>
                <w:ilvl w:val="0"/>
                <w:numId w:val="0"/>
              </w:numPr>
              <w:kinsoku/>
              <w:wordWrap/>
              <w:overflowPunct/>
              <w:topLinePunct w:val="0"/>
              <w:autoSpaceDE/>
              <w:autoSpaceDN/>
              <w:bidi w:val="0"/>
              <w:adjustRightInd/>
              <w:snapToGrid/>
              <w:spacing w:line="260" w:lineRule="exact"/>
              <w:ind w:leftChars="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2、</w:t>
            </w:r>
            <w:r>
              <w:rPr>
                <w:rFonts w:hint="eastAsia" w:ascii="仿宋_GB2312" w:hAnsi="仿宋_GB2312" w:eastAsia="仿宋_GB2312" w:cs="仿宋_GB2312"/>
                <w:color w:val="000000"/>
                <w:sz w:val="20"/>
                <w:szCs w:val="20"/>
                <w:highlight w:val="none"/>
              </w:rPr>
              <w:t>及时清理</w:t>
            </w:r>
            <w:r>
              <w:rPr>
                <w:rFonts w:hint="eastAsia" w:ascii="仿宋_GB2312" w:hAnsi="仿宋_GB2312" w:eastAsia="仿宋_GB2312" w:cs="仿宋_GB2312"/>
                <w:color w:val="000000"/>
                <w:sz w:val="20"/>
                <w:szCs w:val="20"/>
                <w:highlight w:val="none"/>
                <w:lang w:val="en-US" w:eastAsia="zh-CN"/>
              </w:rPr>
              <w:t>了</w:t>
            </w:r>
            <w:r>
              <w:rPr>
                <w:rFonts w:hint="eastAsia" w:ascii="仿宋_GB2312" w:hAnsi="仿宋_GB2312" w:eastAsia="仿宋_GB2312" w:cs="仿宋_GB2312"/>
                <w:color w:val="000000"/>
                <w:sz w:val="20"/>
                <w:szCs w:val="20"/>
                <w:highlight w:val="none"/>
              </w:rPr>
              <w:t>城区人行道僵车、广告车</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城市形象</w:t>
            </w:r>
            <w:r>
              <w:rPr>
                <w:rFonts w:hint="eastAsia" w:ascii="仿宋_GB2312" w:hAnsi="仿宋_GB2312" w:eastAsia="仿宋_GB2312" w:cs="仿宋_GB2312"/>
                <w:color w:val="000000"/>
                <w:sz w:val="20"/>
                <w:szCs w:val="20"/>
                <w:highlight w:val="none"/>
                <w:lang w:val="en-US" w:eastAsia="zh-CN"/>
              </w:rPr>
              <w:t>全面提升；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3、市直临街机关事业单位停车场</w:t>
            </w:r>
            <w:r>
              <w:rPr>
                <w:rFonts w:hint="eastAsia" w:ascii="仿宋_GB2312" w:hAnsi="仿宋_GB2312" w:eastAsia="仿宋_GB2312" w:cs="仿宋_GB2312"/>
                <w:color w:val="000000"/>
                <w:sz w:val="20"/>
                <w:szCs w:val="20"/>
                <w:highlight w:val="none"/>
                <w:lang w:eastAsia="zh-CN"/>
              </w:rPr>
              <w:t>正常</w:t>
            </w:r>
            <w:r>
              <w:rPr>
                <w:rFonts w:hint="eastAsia" w:ascii="仿宋_GB2312" w:hAnsi="仿宋_GB2312" w:eastAsia="仿宋_GB2312" w:cs="仿宋_GB2312"/>
                <w:color w:val="000000"/>
                <w:sz w:val="20"/>
                <w:szCs w:val="20"/>
                <w:highlight w:val="none"/>
              </w:rPr>
              <w:t>对外开放，</w:t>
            </w:r>
            <w:r>
              <w:rPr>
                <w:rFonts w:hint="eastAsia" w:ascii="仿宋_GB2312" w:hAnsi="仿宋_GB2312" w:eastAsia="仿宋_GB2312" w:cs="仿宋_GB2312"/>
                <w:color w:val="000000"/>
                <w:sz w:val="20"/>
                <w:szCs w:val="20"/>
                <w:highlight w:val="none"/>
                <w:lang w:eastAsia="zh-CN"/>
              </w:rPr>
              <w:t>大力</w:t>
            </w:r>
            <w:r>
              <w:rPr>
                <w:rFonts w:hint="eastAsia" w:ascii="仿宋_GB2312" w:hAnsi="仿宋_GB2312" w:eastAsia="仿宋_GB2312" w:cs="仿宋_GB2312"/>
                <w:color w:val="000000"/>
                <w:sz w:val="20"/>
                <w:szCs w:val="20"/>
                <w:highlight w:val="none"/>
              </w:rPr>
              <w:t>挖掘</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中心城区停车资源</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并加强</w:t>
            </w:r>
            <w:r>
              <w:rPr>
                <w:rFonts w:hint="eastAsia" w:ascii="仿宋_GB2312" w:hAnsi="仿宋_GB2312" w:eastAsia="仿宋_GB2312" w:cs="仿宋_GB2312"/>
                <w:color w:val="000000"/>
                <w:sz w:val="20"/>
                <w:szCs w:val="20"/>
                <w:highlight w:val="none"/>
                <w:lang w:eastAsia="zh-CN"/>
              </w:rPr>
              <w:t>了</w:t>
            </w:r>
            <w:r>
              <w:rPr>
                <w:rFonts w:hint="eastAsia" w:ascii="仿宋_GB2312" w:hAnsi="仿宋_GB2312" w:eastAsia="仿宋_GB2312" w:cs="仿宋_GB2312"/>
                <w:color w:val="000000"/>
                <w:sz w:val="20"/>
                <w:szCs w:val="20"/>
                <w:highlight w:val="none"/>
              </w:rPr>
              <w:t>闲置土地建设的临时停车场管理。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58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完成录入违停车辆信息</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违停车辆信息录入</w:t>
            </w: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万台次</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1.88</w:t>
            </w:r>
            <w:r>
              <w:rPr>
                <w:rFonts w:hint="eastAsia" w:ascii="仿宋_GB2312" w:hAnsi="仿宋_GB2312" w:eastAsia="仿宋_GB2312" w:cs="仿宋_GB2312"/>
                <w:color w:val="000000"/>
                <w:sz w:val="20"/>
                <w:szCs w:val="20"/>
                <w:highlight w:val="none"/>
              </w:rPr>
              <w:t>万台次</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w:t>
            </w:r>
          </w:p>
        </w:tc>
        <w:tc>
          <w:tcPr>
            <w:tcW w:w="158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8"/>
                <w:szCs w:val="18"/>
                <w:highlight w:val="none"/>
                <w:lang w:eastAsia="zh-CN"/>
              </w:rPr>
              <w:t>重大政策调整，部门需建立车辆管理信息平台，加强停车秩序管理。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督促市直临街机关事业单位停车场对外开放</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48家市直临街单位停车场对外开放</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i w:val="0"/>
                <w:color w:val="000000"/>
                <w:kern w:val="0"/>
                <w:sz w:val="20"/>
                <w:szCs w:val="20"/>
                <w:u w:val="none"/>
                <w:lang w:val="en-US" w:eastAsia="zh-CN" w:bidi="ar"/>
              </w:rPr>
            </w:pPr>
            <w:r>
              <w:rPr>
                <w:rFonts w:hint="eastAsia" w:ascii="仿宋_GB2312" w:hAnsi="仿宋_GB2312" w:eastAsia="仿宋_GB2312" w:cs="仿宋_GB2312"/>
                <w:i w:val="0"/>
                <w:color w:val="000000"/>
                <w:kern w:val="0"/>
                <w:sz w:val="20"/>
                <w:szCs w:val="20"/>
                <w:u w:val="none"/>
                <w:lang w:val="en-US" w:eastAsia="zh-CN" w:bidi="ar"/>
              </w:rPr>
              <w:t>48家市直临街单位停车场正常对外开放</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58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停车管理考评</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color w:val="000000"/>
                <w:kern w:val="0"/>
                <w:sz w:val="20"/>
                <w:szCs w:val="20"/>
                <w:u w:val="none"/>
                <w:lang w:val="en-US" w:eastAsia="zh-CN" w:bidi="ar"/>
              </w:rPr>
              <w:t>24次</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24次</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58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僵尸车广告车整治</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集中整治2次</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实际进行2次</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58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投诉处理</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投诉及时有效处置</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投诉均及时有效处置</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58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文明规范化管理</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无违规投诉</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无违规投诉</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58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僵尸车、广告车违规停靠得到有效处置</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人行道无僵车、广告车乱停乱靠的现象</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有效处置了人行道僵车、广告车和乱停乱靠的车辆</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58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投诉处置时效</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投诉在72小时内处置回复</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投诉均在72小时内处置回复</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58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按年度工作计划实施</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按年度计划如期完成</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均按年度工作计划如期完成</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8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4</w:t>
            </w:r>
          </w:p>
        </w:tc>
        <w:tc>
          <w:tcPr>
            <w:tcW w:w="158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合理使用工作经费预算</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24.10万元</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未超预算</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58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是否对自然生态环境造成负面影响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58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rPr>
              <w:t>是否对社会发展造成负面影响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58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产生一定的罚没收入</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完成年度非税收入征收计划</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未完成</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58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18"/>
                <w:szCs w:val="18"/>
                <w:highlight w:val="none"/>
                <w:lang w:eastAsia="zh-CN"/>
              </w:rPr>
              <w:t>重大政策调整，部门需建立车辆管理信息平台，加强停车秩序管理。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提升城市形象</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有效提升城市形象</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提升了城市整体形象</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58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中心城区人行道停车秩序管理</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停车秩序良好，市民出行方便</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停车秩序良好，市民出行便利</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58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是否产生一定的生态效益</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无生态效益</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无生态效益</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58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可持续影响指标</w:t>
            </w:r>
          </w:p>
        </w:tc>
        <w:tc>
          <w:tcPr>
            <w:tcW w:w="122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规范中心城区停车管理</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i w:val="0"/>
                <w:color w:val="000000"/>
                <w:kern w:val="0"/>
                <w:sz w:val="20"/>
                <w:szCs w:val="20"/>
                <w:u w:val="none"/>
                <w:lang w:val="en-US" w:eastAsia="zh-CN" w:bidi="ar"/>
              </w:rPr>
              <w:t>保障停车入位，人行道畅通。</w:t>
            </w:r>
          </w:p>
        </w:tc>
        <w:tc>
          <w:tcPr>
            <w:tcW w:w="1134" w:type="dxa"/>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人行道停车秩序良好，人行通道畅通。</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8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58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停车管理经常性、持续性有待加强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群众</w:t>
            </w:r>
            <w:r>
              <w:rPr>
                <w:rFonts w:hint="eastAsia" w:ascii="仿宋_GB2312" w:hAnsi="仿宋_GB2312" w:eastAsia="仿宋_GB2312" w:cs="仿宋_GB2312"/>
                <w:color w:val="000000"/>
                <w:sz w:val="20"/>
                <w:szCs w:val="20"/>
                <w:highlight w:val="none"/>
              </w:rPr>
              <w:t>满意</w:t>
            </w:r>
            <w:r>
              <w:rPr>
                <w:rFonts w:hint="eastAsia" w:ascii="仿宋_GB2312" w:hAnsi="仿宋_GB2312" w:eastAsia="仿宋_GB2312" w:cs="仿宋_GB2312"/>
                <w:color w:val="000000"/>
                <w:sz w:val="20"/>
                <w:szCs w:val="20"/>
                <w:highlight w:val="none"/>
                <w:lang w:val="en-US" w:eastAsia="zh-CN"/>
              </w:rPr>
              <w:t>度</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95%以上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58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72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1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94.79</w:t>
            </w:r>
          </w:p>
        </w:tc>
        <w:tc>
          <w:tcPr>
            <w:tcW w:w="158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18"/>
          <w:szCs w:val="18"/>
          <w:highlight w:val="none"/>
          <w:lang w:val="en-US" w:eastAsia="zh-CN"/>
        </w:rPr>
      </w:pPr>
      <w:r>
        <w:rPr>
          <w:rFonts w:hint="eastAsia" w:ascii="仿宋_GB2312" w:hAnsi="仿宋_GB2312" w:eastAsia="仿宋_GB2312" w:cs="仿宋_GB2312"/>
          <w:sz w:val="18"/>
          <w:szCs w:val="18"/>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340" w:lineRule="exact"/>
        <w:textAlignment w:val="auto"/>
        <w:rPr>
          <w:rFonts w:hint="default" w:ascii="Times New Roman" w:hAnsi="Times New Roman" w:eastAsia="仿宋_GB2312" w:cs="Times New Roman"/>
          <w:sz w:val="22"/>
          <w:szCs w:val="22"/>
          <w:highlight w:val="none"/>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val="en-US" w:eastAsia="zh-CN"/>
        </w:rPr>
        <w:t>龙邓</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填报日期：</w:t>
      </w:r>
      <w:r>
        <w:rPr>
          <w:rFonts w:hint="eastAsia" w:ascii="仿宋_GB2312" w:hAnsi="仿宋_GB2312" w:eastAsia="仿宋_GB2312" w:cs="仿宋_GB2312"/>
          <w:sz w:val="22"/>
          <w:highlight w:val="none"/>
          <w:lang w:val="en-US" w:eastAsia="zh-CN"/>
        </w:rPr>
        <w:t>2025.6.26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8220516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val="en-US" w:eastAsia="zh-CN"/>
        </w:rPr>
        <w:t>何志军</w:t>
      </w:r>
      <w:r>
        <w:rPr>
          <w:rFonts w:hint="eastAsia" w:ascii="仿宋_GB2312" w:hAnsi="仿宋_GB2312" w:eastAsia="仿宋_GB2312" w:cs="仿宋_GB2312"/>
          <w:sz w:val="22"/>
          <w:highlight w:val="none"/>
        </w:rPr>
        <w:br w:type="page"/>
      </w: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1-5</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p>
      <w:pPr>
        <w:pStyle w:val="4"/>
        <w:rPr>
          <w:rFonts w:hint="eastAsia"/>
        </w:rPr>
      </w:pPr>
    </w:p>
    <w:tbl>
      <w:tblPr>
        <w:tblStyle w:val="8"/>
        <w:tblW w:w="9851" w:type="dxa"/>
        <w:jc w:val="center"/>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CellMar>
            <w:top w:w="0" w:type="dxa"/>
            <w:left w:w="108" w:type="dxa"/>
            <w:bottom w:w="0" w:type="dxa"/>
            <w:right w:w="108" w:type="dxa"/>
          </w:tblCellMar>
        </w:tblPrEx>
        <w:trPr>
          <w:jc w:val="center"/>
        </w:trPr>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xml:space="preserve">  执勤巡逻车辆补助（含拖车经费）　</w:t>
            </w:r>
          </w:p>
        </w:tc>
      </w:tr>
      <w:tr>
        <w:tblPrEx>
          <w:tblCellMar>
            <w:top w:w="0" w:type="dxa"/>
            <w:left w:w="108" w:type="dxa"/>
            <w:bottom w:w="0" w:type="dxa"/>
            <w:right w:w="108" w:type="dxa"/>
          </w:tblCellMar>
        </w:tblPrEx>
        <w:trPr>
          <w:trHeight w:val="430" w:hRule="atLeast"/>
          <w:jc w:val="center"/>
        </w:trPr>
        <w:tc>
          <w:tcPr>
            <w:tcW w:w="1080"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right" w:pos="4302"/>
              </w:tabs>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岳阳市城市管理和综合执法局</w:t>
            </w:r>
          </w:p>
        </w:tc>
        <w:tc>
          <w:tcPr>
            <w:tcW w:w="1134"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实施单位</w:t>
            </w:r>
          </w:p>
        </w:tc>
        <w:tc>
          <w:tcPr>
            <w:tcW w:w="3119"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岳阳市停车管理服务中心</w:t>
            </w:r>
          </w:p>
        </w:tc>
      </w:tr>
      <w:tr>
        <w:tblPrEx>
          <w:tblCellMar>
            <w:top w:w="0" w:type="dxa"/>
            <w:left w:w="108" w:type="dxa"/>
            <w:bottom w:w="0" w:type="dxa"/>
            <w:right w:w="108" w:type="dxa"/>
          </w:tblCellMar>
        </w:tblPrEx>
        <w:trPr>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400"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30.33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30.33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25.97</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85.62%</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8.56</w:t>
            </w:r>
          </w:p>
        </w:tc>
      </w:tr>
      <w:tr>
        <w:tblPrEx>
          <w:tblCellMar>
            <w:top w:w="0" w:type="dxa"/>
            <w:left w:w="108" w:type="dxa"/>
            <w:bottom w:w="0" w:type="dxa"/>
            <w:right w:w="108" w:type="dxa"/>
          </w:tblCellMar>
        </w:tblPrEx>
        <w:trPr>
          <w:trHeight w:val="415" w:hRule="atLeast"/>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25.00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25.00</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20.64</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5.33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5.33</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5.33</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60" w:hRule="atLeast"/>
          <w:jc w:val="center"/>
        </w:trPr>
        <w:tc>
          <w:tcPr>
            <w:tcW w:w="1080"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jc w:val="center"/>
        </w:trPr>
        <w:tc>
          <w:tcPr>
            <w:tcW w:w="1080"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加大管理力度，按时开展巡查工作，改善中心城区人行道停车秩序；</w:t>
            </w:r>
          </w:p>
          <w:p>
            <w:pPr>
              <w:keepNext w:val="0"/>
              <w:keepLines w:val="0"/>
              <w:pageBreakBefore w:val="0"/>
              <w:widowControl/>
              <w:numPr>
                <w:ilvl w:val="0"/>
                <w:numId w:val="0"/>
              </w:numPr>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rPr>
              <w:t>2</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rPr>
              <w:t>及时清理城区人行道僵尸车、广告车，全面提升城市形象</w:t>
            </w:r>
            <w:r>
              <w:rPr>
                <w:rFonts w:hint="eastAsia" w:ascii="仿宋_GB2312" w:hAnsi="仿宋_GB2312" w:eastAsia="仿宋_GB2312" w:cs="仿宋_GB2312"/>
                <w:color w:val="000000"/>
                <w:sz w:val="20"/>
                <w:szCs w:val="20"/>
                <w:highlight w:val="none"/>
                <w:lang w:eastAsia="zh-CN"/>
              </w:rPr>
              <w:t>。</w:t>
            </w:r>
          </w:p>
        </w:tc>
        <w:tc>
          <w:tcPr>
            <w:tcW w:w="4253"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20"/>
                <w:szCs w:val="20"/>
                <w:lang w:val="en-US" w:eastAsia="zh-CN"/>
              </w:rPr>
            </w:pPr>
            <w:r>
              <w:rPr>
                <w:rFonts w:hint="eastAsia" w:ascii="仿宋_GB2312" w:hAnsi="仿宋_GB2312" w:eastAsia="仿宋_GB2312" w:cs="仿宋_GB2312"/>
                <w:sz w:val="20"/>
                <w:szCs w:val="20"/>
                <w:lang w:val="en-US" w:eastAsia="zh-CN"/>
              </w:rPr>
              <w:t>1、持续加强城区人行道停车管理工作，停车秩序良好；</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sz w:val="20"/>
                <w:szCs w:val="20"/>
                <w:lang w:val="en-US" w:eastAsia="zh-CN"/>
              </w:rPr>
              <w:t>2、人行道僵尸车、广告车得到及时处置，城市形象整体提升。</w:t>
            </w:r>
          </w:p>
        </w:tc>
      </w:tr>
      <w:tr>
        <w:trPr>
          <w:jc w:val="center"/>
        </w:trPr>
        <w:tc>
          <w:tcPr>
            <w:tcW w:w="1080"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trHeight w:val="57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驾驶员</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配备驾驶员3人</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3人</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巡逻电动摩托车运行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电动摩托车每天每台巡逻4次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每天每台巡逻4次</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拖车运行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拖车运行每天每台巡逻4次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拖车运行每天每台巡逻4次</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考核考评</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考核考评合格</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合格</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0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巡逻车辆运行</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安全无事故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安全无事故</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35" w:hRule="atLeast"/>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巡逻车辆情况</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运行</w:t>
            </w:r>
            <w:r>
              <w:rPr>
                <w:rFonts w:hint="eastAsia" w:ascii="仿宋_GB2312" w:hAnsi="仿宋_GB2312" w:eastAsia="仿宋_GB2312" w:cs="仿宋_GB2312"/>
                <w:color w:val="000000"/>
                <w:sz w:val="20"/>
                <w:szCs w:val="20"/>
                <w:highlight w:val="none"/>
                <w:lang w:val="en-US" w:eastAsia="zh-CN"/>
              </w:rPr>
              <w:t>状况</w:t>
            </w:r>
            <w:r>
              <w:rPr>
                <w:rFonts w:hint="eastAsia" w:ascii="仿宋_GB2312" w:hAnsi="仿宋_GB2312" w:eastAsia="仿宋_GB2312" w:cs="仿宋_GB2312"/>
                <w:color w:val="000000"/>
                <w:sz w:val="20"/>
                <w:szCs w:val="20"/>
                <w:highlight w:val="none"/>
              </w:rPr>
              <w:t>正常</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运行正常</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在规定时间内完成任务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202</w:t>
            </w:r>
            <w:r>
              <w:rPr>
                <w:rFonts w:hint="eastAsia" w:ascii="仿宋_GB2312" w:hAnsi="仿宋_GB2312" w:eastAsia="仿宋_GB2312" w:cs="仿宋_GB2312"/>
                <w:color w:val="000000"/>
                <w:sz w:val="20"/>
                <w:szCs w:val="20"/>
                <w:highlight w:val="none"/>
                <w:lang w:val="en-US" w:eastAsia="zh-CN"/>
              </w:rPr>
              <w:t>4</w:t>
            </w:r>
            <w:r>
              <w:rPr>
                <w:rFonts w:hint="eastAsia" w:ascii="仿宋_GB2312" w:hAnsi="仿宋_GB2312" w:eastAsia="仿宋_GB2312" w:cs="仿宋_GB2312"/>
                <w:color w:val="000000"/>
                <w:sz w:val="20"/>
                <w:szCs w:val="20"/>
                <w:highlight w:val="none"/>
              </w:rPr>
              <w:t>年12月31日前完成年度工作任务</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均按时完成</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合理使用工作经费</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控制在年初预算</w:t>
            </w:r>
            <w:r>
              <w:rPr>
                <w:rFonts w:hint="eastAsia" w:ascii="仿宋_GB2312" w:hAnsi="仿宋_GB2312" w:eastAsia="仿宋_GB2312" w:cs="仿宋_GB2312"/>
                <w:color w:val="000000"/>
                <w:sz w:val="20"/>
                <w:szCs w:val="20"/>
                <w:highlight w:val="none"/>
                <w:lang w:val="en-US" w:eastAsia="zh-CN"/>
              </w:rPr>
              <w:t>30.33</w:t>
            </w:r>
            <w:r>
              <w:rPr>
                <w:rFonts w:hint="eastAsia" w:ascii="仿宋_GB2312" w:hAnsi="仿宋_GB2312" w:eastAsia="仿宋_GB2312" w:cs="仿宋_GB2312"/>
                <w:color w:val="000000"/>
                <w:sz w:val="20"/>
                <w:szCs w:val="20"/>
                <w:highlight w:val="none"/>
              </w:rPr>
              <w:t>万元之内</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未超预算</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是否对社会发展可能造成负面影响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是否对自然生态环境造成负面影响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无负面影响</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产生间接经济效益</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提升城市形象，助力旅游业发展。</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提升了城市形象，助力旅游业发展。</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提高车位周转率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及时清理僵尸车广告车</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及时清理了僵尸车广告车</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200" w:firstLineChars="1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200" w:firstLineChars="1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城区</w:t>
            </w:r>
            <w:r>
              <w:rPr>
                <w:rFonts w:hint="eastAsia" w:ascii="仿宋_GB2312" w:hAnsi="仿宋_GB2312" w:eastAsia="仿宋_GB2312" w:cs="仿宋_GB2312"/>
                <w:color w:val="000000"/>
                <w:sz w:val="20"/>
                <w:szCs w:val="20"/>
                <w:highlight w:val="none"/>
                <w:lang w:val="en-US" w:eastAsia="zh-CN"/>
              </w:rPr>
              <w:t>人行道</w:t>
            </w:r>
            <w:r>
              <w:rPr>
                <w:rFonts w:hint="eastAsia" w:ascii="仿宋_GB2312" w:hAnsi="仿宋_GB2312" w:eastAsia="仿宋_GB2312" w:cs="仿宋_GB2312"/>
                <w:color w:val="000000"/>
                <w:sz w:val="20"/>
                <w:szCs w:val="20"/>
                <w:highlight w:val="none"/>
              </w:rPr>
              <w:t>停车秩序良好</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改善</w:t>
            </w:r>
            <w:r>
              <w:rPr>
                <w:rFonts w:hint="eastAsia" w:ascii="仿宋_GB2312" w:hAnsi="仿宋_GB2312" w:eastAsia="仿宋_GB2312" w:cs="仿宋_GB2312"/>
                <w:color w:val="000000"/>
                <w:sz w:val="20"/>
                <w:szCs w:val="20"/>
                <w:highlight w:val="none"/>
              </w:rPr>
              <w:t>城区</w:t>
            </w:r>
            <w:r>
              <w:rPr>
                <w:rFonts w:hint="eastAsia" w:ascii="仿宋_GB2312" w:hAnsi="仿宋_GB2312" w:eastAsia="仿宋_GB2312" w:cs="仿宋_GB2312"/>
                <w:color w:val="000000"/>
                <w:sz w:val="20"/>
                <w:szCs w:val="20"/>
                <w:highlight w:val="none"/>
                <w:lang w:val="en-US" w:eastAsia="zh-CN"/>
              </w:rPr>
              <w:t>人行道</w:t>
            </w:r>
            <w:r>
              <w:rPr>
                <w:rFonts w:hint="eastAsia" w:ascii="仿宋_GB2312" w:hAnsi="仿宋_GB2312" w:eastAsia="仿宋_GB2312" w:cs="仿宋_GB2312"/>
                <w:color w:val="000000"/>
                <w:sz w:val="20"/>
                <w:szCs w:val="20"/>
                <w:highlight w:val="none"/>
              </w:rPr>
              <w:t>停车秩序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城区</w:t>
            </w:r>
            <w:r>
              <w:rPr>
                <w:rFonts w:hint="eastAsia" w:ascii="仿宋_GB2312" w:hAnsi="仿宋_GB2312" w:eastAsia="仿宋_GB2312" w:cs="仿宋_GB2312"/>
                <w:color w:val="000000"/>
                <w:sz w:val="20"/>
                <w:szCs w:val="20"/>
                <w:highlight w:val="none"/>
                <w:lang w:val="en-US" w:eastAsia="zh-CN"/>
              </w:rPr>
              <w:t>人行道</w:t>
            </w:r>
            <w:r>
              <w:rPr>
                <w:rFonts w:hint="eastAsia" w:ascii="仿宋_GB2312" w:hAnsi="仿宋_GB2312" w:eastAsia="仿宋_GB2312" w:cs="仿宋_GB2312"/>
                <w:color w:val="000000"/>
                <w:sz w:val="20"/>
                <w:szCs w:val="20"/>
                <w:highlight w:val="none"/>
              </w:rPr>
              <w:t>停车秩序良好</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200" w:firstLineChars="1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ind w:firstLine="200" w:firstLineChars="100"/>
              <w:jc w:val="both"/>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改善城市视觉环境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有效改善城市视觉环境</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i w:val="0"/>
                <w:color w:val="000000"/>
                <w:kern w:val="0"/>
                <w:sz w:val="20"/>
                <w:szCs w:val="20"/>
                <w:u w:val="none"/>
                <w:lang w:val="en-US" w:eastAsia="zh-CN" w:bidi="ar"/>
              </w:rPr>
              <w:t>有效改善了城市视觉环境</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保障停车入位，提高车位周转率。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i w:val="0"/>
                <w:color w:val="000000"/>
                <w:kern w:val="0"/>
                <w:sz w:val="20"/>
                <w:szCs w:val="20"/>
                <w:u w:val="none"/>
                <w:lang w:val="en-US" w:eastAsia="zh-CN" w:bidi="ar"/>
              </w:rPr>
              <w:t>保障停车入位，提高车位周转率。</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i w:val="0"/>
                <w:color w:val="000000"/>
                <w:kern w:val="0"/>
                <w:sz w:val="20"/>
                <w:szCs w:val="20"/>
                <w:u w:val="none"/>
                <w:lang w:val="en-US" w:eastAsia="zh-CN" w:bidi="ar"/>
              </w:rPr>
              <w:t>加强停车管理保障停车入位，提高车位周转率。</w:t>
            </w:r>
          </w:p>
        </w:tc>
        <w:tc>
          <w:tcPr>
            <w:tcW w:w="82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7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80"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tcBorders>
              <w:top w:val="single" w:color="auto" w:sz="4" w:space="0"/>
              <w:left w:val="nil"/>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群众</w:t>
            </w:r>
            <w:r>
              <w:rPr>
                <w:rFonts w:hint="eastAsia" w:ascii="仿宋_GB2312" w:hAnsi="仿宋_GB2312" w:eastAsia="仿宋_GB2312" w:cs="仿宋_GB2312"/>
                <w:color w:val="000000"/>
                <w:sz w:val="20"/>
                <w:szCs w:val="20"/>
                <w:highlight w:val="none"/>
              </w:rPr>
              <w:t>满意</w:t>
            </w:r>
            <w:r>
              <w:rPr>
                <w:rFonts w:hint="eastAsia" w:ascii="仿宋_GB2312" w:hAnsi="仿宋_GB2312" w:eastAsia="仿宋_GB2312" w:cs="仿宋_GB2312"/>
                <w:color w:val="000000"/>
                <w:sz w:val="20"/>
                <w:szCs w:val="20"/>
                <w:highlight w:val="none"/>
                <w:lang w:val="en-US" w:eastAsia="zh-CN"/>
              </w:rPr>
              <w:t>度</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95%以上</w:t>
            </w:r>
          </w:p>
        </w:tc>
        <w:tc>
          <w:tcPr>
            <w:tcW w:w="1134"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96%</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20" w:hRule="atLeast"/>
          <w:jc w:val="center"/>
        </w:trPr>
        <w:tc>
          <w:tcPr>
            <w:tcW w:w="6732" w:type="dxa"/>
            <w:gridSpan w:val="6"/>
            <w:tcBorders>
              <w:top w:val="single" w:color="auto" w:sz="4" w:space="0"/>
              <w:left w:val="single" w:color="auto"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98.56</w:t>
            </w:r>
          </w:p>
        </w:tc>
        <w:tc>
          <w:tcPr>
            <w:tcW w:w="141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340" w:lineRule="exact"/>
        <w:textAlignment w:val="auto"/>
        <w:rPr>
          <w:rFonts w:hint="eastAsia" w:ascii="仿宋_GB2312" w:hAnsi="仿宋_GB2312" w:eastAsia="仿宋_GB2312" w:cs="仿宋_GB2312"/>
          <w:sz w:val="18"/>
          <w:szCs w:val="18"/>
          <w:highlight w:val="none"/>
        </w:rPr>
      </w:pPr>
    </w:p>
    <w:p>
      <w:pPr>
        <w:rPr>
          <w:rFonts w:hint="default"/>
        </w:rPr>
      </w:pPr>
      <w:r>
        <w:rPr>
          <w:rFonts w:hint="eastAsia" w:ascii="仿宋_GB2312" w:hAnsi="仿宋_GB2312" w:eastAsia="仿宋_GB2312" w:cs="仿宋_GB2312"/>
          <w:sz w:val="22"/>
          <w:highlight w:val="none"/>
        </w:rPr>
        <w:t>填表人：</w:t>
      </w:r>
      <w:r>
        <w:rPr>
          <w:rFonts w:hint="eastAsia" w:ascii="仿宋_GB2312" w:hAnsi="仿宋_GB2312" w:eastAsia="仿宋_GB2312" w:cs="仿宋_GB2312"/>
          <w:sz w:val="22"/>
          <w:highlight w:val="none"/>
          <w:lang w:val="en-US" w:eastAsia="zh-CN"/>
        </w:rPr>
        <w:t>龙邓</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填报日期：</w:t>
      </w:r>
      <w:r>
        <w:rPr>
          <w:rFonts w:hint="eastAsia" w:ascii="仿宋_GB2312" w:hAnsi="仿宋_GB2312" w:eastAsia="仿宋_GB2312" w:cs="仿宋_GB2312"/>
          <w:sz w:val="22"/>
          <w:highlight w:val="none"/>
          <w:lang w:val="en-US" w:eastAsia="zh-CN"/>
        </w:rPr>
        <w:t>2025.6.26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联系电话：</w:t>
      </w:r>
      <w:r>
        <w:rPr>
          <w:rFonts w:hint="eastAsia" w:ascii="仿宋_GB2312" w:hAnsi="仿宋_GB2312" w:eastAsia="仿宋_GB2312" w:cs="仿宋_GB2312"/>
          <w:sz w:val="22"/>
          <w:highlight w:val="none"/>
          <w:lang w:val="en-US" w:eastAsia="zh-CN"/>
        </w:rPr>
        <w:t>8220516</w:t>
      </w:r>
      <w:r>
        <w:rPr>
          <w:rFonts w:hint="eastAsia" w:ascii="仿宋_GB2312" w:hAnsi="仿宋_GB2312" w:eastAsia="仿宋_GB2312" w:cs="仿宋_GB2312"/>
          <w:sz w:val="22"/>
          <w:highlight w:val="none"/>
        </w:rPr>
        <w:t xml:space="preserve">  </w:t>
      </w:r>
      <w:r>
        <w:rPr>
          <w:rFonts w:hint="eastAsia" w:ascii="仿宋_GB2312" w:hAnsi="仿宋_GB2312" w:eastAsia="仿宋_GB2312" w:cs="仿宋_GB2312"/>
          <w:sz w:val="22"/>
          <w:highlight w:val="none"/>
          <w:lang w:val="en-US" w:eastAsia="zh-CN"/>
        </w:rPr>
        <w:t xml:space="preserve"> </w:t>
      </w:r>
      <w:r>
        <w:rPr>
          <w:rFonts w:hint="eastAsia" w:ascii="仿宋_GB2312" w:hAnsi="仿宋_GB2312" w:eastAsia="仿宋_GB2312" w:cs="仿宋_GB2312"/>
          <w:sz w:val="22"/>
          <w:highlight w:val="none"/>
        </w:rPr>
        <w:t>单位负责人：</w:t>
      </w:r>
      <w:r>
        <w:rPr>
          <w:rFonts w:hint="eastAsia" w:ascii="仿宋_GB2312" w:hAnsi="仿宋_GB2312" w:eastAsia="仿宋_GB2312" w:cs="仿宋_GB2312"/>
          <w:sz w:val="22"/>
          <w:highlight w:val="none"/>
          <w:lang w:val="en-US" w:eastAsia="zh-CN"/>
        </w:rPr>
        <w:t>何志军</w:t>
      </w:r>
      <w:r>
        <w:rPr>
          <w:rFonts w:hint="eastAsia" w:ascii="仿宋_GB2312" w:hAnsi="仿宋_GB2312" w:eastAsia="仿宋_GB2312" w:cs="仿宋_GB2312"/>
          <w:sz w:val="22"/>
          <w:highlight w:val="none"/>
        </w:rPr>
        <w:br w:type="page"/>
      </w: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1-6</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p>
      <w:pPr>
        <w:pStyle w:val="4"/>
        <w:rPr>
          <w:rFonts w:hint="eastAsia"/>
        </w:rPr>
      </w:pPr>
    </w:p>
    <w:tbl>
      <w:tblPr>
        <w:tblStyle w:val="8"/>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0"/>
        <w:gridCol w:w="1080"/>
        <w:gridCol w:w="1080"/>
        <w:gridCol w:w="1224"/>
        <w:gridCol w:w="1134"/>
        <w:gridCol w:w="1134"/>
        <w:gridCol w:w="828"/>
        <w:gridCol w:w="873"/>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1" w:type="dxa"/>
            <w:gridSpan w:val="8"/>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auto"/>
                <w:sz w:val="20"/>
                <w:szCs w:val="20"/>
                <w:highlight w:val="none"/>
                <w:lang w:val="en-US" w:eastAsia="zh-CN"/>
              </w:rPr>
              <w:t>办案费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8" w:type="dxa"/>
            <w:gridSpan w:val="4"/>
            <w:noWrap w:val="0"/>
            <w:vAlign w:val="center"/>
          </w:tcPr>
          <w:p>
            <w:pPr>
              <w:keepNext w:val="0"/>
              <w:keepLines w:val="0"/>
              <w:pageBreakBefore w:val="0"/>
              <w:widowControl/>
              <w:tabs>
                <w:tab w:val="right" w:pos="4302"/>
              </w:tabs>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岳阳市城市管理和综合执法局</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实施单位</w:t>
            </w:r>
          </w:p>
        </w:tc>
        <w:tc>
          <w:tcPr>
            <w:tcW w:w="3119" w:type="dxa"/>
            <w:gridSpan w:val="3"/>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岳阳市停车管理服务中心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4"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73"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8" w:type="dxa"/>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55.38</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135.38</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125.39</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92.62%</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80.00</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70.01</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55.38</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55.38</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55.38</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2160" w:type="dxa"/>
            <w:gridSpan w:val="2"/>
            <w:noWrap w:val="0"/>
            <w:vAlign w:val="center"/>
          </w:tcPr>
          <w:p>
            <w:pPr>
              <w:keepNext w:val="0"/>
              <w:keepLines w:val="0"/>
              <w:pageBreakBefore w:val="0"/>
              <w:widowControl/>
              <w:kinsoku/>
              <w:wordWrap/>
              <w:overflowPunct/>
              <w:topLinePunct w:val="0"/>
              <w:autoSpaceDE/>
              <w:autoSpaceDN/>
              <w:bidi w:val="0"/>
              <w:adjustRightInd/>
              <w:snapToGrid/>
              <w:spacing w:line="30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8"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53" w:type="dxa"/>
            <w:gridSpan w:val="4"/>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4518" w:type="dxa"/>
            <w:gridSpan w:val="4"/>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w:t>
            </w:r>
            <w:r>
              <w:rPr>
                <w:rFonts w:hint="eastAsia" w:ascii="仿宋_GB2312" w:hAnsi="仿宋_GB2312" w:eastAsia="仿宋_GB2312" w:cs="仿宋_GB2312"/>
                <w:color w:val="000000"/>
                <w:sz w:val="20"/>
                <w:szCs w:val="20"/>
                <w:highlight w:val="none"/>
              </w:rPr>
              <w:t>保障</w:t>
            </w:r>
            <w:r>
              <w:rPr>
                <w:rFonts w:hint="eastAsia" w:ascii="仿宋_GB2312" w:hAnsi="仿宋_GB2312" w:eastAsia="仿宋_GB2312" w:cs="仿宋_GB2312"/>
                <w:color w:val="000000"/>
                <w:sz w:val="20"/>
                <w:szCs w:val="20"/>
                <w:highlight w:val="none"/>
                <w:lang w:val="en-US" w:eastAsia="zh-CN"/>
              </w:rPr>
              <w:t>中心城区人行道公共</w:t>
            </w:r>
            <w:r>
              <w:rPr>
                <w:rFonts w:hint="eastAsia" w:ascii="仿宋_GB2312" w:hAnsi="仿宋_GB2312" w:eastAsia="仿宋_GB2312" w:cs="仿宋_GB2312"/>
                <w:color w:val="000000"/>
                <w:sz w:val="20"/>
                <w:szCs w:val="20"/>
                <w:highlight w:val="none"/>
              </w:rPr>
              <w:t>停车</w:t>
            </w:r>
            <w:r>
              <w:rPr>
                <w:rFonts w:hint="eastAsia" w:ascii="仿宋_GB2312" w:hAnsi="仿宋_GB2312" w:eastAsia="仿宋_GB2312" w:cs="仿宋_GB2312"/>
                <w:color w:val="000000"/>
                <w:sz w:val="20"/>
                <w:szCs w:val="20"/>
                <w:highlight w:val="none"/>
                <w:lang w:val="en-US" w:eastAsia="zh-CN"/>
              </w:rPr>
              <w:t>泊位及停车辅助</w:t>
            </w:r>
            <w:r>
              <w:rPr>
                <w:rFonts w:hint="eastAsia" w:ascii="仿宋_GB2312" w:hAnsi="仿宋_GB2312" w:eastAsia="仿宋_GB2312" w:cs="仿宋_GB2312"/>
                <w:color w:val="000000"/>
                <w:sz w:val="20"/>
                <w:szCs w:val="20"/>
                <w:highlight w:val="none"/>
              </w:rPr>
              <w:t>设施</w:t>
            </w:r>
            <w:r>
              <w:rPr>
                <w:rFonts w:hint="eastAsia" w:ascii="仿宋_GB2312" w:hAnsi="仿宋_GB2312" w:eastAsia="仿宋_GB2312" w:cs="仿宋_GB2312"/>
                <w:color w:val="000000"/>
                <w:sz w:val="20"/>
                <w:szCs w:val="20"/>
                <w:highlight w:val="none"/>
                <w:lang w:val="en-US" w:eastAsia="zh-CN"/>
              </w:rPr>
              <w:t>的正常</w:t>
            </w:r>
            <w:r>
              <w:rPr>
                <w:rFonts w:hint="eastAsia" w:ascii="仿宋_GB2312" w:hAnsi="仿宋_GB2312" w:eastAsia="仿宋_GB2312" w:cs="仿宋_GB2312"/>
                <w:color w:val="000000"/>
                <w:sz w:val="20"/>
                <w:szCs w:val="20"/>
                <w:highlight w:val="none"/>
              </w:rPr>
              <w:t>维护</w:t>
            </w:r>
            <w:r>
              <w:rPr>
                <w:rFonts w:hint="eastAsia" w:ascii="仿宋_GB2312" w:hAnsi="仿宋_GB2312" w:eastAsia="仿宋_GB2312" w:cs="仿宋_GB2312"/>
                <w:color w:val="000000"/>
                <w:sz w:val="20"/>
                <w:szCs w:val="20"/>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2、维护及升级城管违停录入</w:t>
            </w:r>
            <w:r>
              <w:rPr>
                <w:rFonts w:hint="eastAsia" w:ascii="仿宋_GB2312" w:hAnsi="仿宋_GB2312" w:eastAsia="仿宋_GB2312" w:cs="仿宋_GB2312"/>
                <w:color w:val="000000"/>
                <w:sz w:val="20"/>
                <w:szCs w:val="20"/>
                <w:highlight w:val="none"/>
              </w:rPr>
              <w:t>平台</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保障平台正常运行、违停车辆信息及时准确发送；</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3、保障</w:t>
            </w:r>
            <w:r>
              <w:rPr>
                <w:rFonts w:hint="eastAsia" w:ascii="仿宋_GB2312" w:hAnsi="仿宋_GB2312" w:eastAsia="仿宋_GB2312" w:cs="仿宋_GB2312"/>
                <w:color w:val="000000"/>
                <w:sz w:val="20"/>
                <w:szCs w:val="20"/>
                <w:highlight w:val="none"/>
              </w:rPr>
              <w:t>录入人员工资</w:t>
            </w:r>
            <w:r>
              <w:rPr>
                <w:rFonts w:hint="eastAsia" w:ascii="仿宋_GB2312" w:hAnsi="仿宋_GB2312" w:eastAsia="仿宋_GB2312" w:cs="仿宋_GB2312"/>
                <w:color w:val="000000"/>
                <w:sz w:val="20"/>
                <w:szCs w:val="20"/>
                <w:highlight w:val="none"/>
                <w:lang w:val="en-US" w:eastAsia="zh-CN"/>
              </w:rPr>
              <w:t>准时、足额发放。</w:t>
            </w:r>
            <w:r>
              <w:rPr>
                <w:rFonts w:hint="eastAsia" w:ascii="仿宋_GB2312" w:hAnsi="仿宋_GB2312" w:eastAsia="仿宋_GB2312" w:cs="仿宋_GB2312"/>
                <w:color w:val="000000"/>
                <w:sz w:val="20"/>
                <w:szCs w:val="20"/>
                <w:highlight w:val="none"/>
              </w:rPr>
              <w:t>　　</w:t>
            </w:r>
          </w:p>
        </w:tc>
        <w:tc>
          <w:tcPr>
            <w:tcW w:w="4253" w:type="dxa"/>
            <w:gridSpan w:val="4"/>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1、及时更新维护了中心城区人行道公共</w:t>
            </w:r>
            <w:r>
              <w:rPr>
                <w:rFonts w:hint="eastAsia" w:ascii="仿宋_GB2312" w:hAnsi="仿宋_GB2312" w:eastAsia="仿宋_GB2312" w:cs="仿宋_GB2312"/>
                <w:color w:val="000000"/>
                <w:sz w:val="20"/>
                <w:szCs w:val="20"/>
                <w:highlight w:val="none"/>
              </w:rPr>
              <w:t>停车</w:t>
            </w:r>
            <w:r>
              <w:rPr>
                <w:rFonts w:hint="eastAsia" w:ascii="仿宋_GB2312" w:hAnsi="仿宋_GB2312" w:eastAsia="仿宋_GB2312" w:cs="仿宋_GB2312"/>
                <w:color w:val="000000"/>
                <w:sz w:val="20"/>
                <w:szCs w:val="20"/>
                <w:highlight w:val="none"/>
                <w:lang w:val="en-US" w:eastAsia="zh-CN"/>
              </w:rPr>
              <w:t>泊位及停车辅助</w:t>
            </w:r>
            <w:r>
              <w:rPr>
                <w:rFonts w:hint="eastAsia" w:ascii="仿宋_GB2312" w:hAnsi="仿宋_GB2312" w:eastAsia="仿宋_GB2312" w:cs="仿宋_GB2312"/>
                <w:color w:val="000000"/>
                <w:sz w:val="20"/>
                <w:szCs w:val="20"/>
                <w:highlight w:val="none"/>
              </w:rPr>
              <w:t>设施</w:t>
            </w:r>
            <w:r>
              <w:rPr>
                <w:rFonts w:hint="eastAsia" w:ascii="仿宋_GB2312" w:hAnsi="仿宋_GB2312" w:eastAsia="仿宋_GB2312" w:cs="仿宋_GB2312"/>
                <w:color w:val="000000"/>
                <w:sz w:val="20"/>
                <w:szCs w:val="20"/>
                <w:highlight w:val="none"/>
                <w:lang w:val="en-US"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ind w:leftChars="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2、及时维护、升级了城管违停录入</w:t>
            </w:r>
            <w:r>
              <w:rPr>
                <w:rFonts w:hint="eastAsia" w:ascii="仿宋_GB2312" w:hAnsi="仿宋_GB2312" w:eastAsia="仿宋_GB2312" w:cs="仿宋_GB2312"/>
                <w:color w:val="000000"/>
                <w:sz w:val="20"/>
                <w:szCs w:val="20"/>
                <w:highlight w:val="none"/>
              </w:rPr>
              <w:t>平台</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保障了平台正常运行、违停车辆信息及时准确发送；</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3、保障了</w:t>
            </w:r>
            <w:r>
              <w:rPr>
                <w:rFonts w:hint="eastAsia" w:ascii="仿宋_GB2312" w:hAnsi="仿宋_GB2312" w:eastAsia="仿宋_GB2312" w:cs="仿宋_GB2312"/>
                <w:color w:val="000000"/>
                <w:sz w:val="20"/>
                <w:szCs w:val="20"/>
                <w:highlight w:val="none"/>
              </w:rPr>
              <w:t>录入人员工资</w:t>
            </w:r>
            <w:r>
              <w:rPr>
                <w:rFonts w:hint="eastAsia" w:ascii="仿宋_GB2312" w:hAnsi="仿宋_GB2312" w:eastAsia="仿宋_GB2312" w:cs="仿宋_GB2312"/>
                <w:color w:val="000000"/>
                <w:sz w:val="20"/>
                <w:szCs w:val="20"/>
                <w:highlight w:val="none"/>
                <w:lang w:val="en-US" w:eastAsia="zh-CN"/>
              </w:rPr>
              <w:t>准时、足额发放。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录入人员工资</w:t>
            </w:r>
            <w:r>
              <w:rPr>
                <w:rFonts w:hint="eastAsia" w:ascii="仿宋_GB2312" w:hAnsi="仿宋_GB2312" w:eastAsia="仿宋_GB2312" w:cs="仿宋_GB2312"/>
                <w:color w:val="000000"/>
                <w:sz w:val="20"/>
                <w:szCs w:val="20"/>
                <w:highlight w:val="none"/>
                <w:lang w:val="en-US" w:eastAsia="zh-CN"/>
              </w:rPr>
              <w:t>发放</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12个月</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发放12个月</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平台维护、升级</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1个</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1个</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停车泊位更新及设施维护</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1批</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1批</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停车设施维护</w:t>
            </w:r>
            <w:r>
              <w:rPr>
                <w:rFonts w:hint="eastAsia" w:ascii="仿宋_GB2312" w:hAnsi="仿宋_GB2312" w:eastAsia="仿宋_GB2312" w:cs="仿宋_GB2312"/>
                <w:color w:val="000000"/>
                <w:sz w:val="20"/>
                <w:szCs w:val="20"/>
                <w:highlight w:val="none"/>
                <w:lang w:val="en-US" w:eastAsia="zh-CN"/>
              </w:rPr>
              <w:t>质量</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符合相关规定</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符合相关规定</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平台</w:t>
            </w:r>
            <w:r>
              <w:rPr>
                <w:rFonts w:hint="eastAsia" w:ascii="仿宋_GB2312" w:hAnsi="仿宋_GB2312" w:eastAsia="仿宋_GB2312" w:cs="仿宋_GB2312"/>
                <w:color w:val="000000"/>
                <w:sz w:val="20"/>
                <w:szCs w:val="20"/>
                <w:highlight w:val="none"/>
                <w:lang w:val="en-US" w:eastAsia="zh-CN"/>
              </w:rPr>
              <w:t>信息安全</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符合行业标准</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符合行业标准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违停车辆信息录入质量</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符合相关规定</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符合相关规定</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违停车辆信息发送时效</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及时</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均及时发送</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按年度工作计划完成</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2024年12月31日前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均按时完成</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5</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预算工作经费</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年度预算135.38万元</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未超预算</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是否对社会发展造成负面影响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r>
              <w:rPr>
                <w:rFonts w:hint="eastAsia" w:ascii="仿宋_GB2312" w:hAnsi="仿宋_GB2312" w:eastAsia="仿宋_GB2312" w:cs="仿宋_GB2312"/>
                <w:color w:val="000000"/>
                <w:sz w:val="20"/>
                <w:szCs w:val="20"/>
                <w:highlight w:val="none"/>
              </w:rPr>
              <w:t>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无</w:t>
            </w:r>
            <w:r>
              <w:rPr>
                <w:rFonts w:hint="eastAsia" w:ascii="仿宋_GB2312" w:hAnsi="仿宋_GB2312" w:eastAsia="仿宋_GB2312" w:cs="仿宋_GB2312"/>
                <w:color w:val="000000"/>
                <w:sz w:val="20"/>
                <w:szCs w:val="20"/>
                <w:highlight w:val="none"/>
              </w:rPr>
              <w:t>负面影响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是否对自然生态环境造成负面影响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w:t>
            </w:r>
            <w:r>
              <w:rPr>
                <w:rFonts w:hint="eastAsia" w:ascii="仿宋_GB2312" w:hAnsi="仿宋_GB2312" w:eastAsia="仿宋_GB2312" w:cs="仿宋_GB2312"/>
                <w:color w:val="000000"/>
                <w:sz w:val="20"/>
                <w:szCs w:val="20"/>
                <w:highlight w:val="none"/>
              </w:rPr>
              <w:t>负面影响</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w:t>
            </w:r>
            <w:r>
              <w:rPr>
                <w:rFonts w:hint="eastAsia" w:ascii="仿宋_GB2312" w:hAnsi="仿宋_GB2312" w:eastAsia="仿宋_GB2312" w:cs="仿宋_GB2312"/>
                <w:color w:val="000000"/>
                <w:sz w:val="20"/>
                <w:szCs w:val="20"/>
                <w:highlight w:val="none"/>
              </w:rPr>
              <w:t>负面影响</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4</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是否产生一定的经济效益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改善营商环境</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助力经济发展</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助力</w:t>
            </w:r>
            <w:r>
              <w:rPr>
                <w:rFonts w:hint="eastAsia" w:ascii="仿宋_GB2312" w:hAnsi="仿宋_GB2312" w:eastAsia="仿宋_GB2312" w:cs="仿宋_GB2312"/>
                <w:color w:val="000000"/>
                <w:sz w:val="20"/>
                <w:szCs w:val="20"/>
                <w:highlight w:val="none"/>
              </w:rPr>
              <w:t>改善营商环境</w:t>
            </w:r>
            <w:r>
              <w:rPr>
                <w:rFonts w:hint="eastAsia" w:ascii="仿宋_GB2312" w:hAnsi="仿宋_GB2312" w:eastAsia="仿宋_GB2312" w:cs="仿宋_GB2312"/>
                <w:color w:val="000000"/>
                <w:sz w:val="20"/>
                <w:szCs w:val="20"/>
                <w:highlight w:val="none"/>
                <w:lang w:eastAsia="zh-CN"/>
              </w:rPr>
              <w:t>，</w:t>
            </w:r>
            <w:r>
              <w:rPr>
                <w:rFonts w:hint="eastAsia" w:ascii="仿宋_GB2312" w:hAnsi="仿宋_GB2312" w:eastAsia="仿宋_GB2312" w:cs="仿宋_GB2312"/>
                <w:color w:val="000000"/>
                <w:sz w:val="20"/>
                <w:szCs w:val="20"/>
                <w:highlight w:val="none"/>
                <w:lang w:val="en-US" w:eastAsia="zh-CN"/>
              </w:rPr>
              <w:t>促进经济发展</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促进社会和谐发展</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有效促进社会和谐发展</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有效促进社会和谐发展</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8</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是否产生一定的生态效益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不适用</w:t>
            </w:r>
            <w:r>
              <w:rPr>
                <w:rFonts w:hint="eastAsia" w:ascii="仿宋_GB2312" w:hAnsi="仿宋_GB2312" w:eastAsia="仿宋_GB2312" w:cs="仿宋_GB2312"/>
                <w:color w:val="000000"/>
                <w:sz w:val="20"/>
                <w:szCs w:val="20"/>
                <w:highlight w:val="none"/>
              </w:rPr>
              <w:t>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不适用</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restart"/>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提供公共停车泊位，方便市民出行</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公共停车泊位提供 </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公共停车泊位的提供，改善了城区停车秩序。</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还有待进一步挖掘停车资源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提升城市整体形象</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有效提升</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有效提升</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7</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还有待进一步提升</w:t>
            </w: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0" w:type="dxa"/>
            <w:vMerge w:val="continue"/>
            <w:noWrap w:val="0"/>
            <w:vAlign w:val="center"/>
          </w:tcPr>
          <w:p>
            <w:pPr>
              <w:keepNext w:val="0"/>
              <w:keepLines w:val="0"/>
              <w:pageBreakBefore w:val="0"/>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80"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群众</w:t>
            </w:r>
            <w:r>
              <w:rPr>
                <w:rFonts w:hint="eastAsia" w:ascii="仿宋_GB2312" w:hAnsi="仿宋_GB2312" w:eastAsia="仿宋_GB2312" w:cs="仿宋_GB2312"/>
                <w:color w:val="000000"/>
                <w:sz w:val="20"/>
                <w:szCs w:val="20"/>
                <w:highlight w:val="none"/>
              </w:rPr>
              <w:t>满意度</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95%以上</w:t>
            </w:r>
          </w:p>
        </w:tc>
        <w:tc>
          <w:tcPr>
            <w:tcW w:w="1134"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95.5%</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6732" w:type="dxa"/>
            <w:gridSpan w:val="6"/>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73"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97.26</w:t>
            </w:r>
          </w:p>
        </w:tc>
        <w:tc>
          <w:tcPr>
            <w:tcW w:w="1418" w:type="dxa"/>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300" w:lineRule="exact"/>
        <w:textAlignment w:val="auto"/>
        <w:rPr>
          <w:rFonts w:hint="eastAsia" w:ascii="仿宋_GB2312" w:hAnsi="仿宋_GB2312" w:eastAsia="仿宋_GB2312" w:cs="仿宋_GB2312"/>
          <w:sz w:val="20"/>
          <w:szCs w:val="20"/>
          <w:highlight w:val="none"/>
        </w:rPr>
      </w:pPr>
    </w:p>
    <w:p>
      <w:pPr>
        <w:keepNext w:val="0"/>
        <w:keepLines w:val="0"/>
        <w:pageBreakBefore w:val="0"/>
        <w:kinsoku/>
        <w:wordWrap/>
        <w:overflowPunct/>
        <w:topLinePunct w:val="0"/>
        <w:autoSpaceDE/>
        <w:autoSpaceDN/>
        <w:bidi w:val="0"/>
        <w:adjustRightInd/>
        <w:snapToGrid/>
        <w:spacing w:line="300" w:lineRule="exact"/>
        <w:textAlignment w:val="auto"/>
        <w:rPr>
          <w:rFonts w:hint="default" w:ascii="Times New Roman" w:hAnsi="Times New Roman" w:eastAsia="仿宋_GB2312" w:cs="Times New Roman"/>
          <w:sz w:val="22"/>
          <w:szCs w:val="22"/>
          <w:highlight w:val="none"/>
        </w:rPr>
      </w:pPr>
      <w:r>
        <w:rPr>
          <w:rFonts w:hint="eastAsia" w:ascii="仿宋_GB2312" w:hAnsi="仿宋_GB2312" w:eastAsia="仿宋_GB2312" w:cs="仿宋_GB2312"/>
          <w:sz w:val="20"/>
          <w:szCs w:val="20"/>
          <w:highlight w:val="none"/>
        </w:rPr>
        <w:t>填表人：</w:t>
      </w:r>
      <w:r>
        <w:rPr>
          <w:rFonts w:hint="eastAsia" w:ascii="仿宋_GB2312" w:hAnsi="仿宋_GB2312" w:eastAsia="仿宋_GB2312" w:cs="仿宋_GB2312"/>
          <w:sz w:val="20"/>
          <w:szCs w:val="20"/>
          <w:highlight w:val="none"/>
          <w:lang w:val="en-US" w:eastAsia="zh-CN"/>
        </w:rPr>
        <w:t>龙邓</w:t>
      </w:r>
      <w:r>
        <w:rPr>
          <w:rFonts w:hint="eastAsia" w:ascii="仿宋_GB2312" w:hAnsi="仿宋_GB2312" w:eastAsia="仿宋_GB2312" w:cs="仿宋_GB2312"/>
          <w:sz w:val="20"/>
          <w:szCs w:val="20"/>
          <w:highlight w:val="none"/>
        </w:rPr>
        <w:t xml:space="preserve">  </w:t>
      </w:r>
      <w:r>
        <w:rPr>
          <w:rFonts w:hint="eastAsia" w:ascii="仿宋_GB2312" w:hAnsi="仿宋_GB2312" w:eastAsia="仿宋_GB2312" w:cs="仿宋_GB2312"/>
          <w:sz w:val="20"/>
          <w:szCs w:val="20"/>
          <w:highlight w:val="none"/>
          <w:lang w:val="en-US" w:eastAsia="zh-CN"/>
        </w:rPr>
        <w:t xml:space="preserve"> </w:t>
      </w:r>
      <w:r>
        <w:rPr>
          <w:rFonts w:hint="eastAsia" w:ascii="仿宋_GB2312" w:hAnsi="仿宋_GB2312" w:eastAsia="仿宋_GB2312" w:cs="仿宋_GB2312"/>
          <w:sz w:val="20"/>
          <w:szCs w:val="20"/>
          <w:highlight w:val="none"/>
        </w:rPr>
        <w:t>填报日期：</w:t>
      </w:r>
      <w:r>
        <w:rPr>
          <w:rFonts w:hint="eastAsia" w:ascii="仿宋_GB2312" w:hAnsi="仿宋_GB2312" w:eastAsia="仿宋_GB2312" w:cs="仿宋_GB2312"/>
          <w:sz w:val="20"/>
          <w:szCs w:val="20"/>
          <w:highlight w:val="none"/>
          <w:lang w:val="en-US" w:eastAsia="zh-CN"/>
        </w:rPr>
        <w:t>2025.6.26</w:t>
      </w:r>
      <w:r>
        <w:rPr>
          <w:rFonts w:hint="eastAsia" w:ascii="仿宋_GB2312" w:hAnsi="仿宋_GB2312" w:eastAsia="仿宋_GB2312" w:cs="仿宋_GB2312"/>
          <w:sz w:val="20"/>
          <w:szCs w:val="20"/>
          <w:highlight w:val="none"/>
        </w:rPr>
        <w:t xml:space="preserve">  </w:t>
      </w:r>
      <w:r>
        <w:rPr>
          <w:rFonts w:hint="eastAsia" w:ascii="仿宋_GB2312" w:hAnsi="仿宋_GB2312" w:eastAsia="仿宋_GB2312" w:cs="仿宋_GB2312"/>
          <w:sz w:val="20"/>
          <w:szCs w:val="20"/>
          <w:highlight w:val="none"/>
          <w:lang w:val="en-US" w:eastAsia="zh-CN"/>
        </w:rPr>
        <w:t xml:space="preserve"> </w:t>
      </w:r>
      <w:r>
        <w:rPr>
          <w:rFonts w:hint="eastAsia" w:ascii="仿宋_GB2312" w:hAnsi="仿宋_GB2312" w:eastAsia="仿宋_GB2312" w:cs="仿宋_GB2312"/>
          <w:sz w:val="20"/>
          <w:szCs w:val="20"/>
          <w:highlight w:val="none"/>
        </w:rPr>
        <w:t>联系电话：</w:t>
      </w:r>
      <w:r>
        <w:rPr>
          <w:rFonts w:hint="eastAsia" w:ascii="仿宋_GB2312" w:hAnsi="仿宋_GB2312" w:eastAsia="仿宋_GB2312" w:cs="仿宋_GB2312"/>
          <w:sz w:val="20"/>
          <w:szCs w:val="20"/>
          <w:highlight w:val="none"/>
          <w:lang w:val="en-US" w:eastAsia="zh-CN"/>
        </w:rPr>
        <w:t>8220516</w:t>
      </w:r>
      <w:r>
        <w:rPr>
          <w:rFonts w:hint="eastAsia" w:ascii="仿宋_GB2312" w:hAnsi="仿宋_GB2312" w:eastAsia="仿宋_GB2312" w:cs="仿宋_GB2312"/>
          <w:sz w:val="20"/>
          <w:szCs w:val="20"/>
          <w:highlight w:val="none"/>
        </w:rPr>
        <w:t xml:space="preserve">  </w:t>
      </w:r>
      <w:r>
        <w:rPr>
          <w:rFonts w:hint="eastAsia" w:ascii="仿宋_GB2312" w:hAnsi="仿宋_GB2312" w:eastAsia="仿宋_GB2312" w:cs="仿宋_GB2312"/>
          <w:sz w:val="20"/>
          <w:szCs w:val="20"/>
          <w:highlight w:val="none"/>
          <w:lang w:val="en-US" w:eastAsia="zh-CN"/>
        </w:rPr>
        <w:t xml:space="preserve"> </w:t>
      </w:r>
      <w:r>
        <w:rPr>
          <w:rFonts w:hint="eastAsia" w:ascii="仿宋_GB2312" w:hAnsi="仿宋_GB2312" w:eastAsia="仿宋_GB2312" w:cs="仿宋_GB2312"/>
          <w:sz w:val="20"/>
          <w:szCs w:val="20"/>
          <w:highlight w:val="none"/>
        </w:rPr>
        <w:t>单位负责人：</w:t>
      </w:r>
      <w:r>
        <w:rPr>
          <w:rFonts w:hint="eastAsia" w:ascii="仿宋_GB2312" w:hAnsi="仿宋_GB2312" w:eastAsia="仿宋_GB2312" w:cs="仿宋_GB2312"/>
          <w:sz w:val="20"/>
          <w:szCs w:val="20"/>
          <w:highlight w:val="none"/>
          <w:lang w:val="en-US" w:eastAsia="zh-CN"/>
        </w:rPr>
        <w:t>何志军</w:t>
      </w:r>
      <w:r>
        <w:rPr>
          <w:rFonts w:hint="eastAsia" w:ascii="仿宋_GB2312" w:hAnsi="仿宋_GB2312" w:eastAsia="仿宋_GB2312" w:cs="仿宋_GB2312"/>
          <w:sz w:val="22"/>
          <w:highlight w:val="none"/>
        </w:rPr>
        <w:br w:type="page"/>
      </w:r>
    </w:p>
    <w:p>
      <w:pPr>
        <w:widowControl/>
        <w:spacing w:line="600" w:lineRule="exact"/>
        <w:jc w:val="left"/>
        <w:rPr>
          <w:rFonts w:hint="default" w:ascii="Times New Roman" w:hAnsi="Times New Roman" w:eastAsia="黑体" w:cs="Times New Roman"/>
          <w:sz w:val="32"/>
          <w:szCs w:val="32"/>
          <w:highlight w:val="none"/>
          <w:lang w:val="en-US" w:eastAsia="zh-CN"/>
        </w:rPr>
      </w:pPr>
      <w:r>
        <w:rPr>
          <w:rFonts w:hint="eastAsia" w:ascii="黑体" w:hAnsi="黑体" w:eastAsia="黑体" w:cs="黑体"/>
          <w:sz w:val="32"/>
          <w:szCs w:val="32"/>
          <w:highlight w:val="none"/>
        </w:rPr>
        <w:t>附件</w:t>
      </w:r>
      <w:r>
        <w:rPr>
          <w:rFonts w:hint="eastAsia" w:ascii="黑体" w:hAnsi="黑体" w:eastAsia="黑体" w:cs="黑体"/>
          <w:sz w:val="32"/>
          <w:szCs w:val="32"/>
          <w:highlight w:val="none"/>
          <w:lang w:val="en-US" w:eastAsia="zh-CN"/>
        </w:rPr>
        <w:t>1-7</w:t>
      </w:r>
    </w:p>
    <w:p>
      <w:pPr>
        <w:widowControl/>
        <w:spacing w:line="600" w:lineRule="exact"/>
        <w:jc w:val="center"/>
        <w:rPr>
          <w:rFonts w:hint="eastAsia" w:ascii="方正小标宋简体" w:hAnsi="方正小标宋简体" w:eastAsia="方正小标宋简体" w:cs="方正小标宋简体"/>
          <w:color w:val="000000"/>
          <w:sz w:val="36"/>
          <w:szCs w:val="36"/>
          <w:highlight w:val="none"/>
        </w:rPr>
      </w:pPr>
      <w:r>
        <w:rPr>
          <w:rFonts w:hint="eastAsia" w:ascii="方正小标宋简体" w:hAnsi="方正小标宋简体" w:eastAsia="方正小标宋简体" w:cs="方正小标宋简体"/>
          <w:color w:val="000000"/>
          <w:sz w:val="36"/>
          <w:szCs w:val="36"/>
          <w:highlight w:val="none"/>
        </w:rPr>
        <w:t>202</w:t>
      </w:r>
      <w:r>
        <w:rPr>
          <w:rFonts w:hint="eastAsia" w:ascii="方正小标宋简体" w:hAnsi="方正小标宋简体" w:eastAsia="方正小标宋简体" w:cs="方正小标宋简体"/>
          <w:color w:val="000000"/>
          <w:sz w:val="36"/>
          <w:szCs w:val="36"/>
          <w:highlight w:val="none"/>
          <w:lang w:val="en-US" w:eastAsia="zh-CN"/>
        </w:rPr>
        <w:t>4</w:t>
      </w:r>
      <w:r>
        <w:rPr>
          <w:rFonts w:hint="eastAsia" w:ascii="方正小标宋简体" w:hAnsi="方正小标宋简体" w:eastAsia="方正小标宋简体" w:cs="方正小标宋简体"/>
          <w:color w:val="000000"/>
          <w:sz w:val="36"/>
          <w:szCs w:val="36"/>
          <w:highlight w:val="none"/>
        </w:rPr>
        <w:t>年度项目支出绩效自评表</w:t>
      </w:r>
    </w:p>
    <w:p>
      <w:pPr>
        <w:pStyle w:val="4"/>
        <w:rPr>
          <w:rFonts w:hint="eastAsia"/>
        </w:rPr>
      </w:pPr>
    </w:p>
    <w:tbl>
      <w:tblPr>
        <w:tblStyle w:val="8"/>
        <w:tblW w:w="9851" w:type="dxa"/>
        <w:jc w:val="center"/>
        <w:tblLayout w:type="autofit"/>
        <w:tblCellMar>
          <w:top w:w="0" w:type="dxa"/>
          <w:left w:w="108" w:type="dxa"/>
          <w:bottom w:w="0" w:type="dxa"/>
          <w:right w:w="108" w:type="dxa"/>
        </w:tblCellMar>
      </w:tblPr>
      <w:tblGrid>
        <w:gridCol w:w="1077"/>
        <w:gridCol w:w="1078"/>
        <w:gridCol w:w="1077"/>
        <w:gridCol w:w="1222"/>
        <w:gridCol w:w="1133"/>
        <w:gridCol w:w="1131"/>
        <w:gridCol w:w="826"/>
        <w:gridCol w:w="893"/>
        <w:gridCol w:w="1414"/>
      </w:tblGrid>
      <w:tr>
        <w:tblPrEx>
          <w:tblCellMar>
            <w:top w:w="0" w:type="dxa"/>
            <w:left w:w="108" w:type="dxa"/>
            <w:bottom w:w="0" w:type="dxa"/>
            <w:right w:w="108" w:type="dxa"/>
          </w:tblCellMar>
        </w:tblPrEx>
        <w:trPr>
          <w:jc w:val="center"/>
        </w:trPr>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项目支</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出名称</w:t>
            </w:r>
          </w:p>
        </w:tc>
        <w:tc>
          <w:tcPr>
            <w:tcW w:w="8774" w:type="dxa"/>
            <w:gridSpan w:val="8"/>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highlight w:val="none"/>
                <w:lang w:eastAsia="zh-CN"/>
              </w:rPr>
              <w:t>岳阳市主城区慢行系统专项规划（</w:t>
            </w:r>
            <w:r>
              <w:rPr>
                <w:rFonts w:hint="eastAsia" w:ascii="仿宋_GB2312" w:hAnsi="仿宋_GB2312" w:eastAsia="仿宋_GB2312" w:cs="仿宋_GB2312"/>
                <w:sz w:val="20"/>
                <w:szCs w:val="20"/>
                <w:highlight w:val="none"/>
                <w:lang w:val="en-US" w:eastAsia="zh-CN"/>
              </w:rPr>
              <w:t>2020-20</w:t>
            </w:r>
            <w:r>
              <w:rPr>
                <w:rFonts w:hint="default" w:ascii="仿宋_GB2312" w:hAnsi="仿宋_GB2312" w:eastAsia="仿宋_GB2312" w:cs="仿宋_GB2312"/>
                <w:sz w:val="20"/>
                <w:szCs w:val="20"/>
                <w:highlight w:val="none"/>
                <w:lang w:val="en" w:eastAsia="zh-CN"/>
              </w:rPr>
              <w:t>3</w:t>
            </w:r>
            <w:r>
              <w:rPr>
                <w:rFonts w:hint="eastAsia" w:ascii="仿宋_GB2312" w:hAnsi="仿宋_GB2312" w:eastAsia="仿宋_GB2312" w:cs="仿宋_GB2312"/>
                <w:sz w:val="20"/>
                <w:szCs w:val="20"/>
                <w:highlight w:val="none"/>
                <w:lang w:val="en-US" w:eastAsia="zh-CN"/>
              </w:rPr>
              <w:t>5</w:t>
            </w:r>
            <w:r>
              <w:rPr>
                <w:rFonts w:hint="eastAsia" w:ascii="仿宋_GB2312" w:hAnsi="仿宋_GB2312" w:eastAsia="仿宋_GB2312" w:cs="仿宋_GB2312"/>
                <w:sz w:val="20"/>
                <w:szCs w:val="20"/>
                <w:highlight w:val="none"/>
                <w:lang w:eastAsia="zh-CN"/>
              </w:rPr>
              <w:t>）</w:t>
            </w:r>
          </w:p>
        </w:tc>
      </w:tr>
      <w:tr>
        <w:tblPrEx>
          <w:tblCellMar>
            <w:top w:w="0" w:type="dxa"/>
            <w:left w:w="108" w:type="dxa"/>
            <w:bottom w:w="0" w:type="dxa"/>
            <w:right w:w="108" w:type="dxa"/>
          </w:tblCellMar>
        </w:tblPrEx>
        <w:trPr>
          <w:trHeight w:val="410" w:hRule="atLeast"/>
          <w:jc w:val="center"/>
        </w:trPr>
        <w:tc>
          <w:tcPr>
            <w:tcW w:w="1077"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主管部门</w:t>
            </w:r>
          </w:p>
        </w:tc>
        <w:tc>
          <w:tcPr>
            <w:tcW w:w="4510"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tabs>
                <w:tab w:val="right" w:pos="4302"/>
              </w:tabs>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eastAsia="zh-CN"/>
              </w:rPr>
              <w:t>岳阳市城市管理和综合执法局</w:t>
            </w:r>
          </w:p>
        </w:tc>
        <w:tc>
          <w:tcPr>
            <w:tcW w:w="1131" w:type="dxa"/>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实施单位</w:t>
            </w:r>
          </w:p>
        </w:tc>
        <w:tc>
          <w:tcPr>
            <w:tcW w:w="3133" w:type="dxa"/>
            <w:gridSpan w:val="3"/>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eastAsia="zh-CN"/>
              </w:rPr>
              <w:t>岳阳市停车管理服务中心</w:t>
            </w:r>
          </w:p>
        </w:tc>
      </w:tr>
      <w:tr>
        <w:tblPrEx>
          <w:tblCellMar>
            <w:top w:w="0" w:type="dxa"/>
            <w:left w:w="108" w:type="dxa"/>
            <w:bottom w:w="0" w:type="dxa"/>
            <w:right w:w="108" w:type="dxa"/>
          </w:tblCellMar>
        </w:tblPrEx>
        <w:trPr>
          <w:jc w:val="center"/>
        </w:trPr>
        <w:tc>
          <w:tcPr>
            <w:tcW w:w="1077"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项目资金</w:t>
            </w:r>
            <w:r>
              <w:rPr>
                <w:rFonts w:hint="eastAsia" w:ascii="仿宋_GB2312" w:hAnsi="仿宋_GB2312" w:eastAsia="仿宋_GB2312" w:cs="仿宋_GB2312"/>
                <w:color w:val="000000"/>
                <w:sz w:val="20"/>
                <w:szCs w:val="20"/>
                <w:highlight w:val="none"/>
              </w:rPr>
              <w:br w:type="textWrapping"/>
            </w:r>
            <w:r>
              <w:rPr>
                <w:rFonts w:hint="eastAsia" w:ascii="仿宋_GB2312" w:hAnsi="仿宋_GB2312" w:eastAsia="仿宋_GB2312" w:cs="仿宋_GB2312"/>
                <w:color w:val="000000"/>
                <w:sz w:val="20"/>
                <w:szCs w:val="20"/>
                <w:highlight w:val="none"/>
              </w:rPr>
              <w:t>（万元）</w:t>
            </w:r>
          </w:p>
        </w:tc>
        <w:tc>
          <w:tcPr>
            <w:tcW w:w="215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2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年初</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全年</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预算数</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全年</w:t>
            </w:r>
          </w:p>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执行数</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分值</w:t>
            </w:r>
          </w:p>
        </w:tc>
        <w:tc>
          <w:tcPr>
            <w:tcW w:w="893"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执行率</w:t>
            </w:r>
          </w:p>
        </w:tc>
        <w:tc>
          <w:tcPr>
            <w:tcW w:w="1414" w:type="dxa"/>
            <w:tcBorders>
              <w:top w:val="nil"/>
              <w:left w:val="nil"/>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sz w:val="20"/>
                <w:szCs w:val="20"/>
                <w:highlight w:val="none"/>
              </w:rPr>
            </w:pPr>
            <w:r>
              <w:rPr>
                <w:rFonts w:hint="eastAsia" w:ascii="仿宋_GB2312" w:hAnsi="仿宋_GB2312" w:eastAsia="仿宋_GB2312" w:cs="仿宋_GB2312"/>
                <w:sz w:val="20"/>
                <w:szCs w:val="20"/>
                <w:highlight w:val="none"/>
              </w:rPr>
              <w:t>得分</w:t>
            </w:r>
          </w:p>
        </w:tc>
      </w:tr>
      <w:tr>
        <w:tblPrEx>
          <w:tblCellMar>
            <w:top w:w="0" w:type="dxa"/>
            <w:left w:w="108" w:type="dxa"/>
            <w:bottom w:w="0" w:type="dxa"/>
            <w:right w:w="108" w:type="dxa"/>
          </w:tblCellMar>
        </w:tblPrEx>
        <w:trPr>
          <w:trHeight w:val="440"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年度资金总额　</w:t>
            </w:r>
          </w:p>
        </w:tc>
        <w:tc>
          <w:tcPr>
            <w:tcW w:w="12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400" w:firstLineChars="2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0 </w:t>
            </w:r>
          </w:p>
        </w:tc>
        <w:tc>
          <w:tcPr>
            <w:tcW w:w="11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65.80</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65.80</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10</w:t>
            </w:r>
          </w:p>
        </w:tc>
        <w:tc>
          <w:tcPr>
            <w:tcW w:w="89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100%</w:t>
            </w:r>
          </w:p>
        </w:tc>
        <w:tc>
          <w:tcPr>
            <w:tcW w:w="14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r>
      <w:tr>
        <w:tblPrEx>
          <w:tblCellMar>
            <w:top w:w="0" w:type="dxa"/>
            <w:left w:w="108" w:type="dxa"/>
            <w:bottom w:w="0" w:type="dxa"/>
            <w:right w:w="108" w:type="dxa"/>
          </w:tblCellMar>
        </w:tblPrEx>
        <w:trPr>
          <w:trHeight w:val="410"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其中：当年财政拨款　</w:t>
            </w:r>
          </w:p>
        </w:tc>
        <w:tc>
          <w:tcPr>
            <w:tcW w:w="12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 xml:space="preserve">  0</w:t>
            </w:r>
          </w:p>
        </w:tc>
        <w:tc>
          <w:tcPr>
            <w:tcW w:w="11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 xml:space="preserve">  65.80</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65.80</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9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35"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上年结转资金　</w:t>
            </w:r>
          </w:p>
        </w:tc>
        <w:tc>
          <w:tcPr>
            <w:tcW w:w="12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9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360"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2155" w:type="dxa"/>
            <w:gridSpan w:val="2"/>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600" w:firstLineChars="300"/>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其他资金</w:t>
            </w:r>
          </w:p>
        </w:tc>
        <w:tc>
          <w:tcPr>
            <w:tcW w:w="12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89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4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70" w:hRule="atLeast"/>
          <w:jc w:val="center"/>
        </w:trPr>
        <w:tc>
          <w:tcPr>
            <w:tcW w:w="1077" w:type="dxa"/>
            <w:vMerge w:val="restart"/>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年度总体目标</w:t>
            </w:r>
          </w:p>
        </w:tc>
        <w:tc>
          <w:tcPr>
            <w:tcW w:w="4510"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预期目标</w:t>
            </w:r>
          </w:p>
        </w:tc>
        <w:tc>
          <w:tcPr>
            <w:tcW w:w="426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实际完成情况　</w:t>
            </w:r>
          </w:p>
        </w:tc>
      </w:tr>
      <w:tr>
        <w:tblPrEx>
          <w:tblCellMar>
            <w:top w:w="0" w:type="dxa"/>
            <w:left w:w="108" w:type="dxa"/>
            <w:bottom w:w="0" w:type="dxa"/>
            <w:right w:w="108" w:type="dxa"/>
          </w:tblCellMar>
        </w:tblPrEx>
        <w:trPr>
          <w:trHeight w:val="1155" w:hRule="atLeast"/>
          <w:jc w:val="center"/>
        </w:trPr>
        <w:tc>
          <w:tcPr>
            <w:tcW w:w="1077" w:type="dxa"/>
            <w:vMerge w:val="continue"/>
            <w:tcBorders>
              <w:top w:val="nil"/>
              <w:left w:val="single" w:color="auto" w:sz="4" w:space="0"/>
              <w:bottom w:val="single" w:color="000000"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4510" w:type="dxa"/>
            <w:gridSpan w:val="4"/>
            <w:tcBorders>
              <w:top w:val="single" w:color="auto" w:sz="4" w:space="0"/>
              <w:left w:val="nil"/>
              <w:bottom w:val="single" w:color="auto" w:sz="4" w:space="0"/>
              <w:right w:val="single" w:color="000000" w:sz="4" w:space="0"/>
            </w:tcBorders>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val="en-US" w:eastAsia="zh-CN"/>
              </w:rPr>
              <w:t>完成</w:t>
            </w:r>
            <w:r>
              <w:rPr>
                <w:rFonts w:hint="eastAsia" w:ascii="仿宋_GB2312" w:hAnsi="仿宋_GB2312" w:eastAsia="仿宋_GB2312" w:cs="仿宋_GB2312"/>
                <w:sz w:val="20"/>
                <w:szCs w:val="20"/>
              </w:rPr>
              <w:t>岳阳市主城区慢行系统规划</w:t>
            </w:r>
            <w:r>
              <w:rPr>
                <w:rFonts w:hint="eastAsia" w:ascii="仿宋_GB2312" w:hAnsi="仿宋_GB2312" w:eastAsia="仿宋_GB2312" w:cs="仿宋_GB2312"/>
                <w:sz w:val="20"/>
                <w:szCs w:val="20"/>
                <w:lang w:val="en-US" w:eastAsia="zh-CN"/>
              </w:rPr>
              <w:t>的编制</w:t>
            </w:r>
          </w:p>
        </w:tc>
        <w:tc>
          <w:tcPr>
            <w:tcW w:w="4264" w:type="dxa"/>
            <w:gridSpan w:val="4"/>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按时高质量完成了</w:t>
            </w:r>
            <w:r>
              <w:rPr>
                <w:rFonts w:hint="eastAsia" w:ascii="仿宋_GB2312" w:hAnsi="仿宋_GB2312" w:eastAsia="仿宋_GB2312" w:cs="仿宋_GB2312"/>
                <w:sz w:val="20"/>
                <w:szCs w:val="20"/>
              </w:rPr>
              <w:t>岳阳市主城区慢行系统规划</w:t>
            </w:r>
            <w:r>
              <w:rPr>
                <w:rFonts w:hint="eastAsia" w:ascii="仿宋_GB2312" w:hAnsi="仿宋_GB2312" w:eastAsia="仿宋_GB2312" w:cs="仿宋_GB2312"/>
                <w:sz w:val="20"/>
                <w:szCs w:val="20"/>
                <w:lang w:val="en-US" w:eastAsia="zh-CN"/>
              </w:rPr>
              <w:t>的编制</w:t>
            </w:r>
          </w:p>
        </w:tc>
      </w:tr>
      <w:tr>
        <w:tblPrEx>
          <w:tblCellMar>
            <w:top w:w="0" w:type="dxa"/>
            <w:left w:w="108" w:type="dxa"/>
            <w:bottom w:w="0" w:type="dxa"/>
            <w:right w:w="108" w:type="dxa"/>
          </w:tblCellMar>
        </w:tblPrEx>
        <w:trPr>
          <w:jc w:val="center"/>
        </w:trPr>
        <w:tc>
          <w:tcPr>
            <w:tcW w:w="1077" w:type="dxa"/>
            <w:vMerge w:val="restart"/>
            <w:tcBorders>
              <w:top w:val="nil"/>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绩</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标</w:t>
            </w:r>
          </w:p>
        </w:tc>
        <w:tc>
          <w:tcPr>
            <w:tcW w:w="1078"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一级指标</w:t>
            </w:r>
          </w:p>
        </w:tc>
        <w:tc>
          <w:tcPr>
            <w:tcW w:w="1077"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二级指标</w:t>
            </w:r>
          </w:p>
        </w:tc>
        <w:tc>
          <w:tcPr>
            <w:tcW w:w="1222"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三级指标</w:t>
            </w:r>
          </w:p>
        </w:tc>
        <w:tc>
          <w:tcPr>
            <w:tcW w:w="113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年度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指标值</w:t>
            </w:r>
          </w:p>
        </w:tc>
        <w:tc>
          <w:tcPr>
            <w:tcW w:w="1131"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实际</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完成值</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分值</w:t>
            </w:r>
          </w:p>
        </w:tc>
        <w:tc>
          <w:tcPr>
            <w:tcW w:w="89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得分</w:t>
            </w:r>
          </w:p>
        </w:tc>
        <w:tc>
          <w:tcPr>
            <w:tcW w:w="14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偏差原因分析及改进措施</w:t>
            </w:r>
          </w:p>
        </w:tc>
      </w:tr>
      <w:tr>
        <w:tblPrEx>
          <w:tblCellMar>
            <w:top w:w="0" w:type="dxa"/>
            <w:left w:w="108" w:type="dxa"/>
            <w:bottom w:w="0" w:type="dxa"/>
            <w:right w:w="108" w:type="dxa"/>
          </w:tblCellMar>
        </w:tblPrEx>
        <w:trPr>
          <w:jc w:val="center"/>
        </w:trPr>
        <w:tc>
          <w:tcPr>
            <w:tcW w:w="107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产出指标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(50分)</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数量指标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val="0"/>
                <w:spacing w:val="-9"/>
                <w:position w:val="1"/>
                <w:sz w:val="20"/>
                <w:szCs w:val="20"/>
                <w:lang w:val="en-US" w:eastAsia="zh-CN"/>
              </w:rPr>
              <w:t>完成专项规划</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一项</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完成一项</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89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8</w:t>
            </w:r>
          </w:p>
        </w:tc>
        <w:tc>
          <w:tcPr>
            <w:tcW w:w="14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质量指标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b w:val="0"/>
                <w:bCs w:val="0"/>
                <w:spacing w:val="-9"/>
                <w:position w:val="1"/>
                <w:sz w:val="20"/>
                <w:szCs w:val="20"/>
                <w:lang w:val="en-US" w:eastAsia="zh-CN"/>
              </w:rPr>
              <w:t>达到专项规划编制深度要求</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sz w:val="20"/>
                <w:szCs w:val="20"/>
                <w:lang w:eastAsia="zh-CN"/>
              </w:rPr>
              <w:t>以</w:t>
            </w:r>
            <w:r>
              <w:rPr>
                <w:rFonts w:hint="eastAsia" w:ascii="仿宋_GB2312" w:hAnsi="仿宋_GB2312" w:eastAsia="仿宋_GB2312" w:cs="仿宋_GB2312"/>
                <w:sz w:val="20"/>
                <w:szCs w:val="20"/>
                <w:lang w:val="en-US" w:eastAsia="zh-CN"/>
              </w:rPr>
              <w:t>规委会审查</w:t>
            </w:r>
            <w:r>
              <w:rPr>
                <w:rFonts w:hint="eastAsia" w:ascii="仿宋_GB2312" w:hAnsi="仿宋_GB2312" w:eastAsia="仿宋_GB2312" w:cs="仿宋_GB2312"/>
                <w:sz w:val="20"/>
                <w:szCs w:val="20"/>
                <w:lang w:eastAsia="zh-CN"/>
              </w:rPr>
              <w:t>通过为准</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sz w:val="20"/>
                <w:szCs w:val="20"/>
                <w:lang w:eastAsia="zh-CN"/>
              </w:rPr>
              <w:t>已通过</w:t>
            </w:r>
            <w:r>
              <w:rPr>
                <w:rFonts w:hint="eastAsia" w:ascii="仿宋_GB2312" w:hAnsi="仿宋_GB2312" w:eastAsia="仿宋_GB2312" w:cs="仿宋_GB2312"/>
                <w:sz w:val="20"/>
                <w:szCs w:val="20"/>
                <w:lang w:val="en-US" w:eastAsia="zh-CN"/>
              </w:rPr>
              <w:t>规委会审查</w:t>
            </w:r>
          </w:p>
        </w:tc>
        <w:tc>
          <w:tcPr>
            <w:tcW w:w="826"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9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top w:val="single" w:color="auto" w:sz="4" w:space="0"/>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b w:val="0"/>
                <w:bCs w:val="0"/>
                <w:spacing w:val="-9"/>
                <w:position w:val="1"/>
                <w:sz w:val="20"/>
                <w:szCs w:val="20"/>
                <w:lang w:val="en-US" w:eastAsia="zh-CN"/>
              </w:rPr>
              <w:t>规划成果包括文本、图纸及电子文件</w:t>
            </w:r>
          </w:p>
        </w:tc>
        <w:tc>
          <w:tcPr>
            <w:tcW w:w="1133" w:type="dxa"/>
            <w:tcBorders>
              <w:top w:val="single" w:color="auto" w:sz="4" w:space="0"/>
              <w:left w:val="nil"/>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sz w:val="20"/>
                <w:szCs w:val="20"/>
                <w:lang w:val="en-US" w:eastAsia="zh-CN"/>
              </w:rPr>
              <w:t>以合同为准</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符合合同约定要求</w:t>
            </w: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jc w:val="center"/>
        </w:trPr>
        <w:tc>
          <w:tcPr>
            <w:tcW w:w="107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时效指标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b w:val="0"/>
                <w:bCs w:val="0"/>
                <w:spacing w:val="-9"/>
                <w:position w:val="1"/>
                <w:sz w:val="20"/>
                <w:szCs w:val="20"/>
                <w:lang w:val="en-US" w:eastAsia="zh-CN"/>
              </w:rPr>
              <w:t>完成日期</w:t>
            </w:r>
          </w:p>
        </w:tc>
        <w:tc>
          <w:tcPr>
            <w:tcW w:w="1133" w:type="dxa"/>
            <w:tcBorders>
              <w:top w:val="nil"/>
              <w:left w:val="nil"/>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sz w:val="20"/>
                <w:szCs w:val="20"/>
                <w:lang w:eastAsia="zh-CN"/>
              </w:rPr>
              <w:t>以</w:t>
            </w:r>
            <w:r>
              <w:rPr>
                <w:rFonts w:hint="eastAsia" w:ascii="仿宋_GB2312" w:hAnsi="仿宋_GB2312" w:eastAsia="仿宋_GB2312" w:cs="仿宋_GB2312"/>
                <w:sz w:val="20"/>
                <w:szCs w:val="20"/>
                <w:lang w:val="en-US" w:eastAsia="zh-CN"/>
              </w:rPr>
              <w:t>审查批复时间</w:t>
            </w:r>
            <w:r>
              <w:rPr>
                <w:rFonts w:hint="eastAsia" w:ascii="仿宋_GB2312" w:hAnsi="仿宋_GB2312" w:eastAsia="仿宋_GB2312" w:cs="仿宋_GB2312"/>
                <w:sz w:val="20"/>
                <w:szCs w:val="20"/>
                <w:lang w:eastAsia="zh-CN"/>
              </w:rPr>
              <w:t>为准</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如期完成</w:t>
            </w: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580" w:hRule="atLeast"/>
          <w:jc w:val="center"/>
        </w:trPr>
        <w:tc>
          <w:tcPr>
            <w:tcW w:w="107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成本指标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pacing w:val="-2"/>
                <w:sz w:val="20"/>
                <w:szCs w:val="20"/>
              </w:rPr>
              <w:t>经济成本指标</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b w:val="0"/>
                <w:bCs w:val="0"/>
                <w:spacing w:val="-9"/>
                <w:position w:val="1"/>
                <w:sz w:val="20"/>
                <w:szCs w:val="20"/>
                <w:lang w:val="en-US" w:eastAsia="zh-CN"/>
              </w:rPr>
              <w:t>65.8万元</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b w:val="0"/>
                <w:bCs w:val="0"/>
                <w:spacing w:val="-9"/>
                <w:position w:val="1"/>
                <w:sz w:val="20"/>
                <w:szCs w:val="20"/>
                <w:lang w:val="en-US" w:eastAsia="zh-CN"/>
              </w:rPr>
              <w:t>65.8万元</w:t>
            </w: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9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80" w:hRule="atLeast"/>
          <w:jc w:val="center"/>
        </w:trPr>
        <w:tc>
          <w:tcPr>
            <w:tcW w:w="107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pacing w:val="-2"/>
                <w:sz w:val="20"/>
                <w:szCs w:val="20"/>
              </w:rPr>
              <w:t>社会成本指标</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val="en-US" w:eastAsia="zh-CN"/>
              </w:rPr>
              <w:t>无</w:t>
            </w:r>
            <w:r>
              <w:rPr>
                <w:rFonts w:hint="eastAsia" w:ascii="仿宋_GB2312" w:hAnsi="仿宋_GB2312" w:eastAsia="仿宋_GB2312" w:cs="仿宋_GB2312"/>
                <w:color w:val="000000"/>
                <w:sz w:val="20"/>
                <w:szCs w:val="20"/>
                <w:highlight w:val="none"/>
              </w:rPr>
              <w:t>负面影响</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w:t>
            </w:r>
            <w:r>
              <w:rPr>
                <w:rFonts w:hint="eastAsia" w:ascii="仿宋_GB2312" w:hAnsi="仿宋_GB2312" w:eastAsia="仿宋_GB2312" w:cs="仿宋_GB2312"/>
                <w:color w:val="000000"/>
                <w:sz w:val="20"/>
                <w:szCs w:val="20"/>
                <w:highlight w:val="none"/>
              </w:rPr>
              <w:t>负面影响</w:t>
            </w: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9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655" w:hRule="atLeast"/>
          <w:jc w:val="center"/>
        </w:trPr>
        <w:tc>
          <w:tcPr>
            <w:tcW w:w="107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pacing w:val="-3"/>
                <w:sz w:val="20"/>
                <w:szCs w:val="20"/>
              </w:rPr>
              <w:t>生态环境成本指标</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w:t>
            </w:r>
            <w:r>
              <w:rPr>
                <w:rFonts w:hint="eastAsia" w:ascii="仿宋_GB2312" w:hAnsi="仿宋_GB2312" w:eastAsia="仿宋_GB2312" w:cs="仿宋_GB2312"/>
                <w:color w:val="000000"/>
                <w:sz w:val="20"/>
                <w:szCs w:val="20"/>
                <w:highlight w:val="none"/>
              </w:rPr>
              <w:t>负面影响</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kern w:val="0"/>
                <w:sz w:val="20"/>
                <w:szCs w:val="20"/>
                <w:highlight w:val="none"/>
                <w:lang w:val="en-US" w:eastAsia="zh-CN" w:bidi="ar-SA"/>
              </w:rPr>
            </w:pPr>
            <w:r>
              <w:rPr>
                <w:rFonts w:hint="eastAsia" w:ascii="仿宋_GB2312" w:hAnsi="仿宋_GB2312" w:eastAsia="仿宋_GB2312" w:cs="仿宋_GB2312"/>
                <w:color w:val="000000"/>
                <w:sz w:val="20"/>
                <w:szCs w:val="20"/>
                <w:highlight w:val="none"/>
                <w:lang w:val="en-US" w:eastAsia="zh-CN"/>
              </w:rPr>
              <w:t>无</w:t>
            </w:r>
            <w:r>
              <w:rPr>
                <w:rFonts w:hint="eastAsia" w:ascii="仿宋_GB2312" w:hAnsi="仿宋_GB2312" w:eastAsia="仿宋_GB2312" w:cs="仿宋_GB2312"/>
                <w:color w:val="000000"/>
                <w:sz w:val="20"/>
                <w:szCs w:val="20"/>
                <w:highlight w:val="none"/>
              </w:rPr>
              <w:t>负面影响</w:t>
            </w: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89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7</w:t>
            </w:r>
          </w:p>
        </w:tc>
        <w:tc>
          <w:tcPr>
            <w:tcW w:w="14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效益指标</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（30分）</w:t>
            </w:r>
          </w:p>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经济效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snapToGrid w:val="0"/>
                <w:color w:val="000000"/>
                <w:kern w:val="0"/>
                <w:sz w:val="20"/>
                <w:szCs w:val="20"/>
                <w:lang w:val="en-US" w:eastAsia="zh-CN"/>
              </w:rPr>
              <w:t>为慢行系统建设</w:t>
            </w:r>
            <w:r>
              <w:rPr>
                <w:rFonts w:hint="eastAsia" w:ascii="仿宋_GB2312" w:hAnsi="仿宋_GB2312" w:eastAsia="仿宋_GB2312" w:cs="仿宋_GB2312"/>
                <w:snapToGrid w:val="0"/>
                <w:color w:val="000000"/>
                <w:kern w:val="0"/>
                <w:sz w:val="20"/>
                <w:szCs w:val="20"/>
              </w:rPr>
              <w:t>提供规划</w:t>
            </w:r>
            <w:r>
              <w:rPr>
                <w:rFonts w:hint="eastAsia" w:ascii="仿宋_GB2312" w:hAnsi="仿宋_GB2312" w:eastAsia="仿宋_GB2312" w:cs="仿宋_GB2312"/>
                <w:snapToGrid w:val="0"/>
                <w:color w:val="000000"/>
                <w:kern w:val="0"/>
                <w:sz w:val="20"/>
                <w:szCs w:val="20"/>
                <w:lang w:val="en-US" w:eastAsia="zh-CN"/>
              </w:rPr>
              <w:t>引导</w:t>
            </w:r>
            <w:r>
              <w:rPr>
                <w:rFonts w:hint="eastAsia" w:ascii="仿宋_GB2312" w:hAnsi="仿宋_GB2312" w:eastAsia="仿宋_GB2312" w:cs="仿宋_GB2312"/>
                <w:snapToGrid w:val="0"/>
                <w:color w:val="000000"/>
                <w:kern w:val="0"/>
                <w:sz w:val="20"/>
                <w:szCs w:val="20"/>
              </w:rPr>
              <w:t>，</w:t>
            </w:r>
            <w:r>
              <w:rPr>
                <w:rFonts w:hint="eastAsia" w:ascii="仿宋_GB2312" w:hAnsi="仿宋_GB2312" w:eastAsia="仿宋_GB2312" w:cs="仿宋_GB2312"/>
                <w:snapToGrid w:val="0"/>
                <w:color w:val="000000"/>
                <w:kern w:val="0"/>
                <w:sz w:val="20"/>
                <w:szCs w:val="20"/>
                <w:lang w:val="en-US" w:eastAsia="zh-CN"/>
              </w:rPr>
              <w:t>合理规划近期建设项目和投资估算，</w:t>
            </w:r>
            <w:r>
              <w:rPr>
                <w:rFonts w:hint="eastAsia" w:ascii="仿宋_GB2312" w:hAnsi="仿宋_GB2312" w:eastAsia="仿宋_GB2312" w:cs="仿宋_GB2312"/>
                <w:snapToGrid w:val="0"/>
                <w:color w:val="000000"/>
                <w:kern w:val="0"/>
                <w:sz w:val="20"/>
                <w:szCs w:val="20"/>
              </w:rPr>
              <w:t>促进经济发展</w:t>
            </w:r>
            <w:r>
              <w:rPr>
                <w:rFonts w:hint="eastAsia" w:ascii="仿宋_GB2312" w:hAnsi="仿宋_GB2312" w:eastAsia="仿宋_GB2312" w:cs="仿宋_GB2312"/>
                <w:snapToGrid w:val="0"/>
                <w:color w:val="000000"/>
                <w:kern w:val="0"/>
                <w:sz w:val="20"/>
                <w:szCs w:val="20"/>
                <w:lang w:val="en-US" w:eastAsia="zh-CN"/>
              </w:rPr>
              <w:t>。</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val="en-US" w:eastAsia="zh-CN"/>
              </w:rPr>
              <w:t>有效提升</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val="en-US" w:eastAsia="zh-CN"/>
              </w:rPr>
              <w:t>有效提升</w:t>
            </w: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社会效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napToGrid w:val="0"/>
                <w:color w:val="000000"/>
                <w:kern w:val="0"/>
                <w:sz w:val="20"/>
                <w:szCs w:val="20"/>
                <w:lang w:val="en-US" w:eastAsia="zh-CN"/>
              </w:rPr>
              <w:t>提升短距离出行的慢行交通方式占比，缓解机动车通行压力</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提高</w:t>
            </w:r>
            <w:r>
              <w:rPr>
                <w:rFonts w:hint="eastAsia" w:ascii="仿宋_GB2312" w:hAnsi="仿宋_GB2312" w:eastAsia="仿宋_GB2312" w:cs="仿宋_GB2312"/>
                <w:sz w:val="20"/>
                <w:szCs w:val="20"/>
                <w:lang w:val="en-US" w:eastAsia="zh-CN"/>
              </w:rPr>
              <w:t>绿色出行比例，提升</w:t>
            </w:r>
            <w:r>
              <w:rPr>
                <w:rFonts w:hint="eastAsia" w:ascii="仿宋_GB2312" w:hAnsi="仿宋_GB2312" w:eastAsia="仿宋_GB2312" w:cs="仿宋_GB2312"/>
                <w:sz w:val="20"/>
                <w:szCs w:val="20"/>
                <w:lang w:eastAsia="zh-CN"/>
              </w:rPr>
              <w:t>市民幸福指数</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sz w:val="20"/>
                <w:szCs w:val="20"/>
                <w:lang w:val="en-US" w:eastAsia="zh-CN"/>
              </w:rPr>
              <w:t>绿色出行比例、</w:t>
            </w:r>
            <w:r>
              <w:rPr>
                <w:rFonts w:hint="eastAsia" w:ascii="仿宋_GB2312" w:hAnsi="仿宋_GB2312" w:eastAsia="仿宋_GB2312" w:cs="仿宋_GB2312"/>
                <w:sz w:val="20"/>
                <w:szCs w:val="20"/>
                <w:lang w:eastAsia="zh-CN"/>
              </w:rPr>
              <w:t>市民幸福</w:t>
            </w:r>
            <w:r>
              <w:rPr>
                <w:rFonts w:hint="eastAsia" w:ascii="仿宋_GB2312" w:hAnsi="仿宋_GB2312" w:eastAsia="仿宋_GB2312" w:cs="仿宋_GB2312"/>
                <w:color w:val="000000"/>
                <w:sz w:val="20"/>
                <w:szCs w:val="20"/>
                <w:highlight w:val="none"/>
                <w:lang w:eastAsia="zh-CN"/>
              </w:rPr>
              <w:t>感</w:t>
            </w:r>
            <w:r>
              <w:rPr>
                <w:rFonts w:hint="eastAsia" w:ascii="仿宋_GB2312" w:hAnsi="仿宋_GB2312" w:eastAsia="仿宋_GB2312" w:cs="仿宋_GB2312"/>
                <w:sz w:val="20"/>
                <w:szCs w:val="20"/>
                <w:lang w:val="en-US" w:eastAsia="zh-CN"/>
              </w:rPr>
              <w:t>不断提升</w:t>
            </w: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napToGrid w:val="0"/>
                <w:color w:val="000000"/>
                <w:kern w:val="0"/>
                <w:sz w:val="20"/>
                <w:szCs w:val="20"/>
                <w:lang w:val="en-US" w:eastAsia="zh-CN"/>
              </w:rPr>
              <w:t>街道空间的设计引导和现状道路的提质改造</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val="en-US" w:eastAsia="zh-CN"/>
              </w:rPr>
              <w:t>进一步提升城市街道空间品质</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val="en-US" w:eastAsia="zh-CN"/>
              </w:rPr>
              <w:t>城市街道空间品质不断提升</w:t>
            </w: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7" w:type="dxa"/>
            <w:vMerge w:val="continue"/>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生态效</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益指标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val="en-US" w:eastAsia="zh-CN"/>
              </w:rPr>
              <w:t>减少机动车出现，改善机动车交通带来的空气污染</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260" w:lineRule="exact"/>
              <w:ind w:left="0" w:leftChars="0"/>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val="en-US" w:eastAsia="zh-CN"/>
              </w:rPr>
              <w:t>生态效益</w:t>
            </w:r>
            <w:r>
              <w:rPr>
                <w:rFonts w:hint="eastAsia" w:ascii="仿宋_GB2312" w:hAnsi="仿宋_GB2312" w:eastAsia="仿宋_GB2312" w:cs="仿宋_GB2312"/>
                <w:sz w:val="20"/>
                <w:szCs w:val="20"/>
                <w:lang w:eastAsia="zh-CN"/>
              </w:rPr>
              <w:t>持续增加</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有效助力了生态环境改善</w:t>
            </w: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r>
      <w:tr>
        <w:tblPrEx>
          <w:tblCellMar>
            <w:top w:w="0" w:type="dxa"/>
            <w:left w:w="108" w:type="dxa"/>
            <w:bottom w:w="0" w:type="dxa"/>
            <w:right w:w="108" w:type="dxa"/>
          </w:tblCellMar>
        </w:tblPrEx>
        <w:trPr>
          <w:jc w:val="center"/>
        </w:trPr>
        <w:tc>
          <w:tcPr>
            <w:tcW w:w="1077" w:type="dxa"/>
            <w:vMerge w:val="continue"/>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p>
        </w:tc>
        <w:tc>
          <w:tcPr>
            <w:tcW w:w="1078"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可持续影响指标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为岳阳市城市建设发展带来可持续</w:t>
            </w:r>
            <w:r>
              <w:rPr>
                <w:rFonts w:hint="eastAsia" w:ascii="仿宋_GB2312" w:hAnsi="仿宋_GB2312" w:eastAsia="仿宋_GB2312" w:cs="仿宋_GB2312"/>
                <w:sz w:val="20"/>
                <w:szCs w:val="20"/>
                <w:lang w:val="en-US" w:eastAsia="zh-CN"/>
              </w:rPr>
              <w:t>发展</w:t>
            </w:r>
            <w:r>
              <w:rPr>
                <w:rFonts w:hint="eastAsia" w:ascii="仿宋_GB2312" w:hAnsi="仿宋_GB2312" w:eastAsia="仿宋_GB2312" w:cs="仿宋_GB2312"/>
                <w:sz w:val="20"/>
                <w:szCs w:val="20"/>
                <w:lang w:eastAsia="zh-CN"/>
              </w:rPr>
              <w:t>的积极影响</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pStyle w:val="12"/>
              <w:keepNext w:val="0"/>
              <w:keepLines w:val="0"/>
              <w:pageBreakBefore w:val="0"/>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持续改善</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sz w:val="20"/>
                <w:szCs w:val="20"/>
                <w:lang w:eastAsia="zh-CN"/>
              </w:rPr>
              <w:t>持续改善</w:t>
            </w: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89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6</w:t>
            </w:r>
          </w:p>
        </w:tc>
        <w:tc>
          <w:tcPr>
            <w:tcW w:w="1414"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p>
        </w:tc>
      </w:tr>
      <w:tr>
        <w:tblPrEx>
          <w:tblCellMar>
            <w:top w:w="0" w:type="dxa"/>
            <w:left w:w="108" w:type="dxa"/>
            <w:bottom w:w="0" w:type="dxa"/>
            <w:right w:w="108" w:type="dxa"/>
          </w:tblCellMar>
        </w:tblPrEx>
        <w:trPr>
          <w:jc w:val="center"/>
        </w:trPr>
        <w:tc>
          <w:tcPr>
            <w:tcW w:w="107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满意度</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指标</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（10分）</w:t>
            </w:r>
          </w:p>
        </w:tc>
        <w:tc>
          <w:tcPr>
            <w:tcW w:w="107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服务对象满意度指标</w:t>
            </w:r>
          </w:p>
        </w:tc>
        <w:tc>
          <w:tcPr>
            <w:tcW w:w="12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eastAsia="zh-CN"/>
              </w:rPr>
            </w:pPr>
            <w:r>
              <w:rPr>
                <w:rFonts w:hint="eastAsia" w:ascii="仿宋_GB2312" w:hAnsi="仿宋_GB2312" w:eastAsia="仿宋_GB2312" w:cs="仿宋_GB2312"/>
                <w:color w:val="000000"/>
                <w:sz w:val="20"/>
                <w:szCs w:val="20"/>
                <w:highlight w:val="none"/>
                <w:lang w:eastAsia="zh-CN"/>
              </w:rPr>
              <w:t>群众满意度</w:t>
            </w:r>
          </w:p>
        </w:tc>
        <w:tc>
          <w:tcPr>
            <w:tcW w:w="11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90%以上</w:t>
            </w:r>
          </w:p>
        </w:tc>
        <w:tc>
          <w:tcPr>
            <w:tcW w:w="113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95%</w:t>
            </w:r>
          </w:p>
        </w:tc>
        <w:tc>
          <w:tcPr>
            <w:tcW w:w="82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lang w:val="en-US" w:eastAsia="zh-CN"/>
              </w:rPr>
              <w:t>10</w:t>
            </w:r>
          </w:p>
        </w:tc>
        <w:tc>
          <w:tcPr>
            <w:tcW w:w="89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ind w:firstLine="200" w:firstLineChars="100"/>
              <w:jc w:val="both"/>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lang w:val="en-US" w:eastAsia="zh-CN"/>
              </w:rPr>
              <w:t>10</w:t>
            </w:r>
          </w:p>
        </w:tc>
        <w:tc>
          <w:tcPr>
            <w:tcW w:w="14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r>
        <w:tblPrEx>
          <w:tblCellMar>
            <w:top w:w="0" w:type="dxa"/>
            <w:left w:w="108" w:type="dxa"/>
            <w:bottom w:w="0" w:type="dxa"/>
            <w:right w:w="108" w:type="dxa"/>
          </w:tblCellMar>
        </w:tblPrEx>
        <w:trPr>
          <w:trHeight w:val="465" w:hRule="atLeast"/>
          <w:jc w:val="center"/>
        </w:trPr>
        <w:tc>
          <w:tcPr>
            <w:tcW w:w="6718"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总分</w:t>
            </w:r>
          </w:p>
        </w:tc>
        <w:tc>
          <w:tcPr>
            <w:tcW w:w="826" w:type="dxa"/>
            <w:tcBorders>
              <w:top w:val="nil"/>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100</w:t>
            </w:r>
          </w:p>
        </w:tc>
        <w:tc>
          <w:tcPr>
            <w:tcW w:w="893"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lang w:val="en-US" w:eastAsia="zh-CN"/>
              </w:rPr>
            </w:pPr>
            <w:r>
              <w:rPr>
                <w:rFonts w:hint="eastAsia" w:ascii="仿宋_GB2312" w:hAnsi="仿宋_GB2312" w:eastAsia="仿宋_GB2312" w:cs="仿宋_GB2312"/>
                <w:color w:val="000000"/>
                <w:sz w:val="20"/>
                <w:szCs w:val="20"/>
                <w:highlight w:val="none"/>
              </w:rPr>
              <w:t>　</w:t>
            </w:r>
            <w:r>
              <w:rPr>
                <w:rFonts w:hint="eastAsia" w:ascii="仿宋_GB2312" w:hAnsi="仿宋_GB2312" w:eastAsia="仿宋_GB2312" w:cs="仿宋_GB2312"/>
                <w:color w:val="000000"/>
                <w:sz w:val="20"/>
                <w:szCs w:val="20"/>
                <w:highlight w:val="none"/>
                <w:lang w:val="en-US" w:eastAsia="zh-CN"/>
              </w:rPr>
              <w:t>100</w:t>
            </w:r>
          </w:p>
        </w:tc>
        <w:tc>
          <w:tcPr>
            <w:tcW w:w="1414" w:type="dxa"/>
            <w:tcBorders>
              <w:top w:val="nil"/>
              <w:left w:val="nil"/>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rPr>
                <w:rFonts w:hint="eastAsia" w:ascii="仿宋_GB2312" w:hAnsi="仿宋_GB2312" w:eastAsia="仿宋_GB2312" w:cs="仿宋_GB2312"/>
                <w:color w:val="000000"/>
                <w:sz w:val="20"/>
                <w:szCs w:val="20"/>
                <w:highlight w:val="none"/>
              </w:rPr>
            </w:pPr>
            <w:r>
              <w:rPr>
                <w:rFonts w:hint="eastAsia" w:ascii="仿宋_GB2312" w:hAnsi="仿宋_GB2312" w:eastAsia="仿宋_GB2312" w:cs="仿宋_GB2312"/>
                <w:color w:val="000000"/>
                <w:sz w:val="20"/>
                <w:szCs w:val="20"/>
                <w:highlight w:val="none"/>
              </w:rPr>
              <w:t>　</w:t>
            </w:r>
          </w:p>
        </w:tc>
      </w:tr>
    </w:tbl>
    <w:p>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0"/>
          <w:szCs w:val="20"/>
          <w:highlight w:val="none"/>
        </w:rPr>
      </w:pPr>
    </w:p>
    <w:p>
      <w:pPr>
        <w:keepNext w:val="0"/>
        <w:keepLines w:val="0"/>
        <w:pageBreakBefore w:val="0"/>
        <w:kinsoku/>
        <w:wordWrap/>
        <w:overflowPunct/>
        <w:topLinePunct w:val="0"/>
        <w:autoSpaceDE/>
        <w:autoSpaceDN/>
        <w:bidi w:val="0"/>
        <w:adjustRightInd/>
        <w:snapToGrid/>
        <w:spacing w:line="260" w:lineRule="exact"/>
        <w:textAlignment w:val="auto"/>
        <w:rPr>
          <w:rFonts w:hint="eastAsia" w:ascii="仿宋_GB2312" w:hAnsi="仿宋_GB2312" w:eastAsia="仿宋_GB2312" w:cs="仿宋_GB2312"/>
          <w:sz w:val="20"/>
          <w:szCs w:val="20"/>
          <w:highlight w:val="none"/>
          <w:lang w:val="en-US" w:eastAsia="zh-CN"/>
        </w:rPr>
      </w:pPr>
      <w:r>
        <w:rPr>
          <w:rFonts w:hint="eastAsia" w:ascii="仿宋_GB2312" w:hAnsi="仿宋_GB2312" w:eastAsia="仿宋_GB2312" w:cs="仿宋_GB2312"/>
          <w:sz w:val="20"/>
          <w:szCs w:val="20"/>
          <w:highlight w:val="none"/>
        </w:rPr>
        <w:t>填表人：</w:t>
      </w:r>
      <w:r>
        <w:rPr>
          <w:rFonts w:hint="eastAsia" w:ascii="仿宋_GB2312" w:hAnsi="仿宋_GB2312" w:eastAsia="仿宋_GB2312" w:cs="仿宋_GB2312"/>
          <w:sz w:val="20"/>
          <w:szCs w:val="20"/>
          <w:highlight w:val="none"/>
          <w:lang w:val="en-US" w:eastAsia="zh-CN"/>
        </w:rPr>
        <w:t>龙邓</w:t>
      </w:r>
      <w:r>
        <w:rPr>
          <w:rFonts w:hint="eastAsia" w:ascii="仿宋_GB2312" w:hAnsi="仿宋_GB2312" w:eastAsia="仿宋_GB2312" w:cs="仿宋_GB2312"/>
          <w:sz w:val="20"/>
          <w:szCs w:val="20"/>
          <w:highlight w:val="none"/>
        </w:rPr>
        <w:t xml:space="preserve">  </w:t>
      </w:r>
      <w:r>
        <w:rPr>
          <w:rFonts w:hint="eastAsia" w:ascii="仿宋_GB2312" w:hAnsi="仿宋_GB2312" w:eastAsia="仿宋_GB2312" w:cs="仿宋_GB2312"/>
          <w:sz w:val="20"/>
          <w:szCs w:val="20"/>
          <w:highlight w:val="none"/>
          <w:lang w:val="en-US" w:eastAsia="zh-CN"/>
        </w:rPr>
        <w:t xml:space="preserve"> </w:t>
      </w:r>
      <w:r>
        <w:rPr>
          <w:rFonts w:hint="eastAsia" w:ascii="仿宋_GB2312" w:hAnsi="仿宋_GB2312" w:eastAsia="仿宋_GB2312" w:cs="仿宋_GB2312"/>
          <w:sz w:val="20"/>
          <w:szCs w:val="20"/>
          <w:highlight w:val="none"/>
        </w:rPr>
        <w:t>填报日期：</w:t>
      </w:r>
      <w:r>
        <w:rPr>
          <w:rFonts w:hint="eastAsia" w:ascii="仿宋_GB2312" w:hAnsi="仿宋_GB2312" w:eastAsia="仿宋_GB2312" w:cs="仿宋_GB2312"/>
          <w:sz w:val="20"/>
          <w:szCs w:val="20"/>
          <w:highlight w:val="none"/>
          <w:lang w:val="en-US" w:eastAsia="zh-CN"/>
        </w:rPr>
        <w:t>2025.6.26</w:t>
      </w:r>
      <w:r>
        <w:rPr>
          <w:rFonts w:hint="eastAsia" w:ascii="仿宋_GB2312" w:hAnsi="仿宋_GB2312" w:eastAsia="仿宋_GB2312" w:cs="仿宋_GB2312"/>
          <w:sz w:val="20"/>
          <w:szCs w:val="20"/>
          <w:highlight w:val="none"/>
        </w:rPr>
        <w:t xml:space="preserve">   </w:t>
      </w:r>
      <w:r>
        <w:rPr>
          <w:rFonts w:hint="eastAsia" w:ascii="仿宋_GB2312" w:hAnsi="仿宋_GB2312" w:eastAsia="仿宋_GB2312" w:cs="仿宋_GB2312"/>
          <w:sz w:val="20"/>
          <w:szCs w:val="20"/>
          <w:highlight w:val="none"/>
          <w:lang w:val="en-US" w:eastAsia="zh-CN"/>
        </w:rPr>
        <w:t xml:space="preserve"> </w:t>
      </w:r>
      <w:r>
        <w:rPr>
          <w:rFonts w:hint="eastAsia" w:ascii="仿宋_GB2312" w:hAnsi="仿宋_GB2312" w:eastAsia="仿宋_GB2312" w:cs="仿宋_GB2312"/>
          <w:sz w:val="20"/>
          <w:szCs w:val="20"/>
          <w:highlight w:val="none"/>
        </w:rPr>
        <w:t>联系电话：</w:t>
      </w:r>
      <w:r>
        <w:rPr>
          <w:rFonts w:hint="eastAsia" w:ascii="仿宋_GB2312" w:hAnsi="仿宋_GB2312" w:eastAsia="仿宋_GB2312" w:cs="仿宋_GB2312"/>
          <w:sz w:val="20"/>
          <w:szCs w:val="20"/>
          <w:highlight w:val="none"/>
          <w:lang w:val="en-US" w:eastAsia="zh-CN"/>
        </w:rPr>
        <w:t>8220516</w:t>
      </w:r>
      <w:r>
        <w:rPr>
          <w:rFonts w:hint="eastAsia" w:ascii="仿宋_GB2312" w:hAnsi="仿宋_GB2312" w:eastAsia="仿宋_GB2312" w:cs="仿宋_GB2312"/>
          <w:sz w:val="20"/>
          <w:szCs w:val="20"/>
          <w:highlight w:val="none"/>
        </w:rPr>
        <w:t xml:space="preserve">  </w:t>
      </w:r>
      <w:r>
        <w:rPr>
          <w:rFonts w:hint="eastAsia" w:ascii="仿宋_GB2312" w:hAnsi="仿宋_GB2312" w:eastAsia="仿宋_GB2312" w:cs="仿宋_GB2312"/>
          <w:sz w:val="20"/>
          <w:szCs w:val="20"/>
          <w:highlight w:val="none"/>
          <w:lang w:val="en-US" w:eastAsia="zh-CN"/>
        </w:rPr>
        <w:t xml:space="preserve"> </w:t>
      </w:r>
      <w:r>
        <w:rPr>
          <w:rFonts w:hint="eastAsia" w:ascii="仿宋_GB2312" w:hAnsi="仿宋_GB2312" w:eastAsia="仿宋_GB2312" w:cs="仿宋_GB2312"/>
          <w:sz w:val="20"/>
          <w:szCs w:val="20"/>
          <w:highlight w:val="none"/>
        </w:rPr>
        <w:t>单位负责人：</w:t>
      </w:r>
      <w:r>
        <w:rPr>
          <w:rFonts w:hint="eastAsia" w:ascii="仿宋_GB2312" w:hAnsi="仿宋_GB2312" w:eastAsia="仿宋_GB2312" w:cs="仿宋_GB2312"/>
          <w:sz w:val="20"/>
          <w:szCs w:val="20"/>
          <w:highlight w:val="none"/>
          <w:lang w:val="en-US" w:eastAsia="zh-CN"/>
        </w:rPr>
        <w:t>何志军</w:t>
      </w:r>
    </w:p>
    <w:p>
      <w:pPr>
        <w:pStyle w:val="2"/>
        <w:rPr>
          <w:rFonts w:hint="eastAsia" w:ascii="仿宋_GB2312" w:hAnsi="仿宋_GB2312" w:eastAsia="仿宋_GB2312" w:cs="仿宋_GB2312"/>
          <w:sz w:val="20"/>
          <w:szCs w:val="20"/>
          <w:highlight w:val="none"/>
          <w:lang w:val="en-US" w:eastAsia="zh-CN"/>
        </w:rPr>
      </w:pPr>
    </w:p>
    <w:p>
      <w:pPr>
        <w:pStyle w:val="3"/>
        <w:rPr>
          <w:rFonts w:hint="eastAsia" w:ascii="仿宋_GB2312" w:hAnsi="仿宋_GB2312" w:eastAsia="仿宋_GB2312" w:cs="仿宋_GB2312"/>
          <w:sz w:val="20"/>
          <w:szCs w:val="20"/>
          <w:highlight w:val="none"/>
          <w:lang w:val="en-US" w:eastAsia="zh-CN"/>
        </w:rPr>
      </w:pPr>
    </w:p>
    <w:p>
      <w:pPr>
        <w:rPr>
          <w:rFonts w:hint="eastAsia" w:ascii="仿宋_GB2312" w:hAnsi="仿宋_GB2312" w:eastAsia="仿宋_GB2312" w:cs="仿宋_GB2312"/>
          <w:sz w:val="20"/>
          <w:szCs w:val="20"/>
          <w:highlight w:val="none"/>
          <w:lang w:val="en-US" w:eastAsia="zh-CN"/>
        </w:rPr>
      </w:pPr>
    </w:p>
    <w:p>
      <w:pPr>
        <w:pStyle w:val="2"/>
        <w:rPr>
          <w:rFonts w:hint="eastAsia" w:ascii="仿宋_GB2312" w:hAnsi="仿宋_GB2312" w:eastAsia="仿宋_GB2312" w:cs="仿宋_GB2312"/>
          <w:sz w:val="20"/>
          <w:szCs w:val="20"/>
          <w:highlight w:val="none"/>
          <w:lang w:val="en-US" w:eastAsia="zh-CN"/>
        </w:rPr>
      </w:pPr>
    </w:p>
    <w:p>
      <w:pPr>
        <w:pStyle w:val="3"/>
        <w:rPr>
          <w:rFonts w:hint="eastAsia" w:ascii="仿宋_GB2312" w:hAnsi="仿宋_GB2312" w:eastAsia="仿宋_GB2312" w:cs="仿宋_GB2312"/>
          <w:sz w:val="20"/>
          <w:szCs w:val="20"/>
          <w:highlight w:val="none"/>
          <w:lang w:val="en-US" w:eastAsia="zh-CN"/>
        </w:rPr>
      </w:pPr>
    </w:p>
    <w:p>
      <w:pPr>
        <w:rPr>
          <w:rFonts w:hint="eastAsia" w:ascii="仿宋_GB2312" w:hAnsi="仿宋_GB2312" w:eastAsia="仿宋_GB2312" w:cs="仿宋_GB2312"/>
          <w:sz w:val="20"/>
          <w:szCs w:val="20"/>
          <w:highlight w:val="none"/>
          <w:lang w:val="en-US" w:eastAsia="zh-CN"/>
        </w:rPr>
      </w:pPr>
    </w:p>
    <w:p>
      <w:pPr>
        <w:pStyle w:val="2"/>
        <w:rPr>
          <w:rFonts w:hint="eastAsia" w:ascii="仿宋_GB2312" w:hAnsi="仿宋_GB2312" w:eastAsia="仿宋_GB2312" w:cs="仿宋_GB2312"/>
          <w:sz w:val="20"/>
          <w:szCs w:val="20"/>
          <w:highlight w:val="none"/>
          <w:lang w:val="en-US" w:eastAsia="zh-CN"/>
        </w:rPr>
      </w:pPr>
    </w:p>
    <w:p>
      <w:pPr>
        <w:pStyle w:val="3"/>
        <w:rPr>
          <w:rFonts w:hint="eastAsia" w:ascii="仿宋_GB2312" w:hAnsi="仿宋_GB2312" w:eastAsia="仿宋_GB2312" w:cs="仿宋_GB2312"/>
          <w:sz w:val="20"/>
          <w:szCs w:val="20"/>
          <w:highlight w:val="none"/>
          <w:lang w:val="en-US" w:eastAsia="zh-CN"/>
        </w:rPr>
      </w:pPr>
    </w:p>
    <w:p>
      <w:pPr>
        <w:rPr>
          <w:rFonts w:hint="eastAsia" w:ascii="仿宋_GB2312" w:hAnsi="仿宋_GB2312" w:eastAsia="仿宋_GB2312" w:cs="仿宋_GB2312"/>
          <w:sz w:val="20"/>
          <w:szCs w:val="20"/>
          <w:highlight w:val="none"/>
          <w:lang w:val="en-US" w:eastAsia="zh-CN"/>
        </w:rPr>
      </w:pPr>
    </w:p>
    <w:p>
      <w:pPr>
        <w:pStyle w:val="2"/>
        <w:rPr>
          <w:rFonts w:hint="eastAsia" w:ascii="仿宋_GB2312" w:hAnsi="仿宋_GB2312" w:eastAsia="仿宋_GB2312" w:cs="仿宋_GB2312"/>
          <w:sz w:val="20"/>
          <w:szCs w:val="20"/>
          <w:highlight w:val="none"/>
          <w:lang w:val="en-US" w:eastAsia="zh-CN"/>
        </w:rPr>
      </w:pPr>
    </w:p>
    <w:p>
      <w:pPr>
        <w:pStyle w:val="3"/>
        <w:rPr>
          <w:rFonts w:hint="eastAsia" w:ascii="仿宋_GB2312" w:hAnsi="仿宋_GB2312" w:eastAsia="仿宋_GB2312" w:cs="仿宋_GB2312"/>
          <w:sz w:val="20"/>
          <w:szCs w:val="20"/>
          <w:highlight w:val="none"/>
          <w:lang w:val="en-US" w:eastAsia="zh-CN"/>
        </w:rPr>
      </w:pPr>
    </w:p>
    <w:p>
      <w:pPr>
        <w:rPr>
          <w:rFonts w:hint="eastAsia" w:ascii="仿宋_GB2312" w:hAnsi="仿宋_GB2312" w:eastAsia="仿宋_GB2312" w:cs="仿宋_GB2312"/>
          <w:sz w:val="20"/>
          <w:szCs w:val="20"/>
          <w:highlight w:val="none"/>
          <w:lang w:val="en-US" w:eastAsia="zh-CN"/>
        </w:rPr>
      </w:pPr>
    </w:p>
    <w:p>
      <w:pPr>
        <w:pStyle w:val="2"/>
        <w:rPr>
          <w:rFonts w:hint="eastAsia" w:ascii="仿宋_GB2312" w:hAnsi="仿宋_GB2312" w:eastAsia="仿宋_GB2312" w:cs="仿宋_GB2312"/>
          <w:sz w:val="20"/>
          <w:szCs w:val="20"/>
          <w:highlight w:val="none"/>
          <w:lang w:val="en-US" w:eastAsia="zh-CN"/>
        </w:rPr>
      </w:pPr>
    </w:p>
    <w:p>
      <w:pPr>
        <w:pStyle w:val="3"/>
        <w:rPr>
          <w:rFonts w:hint="eastAsia" w:ascii="仿宋_GB2312" w:hAnsi="仿宋_GB2312" w:eastAsia="仿宋_GB2312" w:cs="仿宋_GB2312"/>
          <w:sz w:val="20"/>
          <w:szCs w:val="20"/>
          <w:highlight w:val="none"/>
          <w:lang w:val="en-US" w:eastAsia="zh-CN"/>
        </w:rPr>
      </w:pPr>
    </w:p>
    <w:p>
      <w:pPr>
        <w:rPr>
          <w:rFonts w:hint="eastAsia" w:ascii="仿宋_GB2312" w:hAnsi="仿宋_GB2312" w:eastAsia="仿宋_GB2312" w:cs="仿宋_GB2312"/>
          <w:sz w:val="20"/>
          <w:szCs w:val="20"/>
          <w:highlight w:val="none"/>
          <w:lang w:val="en-US" w:eastAsia="zh-CN"/>
        </w:rPr>
      </w:pPr>
    </w:p>
    <w:p>
      <w:pPr>
        <w:pStyle w:val="2"/>
        <w:rPr>
          <w:rFonts w:hint="eastAsia" w:ascii="仿宋_GB2312" w:hAnsi="仿宋_GB2312" w:eastAsia="仿宋_GB2312" w:cs="仿宋_GB2312"/>
          <w:sz w:val="20"/>
          <w:szCs w:val="20"/>
          <w:highlight w:val="none"/>
          <w:lang w:val="en-US" w:eastAsia="zh-CN"/>
        </w:rPr>
      </w:pPr>
    </w:p>
    <w:p>
      <w:pPr>
        <w:pStyle w:val="3"/>
        <w:rPr>
          <w:rFonts w:hint="eastAsia" w:ascii="仿宋_GB2312" w:hAnsi="仿宋_GB2312" w:eastAsia="仿宋_GB2312" w:cs="仿宋_GB2312"/>
          <w:sz w:val="20"/>
          <w:szCs w:val="20"/>
          <w:highlight w:val="none"/>
          <w:lang w:val="en-US" w:eastAsia="zh-CN"/>
        </w:rPr>
      </w:pPr>
    </w:p>
    <w:p>
      <w:pPr>
        <w:jc w:val="both"/>
        <w:rPr>
          <w:rFonts w:hint="default" w:ascii="方正小标宋简体" w:hAnsi="方正小标宋简体" w:eastAsia="方正小标宋简体" w:cs="方正小标宋简体"/>
          <w:sz w:val="44"/>
          <w:szCs w:val="44"/>
          <w:highlight w:val="none"/>
          <w:lang w:val="en-US" w:eastAsia="zh-CN"/>
        </w:rPr>
      </w:pPr>
    </w:p>
    <w:sectPr>
      <w:footerReference r:id="rId3"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312293"/>
    <w:multiLevelType w:val="singleLevel"/>
    <w:tmpl w:val="98312293"/>
    <w:lvl w:ilvl="0" w:tentative="0">
      <w:start w:val="1"/>
      <w:numFmt w:val="chineseCounting"/>
      <w:suff w:val="nothing"/>
      <w:lvlText w:val="%1、"/>
      <w:lvlJc w:val="left"/>
      <w:rPr>
        <w:rFonts w:hint="eastAsia"/>
      </w:rPr>
    </w:lvl>
  </w:abstractNum>
  <w:abstractNum w:abstractNumId="1">
    <w:nsid w:val="C5321FCC"/>
    <w:multiLevelType w:val="singleLevel"/>
    <w:tmpl w:val="C5321FCC"/>
    <w:lvl w:ilvl="0" w:tentative="0">
      <w:start w:val="1"/>
      <w:numFmt w:val="chineseCounting"/>
      <w:suff w:val="nothing"/>
      <w:lvlText w:val="%1、"/>
      <w:lvlJc w:val="left"/>
      <w:rPr>
        <w:rFonts w:hint="eastAsia"/>
      </w:rPr>
    </w:lvl>
  </w:abstractNum>
  <w:abstractNum w:abstractNumId="2">
    <w:nsid w:val="06C9609B"/>
    <w:multiLevelType w:val="singleLevel"/>
    <w:tmpl w:val="06C9609B"/>
    <w:lvl w:ilvl="0" w:tentative="0">
      <w:start w:val="2"/>
      <w:numFmt w:val="chineseCounting"/>
      <w:suff w:val="nothing"/>
      <w:lvlText w:val="（%1）"/>
      <w:lvlJc w:val="left"/>
      <w:rPr>
        <w:rFonts w:hint="eastAsia"/>
      </w:rPr>
    </w:lvl>
  </w:abstractNum>
  <w:abstractNum w:abstractNumId="3">
    <w:nsid w:val="4E0980DE"/>
    <w:multiLevelType w:val="singleLevel"/>
    <w:tmpl w:val="4E0980DE"/>
    <w:lvl w:ilvl="0" w:tentative="0">
      <w:start w:val="2"/>
      <w:numFmt w:val="chineseCounting"/>
      <w:suff w:val="nothing"/>
      <w:lvlText w:val="(%1）"/>
      <w:lvlJc w:val="left"/>
      <w:rPr>
        <w:rFonts w:hint="eastAsia"/>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Q5OTBlMjkxOGJkZTY2YWVjYTkxNWZjODEzNjkwZDcifQ=="/>
  </w:docVars>
  <w:rsids>
    <w:rsidRoot w:val="59886344"/>
    <w:rsid w:val="003C0DF2"/>
    <w:rsid w:val="005F1DBC"/>
    <w:rsid w:val="006D411D"/>
    <w:rsid w:val="00AA15D2"/>
    <w:rsid w:val="00BA58C4"/>
    <w:rsid w:val="00CE72AE"/>
    <w:rsid w:val="01176EA7"/>
    <w:rsid w:val="011C626C"/>
    <w:rsid w:val="0154654A"/>
    <w:rsid w:val="017B5A80"/>
    <w:rsid w:val="01822573"/>
    <w:rsid w:val="02781BC8"/>
    <w:rsid w:val="02D84414"/>
    <w:rsid w:val="02E910F0"/>
    <w:rsid w:val="0317360C"/>
    <w:rsid w:val="034B2E38"/>
    <w:rsid w:val="03BE360A"/>
    <w:rsid w:val="03EA43FF"/>
    <w:rsid w:val="03EA521B"/>
    <w:rsid w:val="03EC461B"/>
    <w:rsid w:val="03F15D82"/>
    <w:rsid w:val="04030F36"/>
    <w:rsid w:val="040F55C3"/>
    <w:rsid w:val="0449381C"/>
    <w:rsid w:val="04592B60"/>
    <w:rsid w:val="04730898"/>
    <w:rsid w:val="047E50AB"/>
    <w:rsid w:val="049A0B0A"/>
    <w:rsid w:val="04EB798A"/>
    <w:rsid w:val="04FC43EA"/>
    <w:rsid w:val="05614B95"/>
    <w:rsid w:val="05724FD3"/>
    <w:rsid w:val="057773DC"/>
    <w:rsid w:val="05917228"/>
    <w:rsid w:val="0597352A"/>
    <w:rsid w:val="05BD0FC8"/>
    <w:rsid w:val="062123DB"/>
    <w:rsid w:val="064D79F0"/>
    <w:rsid w:val="06570885"/>
    <w:rsid w:val="06602ADA"/>
    <w:rsid w:val="066466EB"/>
    <w:rsid w:val="06691F53"/>
    <w:rsid w:val="067B3A34"/>
    <w:rsid w:val="06DD024B"/>
    <w:rsid w:val="07175C35"/>
    <w:rsid w:val="072F4F4B"/>
    <w:rsid w:val="073164DF"/>
    <w:rsid w:val="074327A4"/>
    <w:rsid w:val="07D478A0"/>
    <w:rsid w:val="07E27FCC"/>
    <w:rsid w:val="07F92E63"/>
    <w:rsid w:val="0849203C"/>
    <w:rsid w:val="087654E9"/>
    <w:rsid w:val="08A90849"/>
    <w:rsid w:val="08A90D2D"/>
    <w:rsid w:val="08BE0885"/>
    <w:rsid w:val="08C61C3D"/>
    <w:rsid w:val="08F875BE"/>
    <w:rsid w:val="09425E39"/>
    <w:rsid w:val="09430AD2"/>
    <w:rsid w:val="09BC4A90"/>
    <w:rsid w:val="09BF1E8A"/>
    <w:rsid w:val="09F2225F"/>
    <w:rsid w:val="09F67F74"/>
    <w:rsid w:val="0A1E3055"/>
    <w:rsid w:val="0A5E78F5"/>
    <w:rsid w:val="0AC12AF5"/>
    <w:rsid w:val="0AF12517"/>
    <w:rsid w:val="0B0340A7"/>
    <w:rsid w:val="0B064214"/>
    <w:rsid w:val="0B53569D"/>
    <w:rsid w:val="0B5807E8"/>
    <w:rsid w:val="0B732F2C"/>
    <w:rsid w:val="0B9C6927"/>
    <w:rsid w:val="0B9D0EF0"/>
    <w:rsid w:val="0B9F5716"/>
    <w:rsid w:val="0BAF665A"/>
    <w:rsid w:val="0C216E2C"/>
    <w:rsid w:val="0C5513C4"/>
    <w:rsid w:val="0C5C1C12"/>
    <w:rsid w:val="0C9048F1"/>
    <w:rsid w:val="0CAA0BCF"/>
    <w:rsid w:val="0CB63A18"/>
    <w:rsid w:val="0D2766C4"/>
    <w:rsid w:val="0D674D12"/>
    <w:rsid w:val="0D9D0734"/>
    <w:rsid w:val="0DB203C0"/>
    <w:rsid w:val="0DCA099E"/>
    <w:rsid w:val="0E06277D"/>
    <w:rsid w:val="0E4C64B9"/>
    <w:rsid w:val="0E735B42"/>
    <w:rsid w:val="0F0F7410"/>
    <w:rsid w:val="0F490B74"/>
    <w:rsid w:val="0F7F0301"/>
    <w:rsid w:val="0FAC0967"/>
    <w:rsid w:val="0FC009B6"/>
    <w:rsid w:val="0FFA1E6E"/>
    <w:rsid w:val="1002041D"/>
    <w:rsid w:val="10CD36C1"/>
    <w:rsid w:val="1134209D"/>
    <w:rsid w:val="11586E4C"/>
    <w:rsid w:val="11CC15E8"/>
    <w:rsid w:val="11F65C89"/>
    <w:rsid w:val="12045226"/>
    <w:rsid w:val="120D34C9"/>
    <w:rsid w:val="124467FD"/>
    <w:rsid w:val="1246139A"/>
    <w:rsid w:val="12BE7183"/>
    <w:rsid w:val="12CD54E7"/>
    <w:rsid w:val="12D11331"/>
    <w:rsid w:val="131170BC"/>
    <w:rsid w:val="132536A6"/>
    <w:rsid w:val="132D60B6"/>
    <w:rsid w:val="137507CF"/>
    <w:rsid w:val="137E1BA8"/>
    <w:rsid w:val="137E3AAA"/>
    <w:rsid w:val="137F4B64"/>
    <w:rsid w:val="13C46A1B"/>
    <w:rsid w:val="13FA243C"/>
    <w:rsid w:val="143619DA"/>
    <w:rsid w:val="144F735B"/>
    <w:rsid w:val="14750A1F"/>
    <w:rsid w:val="14784A9B"/>
    <w:rsid w:val="14830684"/>
    <w:rsid w:val="14BF2D1A"/>
    <w:rsid w:val="14DE7097"/>
    <w:rsid w:val="1514358F"/>
    <w:rsid w:val="15543DCE"/>
    <w:rsid w:val="158E7D3E"/>
    <w:rsid w:val="15DE18EA"/>
    <w:rsid w:val="15F80BFE"/>
    <w:rsid w:val="16027660"/>
    <w:rsid w:val="16461969"/>
    <w:rsid w:val="166A4F49"/>
    <w:rsid w:val="168F3C34"/>
    <w:rsid w:val="169C5A2D"/>
    <w:rsid w:val="16D57191"/>
    <w:rsid w:val="16E66CA8"/>
    <w:rsid w:val="16F94C2D"/>
    <w:rsid w:val="16FB6BF7"/>
    <w:rsid w:val="171D04DA"/>
    <w:rsid w:val="172F856F"/>
    <w:rsid w:val="174B46C0"/>
    <w:rsid w:val="174E54A1"/>
    <w:rsid w:val="174F0CF1"/>
    <w:rsid w:val="17822E75"/>
    <w:rsid w:val="17B2302E"/>
    <w:rsid w:val="17B2477D"/>
    <w:rsid w:val="17C918CC"/>
    <w:rsid w:val="17FD8992"/>
    <w:rsid w:val="18147845"/>
    <w:rsid w:val="181B7858"/>
    <w:rsid w:val="18500E4A"/>
    <w:rsid w:val="18552337"/>
    <w:rsid w:val="18956BD8"/>
    <w:rsid w:val="18971143"/>
    <w:rsid w:val="18A84B5D"/>
    <w:rsid w:val="18D77D55"/>
    <w:rsid w:val="18E45469"/>
    <w:rsid w:val="193E101D"/>
    <w:rsid w:val="199E2028"/>
    <w:rsid w:val="19B823E4"/>
    <w:rsid w:val="19CA401F"/>
    <w:rsid w:val="1A2B0853"/>
    <w:rsid w:val="1A705206"/>
    <w:rsid w:val="1A807414"/>
    <w:rsid w:val="1A9058A9"/>
    <w:rsid w:val="1AA17AB6"/>
    <w:rsid w:val="1ABD36C6"/>
    <w:rsid w:val="1AC70E1C"/>
    <w:rsid w:val="1AD82846"/>
    <w:rsid w:val="1AE300CE"/>
    <w:rsid w:val="1AF3CE5F"/>
    <w:rsid w:val="1AFFCBDA"/>
    <w:rsid w:val="1B3D4259"/>
    <w:rsid w:val="1B9413C8"/>
    <w:rsid w:val="1BC178C0"/>
    <w:rsid w:val="1BC33CE0"/>
    <w:rsid w:val="1BEC76E3"/>
    <w:rsid w:val="1BF13F6A"/>
    <w:rsid w:val="1BFFD3B4"/>
    <w:rsid w:val="1BFFE712"/>
    <w:rsid w:val="1C4C3A51"/>
    <w:rsid w:val="1C4F3541"/>
    <w:rsid w:val="1C8A77B6"/>
    <w:rsid w:val="1C8E7BC6"/>
    <w:rsid w:val="1CB952D2"/>
    <w:rsid w:val="1CFD5204"/>
    <w:rsid w:val="1D2309CD"/>
    <w:rsid w:val="1D3E30B9"/>
    <w:rsid w:val="1D9571FE"/>
    <w:rsid w:val="1DB55626"/>
    <w:rsid w:val="1DB5F948"/>
    <w:rsid w:val="1DBF5D52"/>
    <w:rsid w:val="1DEE4546"/>
    <w:rsid w:val="1E157715"/>
    <w:rsid w:val="1E3B8B30"/>
    <w:rsid w:val="1E3F3A74"/>
    <w:rsid w:val="1E7712E0"/>
    <w:rsid w:val="1E8410A9"/>
    <w:rsid w:val="1E91ADC7"/>
    <w:rsid w:val="1EA82AC4"/>
    <w:rsid w:val="1EB12133"/>
    <w:rsid w:val="1EC65D3D"/>
    <w:rsid w:val="1EFD1033"/>
    <w:rsid w:val="1F7548B7"/>
    <w:rsid w:val="1F7CABFE"/>
    <w:rsid w:val="1F813A12"/>
    <w:rsid w:val="1FB2006F"/>
    <w:rsid w:val="1FE291D0"/>
    <w:rsid w:val="1FEB1390"/>
    <w:rsid w:val="1FF3404C"/>
    <w:rsid w:val="1FF9D7B6"/>
    <w:rsid w:val="1FFB12B5"/>
    <w:rsid w:val="20605D1D"/>
    <w:rsid w:val="208328D1"/>
    <w:rsid w:val="20A53730"/>
    <w:rsid w:val="20E7142D"/>
    <w:rsid w:val="20EA4601"/>
    <w:rsid w:val="20ED3CFA"/>
    <w:rsid w:val="20F6718A"/>
    <w:rsid w:val="21054D35"/>
    <w:rsid w:val="212A0153"/>
    <w:rsid w:val="21367194"/>
    <w:rsid w:val="214116AB"/>
    <w:rsid w:val="216435EB"/>
    <w:rsid w:val="217236E9"/>
    <w:rsid w:val="219C0FD7"/>
    <w:rsid w:val="219D5CF4"/>
    <w:rsid w:val="21AE74CB"/>
    <w:rsid w:val="21E1C4E1"/>
    <w:rsid w:val="21E91EE3"/>
    <w:rsid w:val="21F26E49"/>
    <w:rsid w:val="21FA7AAB"/>
    <w:rsid w:val="220A24B9"/>
    <w:rsid w:val="22787AA7"/>
    <w:rsid w:val="227B1683"/>
    <w:rsid w:val="227E3321"/>
    <w:rsid w:val="22C970D5"/>
    <w:rsid w:val="22DB5B2F"/>
    <w:rsid w:val="231639D9"/>
    <w:rsid w:val="232E65AC"/>
    <w:rsid w:val="23B24AE2"/>
    <w:rsid w:val="23C40371"/>
    <w:rsid w:val="24AD03C2"/>
    <w:rsid w:val="24C30629"/>
    <w:rsid w:val="24E92109"/>
    <w:rsid w:val="24F53CC5"/>
    <w:rsid w:val="24FFC822"/>
    <w:rsid w:val="2503216A"/>
    <w:rsid w:val="250F1AC0"/>
    <w:rsid w:val="251F7F55"/>
    <w:rsid w:val="257D6EC4"/>
    <w:rsid w:val="258B2108"/>
    <w:rsid w:val="25AB3597"/>
    <w:rsid w:val="264834DB"/>
    <w:rsid w:val="26502390"/>
    <w:rsid w:val="2677ADDA"/>
    <w:rsid w:val="268970CA"/>
    <w:rsid w:val="26BFFD94"/>
    <w:rsid w:val="26E256DE"/>
    <w:rsid w:val="26FFA790"/>
    <w:rsid w:val="27037402"/>
    <w:rsid w:val="274560E8"/>
    <w:rsid w:val="278247CB"/>
    <w:rsid w:val="2785661C"/>
    <w:rsid w:val="27914A0E"/>
    <w:rsid w:val="27BB7CDD"/>
    <w:rsid w:val="27D71050"/>
    <w:rsid w:val="27EC4016"/>
    <w:rsid w:val="27F57601"/>
    <w:rsid w:val="281D62A2"/>
    <w:rsid w:val="2829733C"/>
    <w:rsid w:val="2859389A"/>
    <w:rsid w:val="28643ED1"/>
    <w:rsid w:val="286643D9"/>
    <w:rsid w:val="28896358"/>
    <w:rsid w:val="28A80261"/>
    <w:rsid w:val="28AC5FA3"/>
    <w:rsid w:val="28D9083E"/>
    <w:rsid w:val="28F23BAD"/>
    <w:rsid w:val="2927562A"/>
    <w:rsid w:val="294F211B"/>
    <w:rsid w:val="29547A65"/>
    <w:rsid w:val="29A94291"/>
    <w:rsid w:val="29C63095"/>
    <w:rsid w:val="2A3F69A3"/>
    <w:rsid w:val="2A505BBC"/>
    <w:rsid w:val="2A563562"/>
    <w:rsid w:val="2A73664D"/>
    <w:rsid w:val="2ACE1AD5"/>
    <w:rsid w:val="2AF02FB8"/>
    <w:rsid w:val="2B361B54"/>
    <w:rsid w:val="2B5D45DC"/>
    <w:rsid w:val="2B702C06"/>
    <w:rsid w:val="2B762899"/>
    <w:rsid w:val="2B852ADC"/>
    <w:rsid w:val="2B9D7E25"/>
    <w:rsid w:val="2BA967CA"/>
    <w:rsid w:val="2BC45BBC"/>
    <w:rsid w:val="2BEF7F55"/>
    <w:rsid w:val="2BFC39D5"/>
    <w:rsid w:val="2C1A76C8"/>
    <w:rsid w:val="2C505482"/>
    <w:rsid w:val="2C5C3582"/>
    <w:rsid w:val="2C8A3B74"/>
    <w:rsid w:val="2C9740FC"/>
    <w:rsid w:val="2C9E3214"/>
    <w:rsid w:val="2D297497"/>
    <w:rsid w:val="2D64E77A"/>
    <w:rsid w:val="2D79041E"/>
    <w:rsid w:val="2DB41AC5"/>
    <w:rsid w:val="2E5F7614"/>
    <w:rsid w:val="2E7EFE34"/>
    <w:rsid w:val="2E9F5C62"/>
    <w:rsid w:val="2ED26038"/>
    <w:rsid w:val="2ED77087"/>
    <w:rsid w:val="2EDC7ABF"/>
    <w:rsid w:val="2EF5C177"/>
    <w:rsid w:val="2F3D7265"/>
    <w:rsid w:val="2F3FB6CA"/>
    <w:rsid w:val="2F520F27"/>
    <w:rsid w:val="2F5AC3AC"/>
    <w:rsid w:val="2FBB6FE0"/>
    <w:rsid w:val="2FE7DA75"/>
    <w:rsid w:val="2FF65D56"/>
    <w:rsid w:val="2FFB4E44"/>
    <w:rsid w:val="2FFB7FED"/>
    <w:rsid w:val="2FFBD7E4"/>
    <w:rsid w:val="2FFE7E70"/>
    <w:rsid w:val="30101716"/>
    <w:rsid w:val="30446AC1"/>
    <w:rsid w:val="306A5CC3"/>
    <w:rsid w:val="308275EA"/>
    <w:rsid w:val="30B66241"/>
    <w:rsid w:val="30BF25EC"/>
    <w:rsid w:val="30DF309C"/>
    <w:rsid w:val="30E46D36"/>
    <w:rsid w:val="30FE11D3"/>
    <w:rsid w:val="316F4012"/>
    <w:rsid w:val="319E0453"/>
    <w:rsid w:val="31C0130D"/>
    <w:rsid w:val="31FB58A6"/>
    <w:rsid w:val="31FF7AE8"/>
    <w:rsid w:val="32052D87"/>
    <w:rsid w:val="32433D76"/>
    <w:rsid w:val="325A1752"/>
    <w:rsid w:val="3264169D"/>
    <w:rsid w:val="32894C60"/>
    <w:rsid w:val="32B3392E"/>
    <w:rsid w:val="32EA443C"/>
    <w:rsid w:val="32F522F5"/>
    <w:rsid w:val="32F56799"/>
    <w:rsid w:val="330668C7"/>
    <w:rsid w:val="332D5F33"/>
    <w:rsid w:val="335710EE"/>
    <w:rsid w:val="335A2AA0"/>
    <w:rsid w:val="337613DE"/>
    <w:rsid w:val="33778B45"/>
    <w:rsid w:val="33BA669C"/>
    <w:rsid w:val="33E9B2D3"/>
    <w:rsid w:val="33FA9D18"/>
    <w:rsid w:val="33FBDDAB"/>
    <w:rsid w:val="34272982"/>
    <w:rsid w:val="34452E08"/>
    <w:rsid w:val="347705D7"/>
    <w:rsid w:val="34C0637E"/>
    <w:rsid w:val="34CC11D8"/>
    <w:rsid w:val="34E16FD5"/>
    <w:rsid w:val="351039A8"/>
    <w:rsid w:val="3538101C"/>
    <w:rsid w:val="354860EB"/>
    <w:rsid w:val="355D23D3"/>
    <w:rsid w:val="355F5136"/>
    <w:rsid w:val="358E07DF"/>
    <w:rsid w:val="35A40002"/>
    <w:rsid w:val="35A973C7"/>
    <w:rsid w:val="35AF0042"/>
    <w:rsid w:val="35CC15B7"/>
    <w:rsid w:val="35D50BAE"/>
    <w:rsid w:val="35E41B3B"/>
    <w:rsid w:val="36005459"/>
    <w:rsid w:val="36592B9B"/>
    <w:rsid w:val="36664758"/>
    <w:rsid w:val="3687595A"/>
    <w:rsid w:val="36883480"/>
    <w:rsid w:val="368A99A7"/>
    <w:rsid w:val="369605DD"/>
    <w:rsid w:val="369938DF"/>
    <w:rsid w:val="36BD7B6A"/>
    <w:rsid w:val="36C01D22"/>
    <w:rsid w:val="36D207DC"/>
    <w:rsid w:val="36F079A3"/>
    <w:rsid w:val="371702A4"/>
    <w:rsid w:val="37206A37"/>
    <w:rsid w:val="373B54E9"/>
    <w:rsid w:val="3763118E"/>
    <w:rsid w:val="3784633D"/>
    <w:rsid w:val="379FBE45"/>
    <w:rsid w:val="37DF2B88"/>
    <w:rsid w:val="37EB3F50"/>
    <w:rsid w:val="37F069F3"/>
    <w:rsid w:val="37F76B0F"/>
    <w:rsid w:val="3823251A"/>
    <w:rsid w:val="384653A1"/>
    <w:rsid w:val="389D1465"/>
    <w:rsid w:val="389E6F8B"/>
    <w:rsid w:val="38A8F0B9"/>
    <w:rsid w:val="38BD38B5"/>
    <w:rsid w:val="38EE1CC0"/>
    <w:rsid w:val="39381D3C"/>
    <w:rsid w:val="39476067"/>
    <w:rsid w:val="396D1386"/>
    <w:rsid w:val="39771243"/>
    <w:rsid w:val="39A50338"/>
    <w:rsid w:val="39FA783E"/>
    <w:rsid w:val="3A046612"/>
    <w:rsid w:val="3A1F776E"/>
    <w:rsid w:val="3A331955"/>
    <w:rsid w:val="3A35F591"/>
    <w:rsid w:val="3A450380"/>
    <w:rsid w:val="3A4F678F"/>
    <w:rsid w:val="3A56BA4A"/>
    <w:rsid w:val="3A5D453C"/>
    <w:rsid w:val="3A68164F"/>
    <w:rsid w:val="3A6F67B9"/>
    <w:rsid w:val="3A864340"/>
    <w:rsid w:val="3A9B6F0E"/>
    <w:rsid w:val="3AEF8943"/>
    <w:rsid w:val="3AFE9D8D"/>
    <w:rsid w:val="3B0E7F2D"/>
    <w:rsid w:val="3B1874C8"/>
    <w:rsid w:val="3B7A5A8D"/>
    <w:rsid w:val="3BAFAC9F"/>
    <w:rsid w:val="3BC2ED61"/>
    <w:rsid w:val="3BDF58CE"/>
    <w:rsid w:val="3BEB24E7"/>
    <w:rsid w:val="3BF56FBA"/>
    <w:rsid w:val="3BFC8AA8"/>
    <w:rsid w:val="3C2C0654"/>
    <w:rsid w:val="3C3665DF"/>
    <w:rsid w:val="3CE4FF4F"/>
    <w:rsid w:val="3CEB7CAA"/>
    <w:rsid w:val="3CED04E1"/>
    <w:rsid w:val="3D146F91"/>
    <w:rsid w:val="3D26224F"/>
    <w:rsid w:val="3D4218E5"/>
    <w:rsid w:val="3D4476F2"/>
    <w:rsid w:val="3D4EFDF3"/>
    <w:rsid w:val="3D5E08E1"/>
    <w:rsid w:val="3D6150B1"/>
    <w:rsid w:val="3DAF5F95"/>
    <w:rsid w:val="3DBFB5AA"/>
    <w:rsid w:val="3DCC5501"/>
    <w:rsid w:val="3DE11DF4"/>
    <w:rsid w:val="3DFF15BB"/>
    <w:rsid w:val="3DFF8639"/>
    <w:rsid w:val="3E1877DF"/>
    <w:rsid w:val="3E4660FB"/>
    <w:rsid w:val="3E57714C"/>
    <w:rsid w:val="3E63337B"/>
    <w:rsid w:val="3E6F38A3"/>
    <w:rsid w:val="3E703177"/>
    <w:rsid w:val="3E7FCE16"/>
    <w:rsid w:val="3EAA3817"/>
    <w:rsid w:val="3EB74E23"/>
    <w:rsid w:val="3EBD6193"/>
    <w:rsid w:val="3EFB3EF4"/>
    <w:rsid w:val="3EFFF355"/>
    <w:rsid w:val="3F2F0A7D"/>
    <w:rsid w:val="3F4FE695"/>
    <w:rsid w:val="3F611E41"/>
    <w:rsid w:val="3F76AD36"/>
    <w:rsid w:val="3F7741D8"/>
    <w:rsid w:val="3F7AA408"/>
    <w:rsid w:val="3F7F9C83"/>
    <w:rsid w:val="3F7FE8E2"/>
    <w:rsid w:val="3FA70E1B"/>
    <w:rsid w:val="3FAD5F8B"/>
    <w:rsid w:val="3FD7488F"/>
    <w:rsid w:val="3FD80FD4"/>
    <w:rsid w:val="3FDFB4C1"/>
    <w:rsid w:val="3FFAE9AD"/>
    <w:rsid w:val="3FFB03D0"/>
    <w:rsid w:val="3FFF018F"/>
    <w:rsid w:val="400821FC"/>
    <w:rsid w:val="402405B7"/>
    <w:rsid w:val="40866D2C"/>
    <w:rsid w:val="41250249"/>
    <w:rsid w:val="415648A7"/>
    <w:rsid w:val="41807B75"/>
    <w:rsid w:val="41831414"/>
    <w:rsid w:val="418B1260"/>
    <w:rsid w:val="419034DB"/>
    <w:rsid w:val="419D4283"/>
    <w:rsid w:val="41A03D74"/>
    <w:rsid w:val="41B65345"/>
    <w:rsid w:val="41D63C39"/>
    <w:rsid w:val="41D6428B"/>
    <w:rsid w:val="41E20493"/>
    <w:rsid w:val="41F62F84"/>
    <w:rsid w:val="41F84F92"/>
    <w:rsid w:val="42076ECA"/>
    <w:rsid w:val="421B33FA"/>
    <w:rsid w:val="421F1DD3"/>
    <w:rsid w:val="425F4C4B"/>
    <w:rsid w:val="427520F4"/>
    <w:rsid w:val="42D96BAB"/>
    <w:rsid w:val="43713C1A"/>
    <w:rsid w:val="43A42766"/>
    <w:rsid w:val="44A41DCD"/>
    <w:rsid w:val="44CB735A"/>
    <w:rsid w:val="45093D6F"/>
    <w:rsid w:val="450972F8"/>
    <w:rsid w:val="4517434D"/>
    <w:rsid w:val="45264590"/>
    <w:rsid w:val="454B2248"/>
    <w:rsid w:val="456F23DB"/>
    <w:rsid w:val="456F4189"/>
    <w:rsid w:val="45794257"/>
    <w:rsid w:val="463E7A49"/>
    <w:rsid w:val="465B2193"/>
    <w:rsid w:val="465F41FD"/>
    <w:rsid w:val="46663C24"/>
    <w:rsid w:val="4682613E"/>
    <w:rsid w:val="468A0B4E"/>
    <w:rsid w:val="46E87275"/>
    <w:rsid w:val="47734610"/>
    <w:rsid w:val="477F074F"/>
    <w:rsid w:val="47E0136E"/>
    <w:rsid w:val="47E81FD1"/>
    <w:rsid w:val="47EA2189"/>
    <w:rsid w:val="47F81765"/>
    <w:rsid w:val="4820176A"/>
    <w:rsid w:val="48D30A38"/>
    <w:rsid w:val="48F332B7"/>
    <w:rsid w:val="493C4382"/>
    <w:rsid w:val="4944592C"/>
    <w:rsid w:val="494D47E1"/>
    <w:rsid w:val="495518E8"/>
    <w:rsid w:val="497C777E"/>
    <w:rsid w:val="498E4745"/>
    <w:rsid w:val="49DE79B3"/>
    <w:rsid w:val="4A185174"/>
    <w:rsid w:val="4A390A56"/>
    <w:rsid w:val="4A78588E"/>
    <w:rsid w:val="4A8055D9"/>
    <w:rsid w:val="4A9D70A2"/>
    <w:rsid w:val="4AD95ABD"/>
    <w:rsid w:val="4AFBFC7D"/>
    <w:rsid w:val="4B6E0A3F"/>
    <w:rsid w:val="4B7D07C8"/>
    <w:rsid w:val="4BD74836"/>
    <w:rsid w:val="4BE807F1"/>
    <w:rsid w:val="4BF428E7"/>
    <w:rsid w:val="4BF7F362"/>
    <w:rsid w:val="4C2A2BB8"/>
    <w:rsid w:val="4C4874E2"/>
    <w:rsid w:val="4C4E3957"/>
    <w:rsid w:val="4D26102B"/>
    <w:rsid w:val="4D4E02A1"/>
    <w:rsid w:val="4D986247"/>
    <w:rsid w:val="4DB71CF8"/>
    <w:rsid w:val="4DDF1E79"/>
    <w:rsid w:val="4DFA38FB"/>
    <w:rsid w:val="4E13667D"/>
    <w:rsid w:val="4E485577"/>
    <w:rsid w:val="4E5BBA9C"/>
    <w:rsid w:val="4E5C4165"/>
    <w:rsid w:val="4E771829"/>
    <w:rsid w:val="4E7F0F85"/>
    <w:rsid w:val="4EB96475"/>
    <w:rsid w:val="4EC512BE"/>
    <w:rsid w:val="4EFF6D04"/>
    <w:rsid w:val="4F2C30EB"/>
    <w:rsid w:val="4F351F9F"/>
    <w:rsid w:val="4F6F09F1"/>
    <w:rsid w:val="4F6F616B"/>
    <w:rsid w:val="4F7314B1"/>
    <w:rsid w:val="4F7A17D4"/>
    <w:rsid w:val="4F7ED5CC"/>
    <w:rsid w:val="4F7F1717"/>
    <w:rsid w:val="4F895E47"/>
    <w:rsid w:val="4FB7DF52"/>
    <w:rsid w:val="4FBD0E37"/>
    <w:rsid w:val="4FC21149"/>
    <w:rsid w:val="4FEBD89B"/>
    <w:rsid w:val="4FFBE669"/>
    <w:rsid w:val="50302767"/>
    <w:rsid w:val="509176A9"/>
    <w:rsid w:val="50DD469C"/>
    <w:rsid w:val="50E57073"/>
    <w:rsid w:val="50EA5464"/>
    <w:rsid w:val="510D4856"/>
    <w:rsid w:val="51DC0DF8"/>
    <w:rsid w:val="5272350A"/>
    <w:rsid w:val="52802CF0"/>
    <w:rsid w:val="52BB6C5F"/>
    <w:rsid w:val="52C635A9"/>
    <w:rsid w:val="52DC0984"/>
    <w:rsid w:val="530D2AC6"/>
    <w:rsid w:val="53196A38"/>
    <w:rsid w:val="5324497A"/>
    <w:rsid w:val="532564DD"/>
    <w:rsid w:val="53367EBD"/>
    <w:rsid w:val="534C3D5B"/>
    <w:rsid w:val="534F55FA"/>
    <w:rsid w:val="53594F1A"/>
    <w:rsid w:val="53B10062"/>
    <w:rsid w:val="53B63179"/>
    <w:rsid w:val="53EB213D"/>
    <w:rsid w:val="53EF967F"/>
    <w:rsid w:val="53FD32A8"/>
    <w:rsid w:val="53FF203C"/>
    <w:rsid w:val="540C7047"/>
    <w:rsid w:val="54280325"/>
    <w:rsid w:val="54684BC5"/>
    <w:rsid w:val="5474356A"/>
    <w:rsid w:val="54880DC3"/>
    <w:rsid w:val="55006BAB"/>
    <w:rsid w:val="5520724E"/>
    <w:rsid w:val="55945D82"/>
    <w:rsid w:val="55972ADB"/>
    <w:rsid w:val="55CF47D0"/>
    <w:rsid w:val="55FF4935"/>
    <w:rsid w:val="55FF753B"/>
    <w:rsid w:val="56372AA1"/>
    <w:rsid w:val="5668150A"/>
    <w:rsid w:val="566D0CE3"/>
    <w:rsid w:val="56861332"/>
    <w:rsid w:val="56FC283D"/>
    <w:rsid w:val="573568B4"/>
    <w:rsid w:val="579FB4C2"/>
    <w:rsid w:val="57BD9159"/>
    <w:rsid w:val="57C84FDA"/>
    <w:rsid w:val="57DA4CD0"/>
    <w:rsid w:val="57DF684C"/>
    <w:rsid w:val="57EFE0CB"/>
    <w:rsid w:val="57FB2369"/>
    <w:rsid w:val="582B4BF2"/>
    <w:rsid w:val="582E57DE"/>
    <w:rsid w:val="586A0B55"/>
    <w:rsid w:val="586C4131"/>
    <w:rsid w:val="58900246"/>
    <w:rsid w:val="58A12C9F"/>
    <w:rsid w:val="58A718B2"/>
    <w:rsid w:val="591C41D0"/>
    <w:rsid w:val="593212FE"/>
    <w:rsid w:val="59417793"/>
    <w:rsid w:val="594272C5"/>
    <w:rsid w:val="594F0101"/>
    <w:rsid w:val="59886344"/>
    <w:rsid w:val="59956A89"/>
    <w:rsid w:val="59B53C70"/>
    <w:rsid w:val="59C76585"/>
    <w:rsid w:val="59EF71EF"/>
    <w:rsid w:val="59F842F5"/>
    <w:rsid w:val="5A3966BC"/>
    <w:rsid w:val="5A5E0D35"/>
    <w:rsid w:val="5ABD8580"/>
    <w:rsid w:val="5ADD34EB"/>
    <w:rsid w:val="5B57504B"/>
    <w:rsid w:val="5B615FCD"/>
    <w:rsid w:val="5B8FC25C"/>
    <w:rsid w:val="5BA858A7"/>
    <w:rsid w:val="5BCA1CC1"/>
    <w:rsid w:val="5BDE8C69"/>
    <w:rsid w:val="5BE07737"/>
    <w:rsid w:val="5BE84AC6"/>
    <w:rsid w:val="5C11169E"/>
    <w:rsid w:val="5C2869E8"/>
    <w:rsid w:val="5C3F60E3"/>
    <w:rsid w:val="5C9A1694"/>
    <w:rsid w:val="5CC15BA8"/>
    <w:rsid w:val="5CC52C70"/>
    <w:rsid w:val="5CD674D1"/>
    <w:rsid w:val="5CF13516"/>
    <w:rsid w:val="5D1D99E4"/>
    <w:rsid w:val="5D1F428F"/>
    <w:rsid w:val="5D4B33F2"/>
    <w:rsid w:val="5D526412"/>
    <w:rsid w:val="5D6E7650"/>
    <w:rsid w:val="5D83037A"/>
    <w:rsid w:val="5DA60EEC"/>
    <w:rsid w:val="5DABCD17"/>
    <w:rsid w:val="5DBEBB7B"/>
    <w:rsid w:val="5DBED4A6"/>
    <w:rsid w:val="5DD6E584"/>
    <w:rsid w:val="5DE04B5C"/>
    <w:rsid w:val="5DE45F01"/>
    <w:rsid w:val="5DE76EBB"/>
    <w:rsid w:val="5DFB3E37"/>
    <w:rsid w:val="5DFB4C00"/>
    <w:rsid w:val="5DFEAFD1"/>
    <w:rsid w:val="5E2A4C99"/>
    <w:rsid w:val="5EAB87CB"/>
    <w:rsid w:val="5EC21376"/>
    <w:rsid w:val="5ECC5D50"/>
    <w:rsid w:val="5ECDBDC3"/>
    <w:rsid w:val="5EFC4054"/>
    <w:rsid w:val="5F141D32"/>
    <w:rsid w:val="5F1F40D2"/>
    <w:rsid w:val="5F2416E8"/>
    <w:rsid w:val="5F4FF522"/>
    <w:rsid w:val="5F5F29DE"/>
    <w:rsid w:val="5F5F9DF5"/>
    <w:rsid w:val="5F63E314"/>
    <w:rsid w:val="5F72D193"/>
    <w:rsid w:val="5F795ED8"/>
    <w:rsid w:val="5F79BDB0"/>
    <w:rsid w:val="5F7F3FD4"/>
    <w:rsid w:val="5F7FA0F3"/>
    <w:rsid w:val="5F942FAB"/>
    <w:rsid w:val="5FAF1802"/>
    <w:rsid w:val="5FBA3DFB"/>
    <w:rsid w:val="5FC55B17"/>
    <w:rsid w:val="5FD7374E"/>
    <w:rsid w:val="5FDB7C92"/>
    <w:rsid w:val="5FE5531C"/>
    <w:rsid w:val="5FEA0B84"/>
    <w:rsid w:val="5FF46551"/>
    <w:rsid w:val="5FFB1EFE"/>
    <w:rsid w:val="5FFB9F0E"/>
    <w:rsid w:val="5FFD1369"/>
    <w:rsid w:val="5FFE09B9"/>
    <w:rsid w:val="5FFF6DCE"/>
    <w:rsid w:val="5FFF9490"/>
    <w:rsid w:val="5FFFD94D"/>
    <w:rsid w:val="60172FFB"/>
    <w:rsid w:val="60372506"/>
    <w:rsid w:val="603B77B5"/>
    <w:rsid w:val="60457B68"/>
    <w:rsid w:val="604638E0"/>
    <w:rsid w:val="61446072"/>
    <w:rsid w:val="61493688"/>
    <w:rsid w:val="615D0EE2"/>
    <w:rsid w:val="6175085B"/>
    <w:rsid w:val="618E3791"/>
    <w:rsid w:val="61934540"/>
    <w:rsid w:val="61DA6D91"/>
    <w:rsid w:val="62155E7B"/>
    <w:rsid w:val="62293945"/>
    <w:rsid w:val="62372999"/>
    <w:rsid w:val="62614A02"/>
    <w:rsid w:val="628F77C1"/>
    <w:rsid w:val="62A768B8"/>
    <w:rsid w:val="62AF0244"/>
    <w:rsid w:val="631D6B7A"/>
    <w:rsid w:val="63473BF7"/>
    <w:rsid w:val="638504D1"/>
    <w:rsid w:val="63EEE080"/>
    <w:rsid w:val="64436AB5"/>
    <w:rsid w:val="647CC9B4"/>
    <w:rsid w:val="64833257"/>
    <w:rsid w:val="64AC6498"/>
    <w:rsid w:val="64B8256B"/>
    <w:rsid w:val="64D4595F"/>
    <w:rsid w:val="64ECBA07"/>
    <w:rsid w:val="651D7306"/>
    <w:rsid w:val="65493C57"/>
    <w:rsid w:val="655A635E"/>
    <w:rsid w:val="65667DD7"/>
    <w:rsid w:val="6578453C"/>
    <w:rsid w:val="65960E66"/>
    <w:rsid w:val="65D3619D"/>
    <w:rsid w:val="65D92C42"/>
    <w:rsid w:val="65E9D462"/>
    <w:rsid w:val="65F339EE"/>
    <w:rsid w:val="663F32AC"/>
    <w:rsid w:val="66A3383B"/>
    <w:rsid w:val="66DFA25C"/>
    <w:rsid w:val="66E78867"/>
    <w:rsid w:val="66EFCEF3"/>
    <w:rsid w:val="66F336CF"/>
    <w:rsid w:val="66F6F6B3"/>
    <w:rsid w:val="673D5A3D"/>
    <w:rsid w:val="674B7848"/>
    <w:rsid w:val="675B08E7"/>
    <w:rsid w:val="676034DA"/>
    <w:rsid w:val="6762733E"/>
    <w:rsid w:val="67678325"/>
    <w:rsid w:val="67BDAF8A"/>
    <w:rsid w:val="67C47F0C"/>
    <w:rsid w:val="67C56F1B"/>
    <w:rsid w:val="67CA32F0"/>
    <w:rsid w:val="67E6E270"/>
    <w:rsid w:val="682B3AE8"/>
    <w:rsid w:val="687A681D"/>
    <w:rsid w:val="68E343C2"/>
    <w:rsid w:val="68ED3EF8"/>
    <w:rsid w:val="68FE2FAA"/>
    <w:rsid w:val="69584DB0"/>
    <w:rsid w:val="697D65C5"/>
    <w:rsid w:val="69961435"/>
    <w:rsid w:val="69E44A75"/>
    <w:rsid w:val="69E5416A"/>
    <w:rsid w:val="69FFC7F7"/>
    <w:rsid w:val="6A107439"/>
    <w:rsid w:val="6A6B28C1"/>
    <w:rsid w:val="6A6E7A5F"/>
    <w:rsid w:val="6A6F1098"/>
    <w:rsid w:val="6AE14931"/>
    <w:rsid w:val="6AF3DC8E"/>
    <w:rsid w:val="6AFA050D"/>
    <w:rsid w:val="6B3F87CC"/>
    <w:rsid w:val="6B6F1C8D"/>
    <w:rsid w:val="6B7B32EC"/>
    <w:rsid w:val="6B957985"/>
    <w:rsid w:val="6B9A199C"/>
    <w:rsid w:val="6BA41BFF"/>
    <w:rsid w:val="6BDD6301"/>
    <w:rsid w:val="6C53185F"/>
    <w:rsid w:val="6C8F4986"/>
    <w:rsid w:val="6CA04621"/>
    <w:rsid w:val="6CC67A66"/>
    <w:rsid w:val="6CD57309"/>
    <w:rsid w:val="6CF0202E"/>
    <w:rsid w:val="6D1014FE"/>
    <w:rsid w:val="6D1A1C24"/>
    <w:rsid w:val="6D2D20B0"/>
    <w:rsid w:val="6D3F4F03"/>
    <w:rsid w:val="6D4231A8"/>
    <w:rsid w:val="6D514074"/>
    <w:rsid w:val="6D77C5BF"/>
    <w:rsid w:val="6D7D2D8A"/>
    <w:rsid w:val="6D817A7E"/>
    <w:rsid w:val="6D88339E"/>
    <w:rsid w:val="6D9C504D"/>
    <w:rsid w:val="6D9C754C"/>
    <w:rsid w:val="6DC7245C"/>
    <w:rsid w:val="6DCBFDC7"/>
    <w:rsid w:val="6DEE8FF0"/>
    <w:rsid w:val="6DF40E20"/>
    <w:rsid w:val="6DFF3CF1"/>
    <w:rsid w:val="6DFF6815"/>
    <w:rsid w:val="6E1241EE"/>
    <w:rsid w:val="6E3C4068"/>
    <w:rsid w:val="6E4F6056"/>
    <w:rsid w:val="6E7D7067"/>
    <w:rsid w:val="6EBFBD06"/>
    <w:rsid w:val="6EEBB00C"/>
    <w:rsid w:val="6EF47329"/>
    <w:rsid w:val="6EF99EEC"/>
    <w:rsid w:val="6EFE19F4"/>
    <w:rsid w:val="6EFF9C98"/>
    <w:rsid w:val="6F4ED10F"/>
    <w:rsid w:val="6F5B5F44"/>
    <w:rsid w:val="6F661274"/>
    <w:rsid w:val="6F75DDA9"/>
    <w:rsid w:val="6F775864"/>
    <w:rsid w:val="6F7DFA4C"/>
    <w:rsid w:val="6F7EF9B3"/>
    <w:rsid w:val="6F7FD295"/>
    <w:rsid w:val="6F9F4D31"/>
    <w:rsid w:val="6FB7E4EA"/>
    <w:rsid w:val="6FC52B07"/>
    <w:rsid w:val="6FDA52D6"/>
    <w:rsid w:val="6FE6E6FE"/>
    <w:rsid w:val="6FE80510"/>
    <w:rsid w:val="6FF45107"/>
    <w:rsid w:val="6FF7284B"/>
    <w:rsid w:val="6FFB0A6C"/>
    <w:rsid w:val="6FFCE907"/>
    <w:rsid w:val="6FFD47D8"/>
    <w:rsid w:val="6FFE1F5B"/>
    <w:rsid w:val="6FFF0327"/>
    <w:rsid w:val="6FFF2FE0"/>
    <w:rsid w:val="70130A5F"/>
    <w:rsid w:val="701835D1"/>
    <w:rsid w:val="70271038"/>
    <w:rsid w:val="705A140E"/>
    <w:rsid w:val="705E5838"/>
    <w:rsid w:val="709F5073"/>
    <w:rsid w:val="70CE3BAA"/>
    <w:rsid w:val="70E21403"/>
    <w:rsid w:val="70F01D72"/>
    <w:rsid w:val="70F22B6B"/>
    <w:rsid w:val="71384D7B"/>
    <w:rsid w:val="713A4D9B"/>
    <w:rsid w:val="713F3707"/>
    <w:rsid w:val="714156B8"/>
    <w:rsid w:val="71707127"/>
    <w:rsid w:val="71D92AF9"/>
    <w:rsid w:val="71E05943"/>
    <w:rsid w:val="71FA1A60"/>
    <w:rsid w:val="724B0ECA"/>
    <w:rsid w:val="72826018"/>
    <w:rsid w:val="729478A3"/>
    <w:rsid w:val="72BF37AA"/>
    <w:rsid w:val="72D2325E"/>
    <w:rsid w:val="72D37256"/>
    <w:rsid w:val="72EE806E"/>
    <w:rsid w:val="73072668"/>
    <w:rsid w:val="73457F21"/>
    <w:rsid w:val="735EEB71"/>
    <w:rsid w:val="73813156"/>
    <w:rsid w:val="739C1D3D"/>
    <w:rsid w:val="73A11102"/>
    <w:rsid w:val="73C57236"/>
    <w:rsid w:val="73CF4944"/>
    <w:rsid w:val="73E44676"/>
    <w:rsid w:val="73EF3ED2"/>
    <w:rsid w:val="742D6CD7"/>
    <w:rsid w:val="74660111"/>
    <w:rsid w:val="74795BDB"/>
    <w:rsid w:val="7487E731"/>
    <w:rsid w:val="74964543"/>
    <w:rsid w:val="749A44CF"/>
    <w:rsid w:val="74B44E65"/>
    <w:rsid w:val="74FDE12E"/>
    <w:rsid w:val="751111F2"/>
    <w:rsid w:val="752E2E69"/>
    <w:rsid w:val="754AAEFA"/>
    <w:rsid w:val="756B19C7"/>
    <w:rsid w:val="75797C0B"/>
    <w:rsid w:val="75AE0795"/>
    <w:rsid w:val="75AE7CEF"/>
    <w:rsid w:val="75BA645C"/>
    <w:rsid w:val="75BFF3DC"/>
    <w:rsid w:val="75D76114"/>
    <w:rsid w:val="75DE03EB"/>
    <w:rsid w:val="75DFF729"/>
    <w:rsid w:val="75EC66B6"/>
    <w:rsid w:val="75EFB60F"/>
    <w:rsid w:val="75FC99B9"/>
    <w:rsid w:val="75FF7662"/>
    <w:rsid w:val="75FFA3E0"/>
    <w:rsid w:val="760D1285"/>
    <w:rsid w:val="7618C8DE"/>
    <w:rsid w:val="76524935"/>
    <w:rsid w:val="76713B41"/>
    <w:rsid w:val="76961ABF"/>
    <w:rsid w:val="769DBC11"/>
    <w:rsid w:val="76CC01DA"/>
    <w:rsid w:val="76DC4055"/>
    <w:rsid w:val="76DF01CD"/>
    <w:rsid w:val="76EF12E2"/>
    <w:rsid w:val="771B11CB"/>
    <w:rsid w:val="776963DA"/>
    <w:rsid w:val="777204D2"/>
    <w:rsid w:val="779270E1"/>
    <w:rsid w:val="77B70883"/>
    <w:rsid w:val="77BFA8BA"/>
    <w:rsid w:val="77CB5BB3"/>
    <w:rsid w:val="77D5B118"/>
    <w:rsid w:val="77D9162F"/>
    <w:rsid w:val="77D9167E"/>
    <w:rsid w:val="77DDB234"/>
    <w:rsid w:val="77DDB7C7"/>
    <w:rsid w:val="77ECD694"/>
    <w:rsid w:val="77FD3DB6"/>
    <w:rsid w:val="77FDB9BA"/>
    <w:rsid w:val="77FE96C3"/>
    <w:rsid w:val="77FF00EC"/>
    <w:rsid w:val="78181997"/>
    <w:rsid w:val="782F4F2E"/>
    <w:rsid w:val="7855070D"/>
    <w:rsid w:val="78870188"/>
    <w:rsid w:val="78A771BA"/>
    <w:rsid w:val="78CB3108"/>
    <w:rsid w:val="78CD5F89"/>
    <w:rsid w:val="78D36201"/>
    <w:rsid w:val="78D9DD2D"/>
    <w:rsid w:val="78F910A8"/>
    <w:rsid w:val="790E548B"/>
    <w:rsid w:val="790E7239"/>
    <w:rsid w:val="791D1CE3"/>
    <w:rsid w:val="795814CE"/>
    <w:rsid w:val="79A78E8D"/>
    <w:rsid w:val="79BADB5B"/>
    <w:rsid w:val="79BD2A0E"/>
    <w:rsid w:val="79BF0DCF"/>
    <w:rsid w:val="79EF322C"/>
    <w:rsid w:val="79EFF1E7"/>
    <w:rsid w:val="79FF27DF"/>
    <w:rsid w:val="7A13262E"/>
    <w:rsid w:val="7A263110"/>
    <w:rsid w:val="7A4D543F"/>
    <w:rsid w:val="7A4F1BE2"/>
    <w:rsid w:val="7AA7DDB2"/>
    <w:rsid w:val="7AAD3585"/>
    <w:rsid w:val="7AB67B89"/>
    <w:rsid w:val="7ADAC4C1"/>
    <w:rsid w:val="7AE446F6"/>
    <w:rsid w:val="7AE75F94"/>
    <w:rsid w:val="7AFEC050"/>
    <w:rsid w:val="7B3B1699"/>
    <w:rsid w:val="7B440643"/>
    <w:rsid w:val="7B6BEC4B"/>
    <w:rsid w:val="7B77B89D"/>
    <w:rsid w:val="7BA7EC7E"/>
    <w:rsid w:val="7BAE0860"/>
    <w:rsid w:val="7BBF75B5"/>
    <w:rsid w:val="7BC55F08"/>
    <w:rsid w:val="7BCC6F38"/>
    <w:rsid w:val="7BE7CDA6"/>
    <w:rsid w:val="7BE974A7"/>
    <w:rsid w:val="7BF21DB1"/>
    <w:rsid w:val="7BF70CDF"/>
    <w:rsid w:val="7BF9458F"/>
    <w:rsid w:val="7BFCD6E5"/>
    <w:rsid w:val="7BFD4D46"/>
    <w:rsid w:val="7BFF0322"/>
    <w:rsid w:val="7BFF4863"/>
    <w:rsid w:val="7BFF94A9"/>
    <w:rsid w:val="7C1F744E"/>
    <w:rsid w:val="7C4A67DB"/>
    <w:rsid w:val="7C7FCD54"/>
    <w:rsid w:val="7C83836C"/>
    <w:rsid w:val="7CAB41BD"/>
    <w:rsid w:val="7CB9570E"/>
    <w:rsid w:val="7CBED9B5"/>
    <w:rsid w:val="7CE34539"/>
    <w:rsid w:val="7CE705FD"/>
    <w:rsid w:val="7CE97215"/>
    <w:rsid w:val="7CEE4217"/>
    <w:rsid w:val="7CEF4D9E"/>
    <w:rsid w:val="7CF74B28"/>
    <w:rsid w:val="7CFD0A82"/>
    <w:rsid w:val="7CFFC991"/>
    <w:rsid w:val="7D133070"/>
    <w:rsid w:val="7D5A5257"/>
    <w:rsid w:val="7D7B95DF"/>
    <w:rsid w:val="7D807FDA"/>
    <w:rsid w:val="7DA0242A"/>
    <w:rsid w:val="7DAEC1CD"/>
    <w:rsid w:val="7DBB18B2"/>
    <w:rsid w:val="7DC36EAF"/>
    <w:rsid w:val="7DCEFE5A"/>
    <w:rsid w:val="7DD67643"/>
    <w:rsid w:val="7DD70FEE"/>
    <w:rsid w:val="7DDF5F19"/>
    <w:rsid w:val="7DDF9E19"/>
    <w:rsid w:val="7DFA6FF9"/>
    <w:rsid w:val="7DFC31B7"/>
    <w:rsid w:val="7DFEE555"/>
    <w:rsid w:val="7DFF72A1"/>
    <w:rsid w:val="7E1F1009"/>
    <w:rsid w:val="7E38E83D"/>
    <w:rsid w:val="7E5CD7A8"/>
    <w:rsid w:val="7E5DF138"/>
    <w:rsid w:val="7E674C95"/>
    <w:rsid w:val="7E68119A"/>
    <w:rsid w:val="7E6FDACF"/>
    <w:rsid w:val="7E741656"/>
    <w:rsid w:val="7E76F1AC"/>
    <w:rsid w:val="7E8A304E"/>
    <w:rsid w:val="7E9FA6A8"/>
    <w:rsid w:val="7EA83C8C"/>
    <w:rsid w:val="7EAB552B"/>
    <w:rsid w:val="7EB7E2E9"/>
    <w:rsid w:val="7EBB949A"/>
    <w:rsid w:val="7EBF8D68"/>
    <w:rsid w:val="7ED408D1"/>
    <w:rsid w:val="7ED5094E"/>
    <w:rsid w:val="7EDA04CB"/>
    <w:rsid w:val="7EEA7E01"/>
    <w:rsid w:val="7EEEF81B"/>
    <w:rsid w:val="7EFC5D86"/>
    <w:rsid w:val="7EFE4215"/>
    <w:rsid w:val="7EFF276E"/>
    <w:rsid w:val="7EFF4DB1"/>
    <w:rsid w:val="7EFF8F89"/>
    <w:rsid w:val="7F1D8C01"/>
    <w:rsid w:val="7F25708B"/>
    <w:rsid w:val="7F33D46B"/>
    <w:rsid w:val="7F499F52"/>
    <w:rsid w:val="7F4E6105"/>
    <w:rsid w:val="7F5E1409"/>
    <w:rsid w:val="7F5F7CD1"/>
    <w:rsid w:val="7F665B56"/>
    <w:rsid w:val="7F7A6B69"/>
    <w:rsid w:val="7F7C310D"/>
    <w:rsid w:val="7F7C3E18"/>
    <w:rsid w:val="7F7D0244"/>
    <w:rsid w:val="7F7F31A5"/>
    <w:rsid w:val="7F7FEAA3"/>
    <w:rsid w:val="7F87621E"/>
    <w:rsid w:val="7F8BBC85"/>
    <w:rsid w:val="7F9B22FA"/>
    <w:rsid w:val="7F9DCB70"/>
    <w:rsid w:val="7F9F173E"/>
    <w:rsid w:val="7F9F529B"/>
    <w:rsid w:val="7FA476E1"/>
    <w:rsid w:val="7FB03F85"/>
    <w:rsid w:val="7FB48CBC"/>
    <w:rsid w:val="7FB69F21"/>
    <w:rsid w:val="7FB99793"/>
    <w:rsid w:val="7FBCC9A8"/>
    <w:rsid w:val="7FBEC33B"/>
    <w:rsid w:val="7FBF24D0"/>
    <w:rsid w:val="7FBF2D44"/>
    <w:rsid w:val="7FBF66F7"/>
    <w:rsid w:val="7FBF8DA9"/>
    <w:rsid w:val="7FC05006"/>
    <w:rsid w:val="7FC84160"/>
    <w:rsid w:val="7FCC0B27"/>
    <w:rsid w:val="7FD1CF75"/>
    <w:rsid w:val="7FDB715D"/>
    <w:rsid w:val="7FDD7C31"/>
    <w:rsid w:val="7FDF1DC7"/>
    <w:rsid w:val="7FDFBA0D"/>
    <w:rsid w:val="7FDFEB91"/>
    <w:rsid w:val="7FE597C0"/>
    <w:rsid w:val="7FECD43C"/>
    <w:rsid w:val="7FEE550F"/>
    <w:rsid w:val="7FEF095A"/>
    <w:rsid w:val="7FF6F922"/>
    <w:rsid w:val="7FFBF4F3"/>
    <w:rsid w:val="7FFE1436"/>
    <w:rsid w:val="7FFE5161"/>
    <w:rsid w:val="7FFF7A81"/>
    <w:rsid w:val="7FFF8F2C"/>
    <w:rsid w:val="857987D1"/>
    <w:rsid w:val="8B8BF46A"/>
    <w:rsid w:val="8DDFC741"/>
    <w:rsid w:val="8FC62E1E"/>
    <w:rsid w:val="917C4045"/>
    <w:rsid w:val="95D8EA5F"/>
    <w:rsid w:val="973A891C"/>
    <w:rsid w:val="987DE569"/>
    <w:rsid w:val="9B3D8AB4"/>
    <w:rsid w:val="9B5F4B72"/>
    <w:rsid w:val="9DFE704F"/>
    <w:rsid w:val="9ED77037"/>
    <w:rsid w:val="9EE98282"/>
    <w:rsid w:val="9F7F9F50"/>
    <w:rsid w:val="9FF12100"/>
    <w:rsid w:val="9FFBED4A"/>
    <w:rsid w:val="A3D072AE"/>
    <w:rsid w:val="A3F482C9"/>
    <w:rsid w:val="A3FF7002"/>
    <w:rsid w:val="A6EE4F9B"/>
    <w:rsid w:val="A78BD97E"/>
    <w:rsid w:val="AD751FF8"/>
    <w:rsid w:val="AEEF4CBE"/>
    <w:rsid w:val="AF7B3AB3"/>
    <w:rsid w:val="AF87386F"/>
    <w:rsid w:val="AF9DB75B"/>
    <w:rsid w:val="AF9F0B39"/>
    <w:rsid w:val="AFFB20BD"/>
    <w:rsid w:val="AFFF883F"/>
    <w:rsid w:val="AFFFE6DB"/>
    <w:rsid w:val="B1BFE493"/>
    <w:rsid w:val="B1FB434A"/>
    <w:rsid w:val="B4369F75"/>
    <w:rsid w:val="B53E6DD7"/>
    <w:rsid w:val="B56704ED"/>
    <w:rsid w:val="B5F66079"/>
    <w:rsid w:val="B687365C"/>
    <w:rsid w:val="B6ACEF27"/>
    <w:rsid w:val="B777C81B"/>
    <w:rsid w:val="B7BFAF9E"/>
    <w:rsid w:val="B7EDFEE9"/>
    <w:rsid w:val="B7F1665E"/>
    <w:rsid w:val="B7F7025B"/>
    <w:rsid w:val="B8ED9877"/>
    <w:rsid w:val="B9F788F7"/>
    <w:rsid w:val="BABF6F68"/>
    <w:rsid w:val="BADC9C78"/>
    <w:rsid w:val="BADF4E2B"/>
    <w:rsid w:val="BAEFAE7E"/>
    <w:rsid w:val="BAF710C2"/>
    <w:rsid w:val="BB3E8837"/>
    <w:rsid w:val="BB5EAC76"/>
    <w:rsid w:val="BBD79D2B"/>
    <w:rsid w:val="BBDDCDB1"/>
    <w:rsid w:val="BBF5466B"/>
    <w:rsid w:val="BBFBAA44"/>
    <w:rsid w:val="BD1AE685"/>
    <w:rsid w:val="BDA98C9E"/>
    <w:rsid w:val="BDB7891E"/>
    <w:rsid w:val="BE8F97B6"/>
    <w:rsid w:val="BEBE59C8"/>
    <w:rsid w:val="BEFE11D7"/>
    <w:rsid w:val="BF2FAED1"/>
    <w:rsid w:val="BF5A9051"/>
    <w:rsid w:val="BF5B3100"/>
    <w:rsid w:val="BF6F5D3B"/>
    <w:rsid w:val="BF7F0B30"/>
    <w:rsid w:val="BF7F0F57"/>
    <w:rsid w:val="BF7F3F0E"/>
    <w:rsid w:val="BFBE8B52"/>
    <w:rsid w:val="BFC75C17"/>
    <w:rsid w:val="BFD515BA"/>
    <w:rsid w:val="BFDAFE81"/>
    <w:rsid w:val="BFE903B6"/>
    <w:rsid w:val="BFEB5591"/>
    <w:rsid w:val="BFF5CF8C"/>
    <w:rsid w:val="BFF965AE"/>
    <w:rsid w:val="C37F6F74"/>
    <w:rsid w:val="C3FE9796"/>
    <w:rsid w:val="C6DDA747"/>
    <w:rsid w:val="C736BE2C"/>
    <w:rsid w:val="C7698026"/>
    <w:rsid w:val="C7993751"/>
    <w:rsid w:val="C7EB32B6"/>
    <w:rsid w:val="C7F7F813"/>
    <w:rsid w:val="C7FC54D2"/>
    <w:rsid w:val="C9F795BE"/>
    <w:rsid w:val="CAE9DF01"/>
    <w:rsid w:val="CB9E2DD0"/>
    <w:rsid w:val="CBAB6322"/>
    <w:rsid w:val="CBC2040B"/>
    <w:rsid w:val="CD4F101C"/>
    <w:rsid w:val="CDED03AB"/>
    <w:rsid w:val="CF3DC3A4"/>
    <w:rsid w:val="CFCD9B30"/>
    <w:rsid w:val="D10D4427"/>
    <w:rsid w:val="D14594F9"/>
    <w:rsid w:val="D37DFF00"/>
    <w:rsid w:val="D37E3C57"/>
    <w:rsid w:val="D39FE2BD"/>
    <w:rsid w:val="D53DD4A1"/>
    <w:rsid w:val="D53E94B6"/>
    <w:rsid w:val="D57F45F2"/>
    <w:rsid w:val="D5BF8457"/>
    <w:rsid w:val="D617BCB4"/>
    <w:rsid w:val="D6B5BB47"/>
    <w:rsid w:val="D72BDA60"/>
    <w:rsid w:val="D73E9632"/>
    <w:rsid w:val="D77584A8"/>
    <w:rsid w:val="D7BB24A1"/>
    <w:rsid w:val="D7FB2A74"/>
    <w:rsid w:val="D8E58685"/>
    <w:rsid w:val="D8F72A72"/>
    <w:rsid w:val="D9EF2048"/>
    <w:rsid w:val="DAF7F3AD"/>
    <w:rsid w:val="DB9DA467"/>
    <w:rsid w:val="DBA7CF79"/>
    <w:rsid w:val="DBA9792B"/>
    <w:rsid w:val="DBB0600D"/>
    <w:rsid w:val="DBBFF025"/>
    <w:rsid w:val="DBE9CAC6"/>
    <w:rsid w:val="DBFF0AB3"/>
    <w:rsid w:val="DCDF4AAC"/>
    <w:rsid w:val="DDBCE58D"/>
    <w:rsid w:val="DDE8A27B"/>
    <w:rsid w:val="DDFA1E5E"/>
    <w:rsid w:val="DDFD7B2A"/>
    <w:rsid w:val="DE5F2375"/>
    <w:rsid w:val="DE7DEB27"/>
    <w:rsid w:val="DEB3E847"/>
    <w:rsid w:val="DEBA15AD"/>
    <w:rsid w:val="DEBDCEDF"/>
    <w:rsid w:val="DEDF25A3"/>
    <w:rsid w:val="DEF38269"/>
    <w:rsid w:val="DEFCC0BB"/>
    <w:rsid w:val="DEFF5767"/>
    <w:rsid w:val="DF3B071C"/>
    <w:rsid w:val="DF3FA0C3"/>
    <w:rsid w:val="DF7B4C00"/>
    <w:rsid w:val="DF7D316A"/>
    <w:rsid w:val="DF7DDFEA"/>
    <w:rsid w:val="DF7E572D"/>
    <w:rsid w:val="DF97E129"/>
    <w:rsid w:val="DF9D9F10"/>
    <w:rsid w:val="DFB5D7CD"/>
    <w:rsid w:val="DFEA699B"/>
    <w:rsid w:val="DFEF884A"/>
    <w:rsid w:val="DFEF94F5"/>
    <w:rsid w:val="DFF6FB85"/>
    <w:rsid w:val="DFF75AAA"/>
    <w:rsid w:val="DFF944BE"/>
    <w:rsid w:val="DFF9B388"/>
    <w:rsid w:val="DFFB50D9"/>
    <w:rsid w:val="DFFB81E0"/>
    <w:rsid w:val="DFFE563F"/>
    <w:rsid w:val="DFFFCD23"/>
    <w:rsid w:val="DFFFDBBD"/>
    <w:rsid w:val="E33E5B73"/>
    <w:rsid w:val="E3D77675"/>
    <w:rsid w:val="E5CFBA06"/>
    <w:rsid w:val="E67DA264"/>
    <w:rsid w:val="E67E277D"/>
    <w:rsid w:val="E67F37B8"/>
    <w:rsid w:val="E6DEF89F"/>
    <w:rsid w:val="E6FDABF8"/>
    <w:rsid w:val="E7ECFF4B"/>
    <w:rsid w:val="E7FC895A"/>
    <w:rsid w:val="E8BF9610"/>
    <w:rsid w:val="E96B16EB"/>
    <w:rsid w:val="E9B4AF1C"/>
    <w:rsid w:val="E9DDCF4C"/>
    <w:rsid w:val="E9EEADD5"/>
    <w:rsid w:val="E9EF9A90"/>
    <w:rsid w:val="E9FF4F90"/>
    <w:rsid w:val="EA2DBF8A"/>
    <w:rsid w:val="EA77D993"/>
    <w:rsid w:val="EBE76AE9"/>
    <w:rsid w:val="EBFF1507"/>
    <w:rsid w:val="ECAFF8D1"/>
    <w:rsid w:val="ECE3C7D2"/>
    <w:rsid w:val="ED01A041"/>
    <w:rsid w:val="ED77C2C5"/>
    <w:rsid w:val="EDBDAA78"/>
    <w:rsid w:val="EDE93E33"/>
    <w:rsid w:val="EDF3BCD9"/>
    <w:rsid w:val="EDFB1A59"/>
    <w:rsid w:val="EE3CBE64"/>
    <w:rsid w:val="EE7D4922"/>
    <w:rsid w:val="EE7DC637"/>
    <w:rsid w:val="EEFF3122"/>
    <w:rsid w:val="EF3DCB67"/>
    <w:rsid w:val="EF483ABF"/>
    <w:rsid w:val="EF6F7731"/>
    <w:rsid w:val="EF9F92D8"/>
    <w:rsid w:val="EFAF01C4"/>
    <w:rsid w:val="EFBF92C0"/>
    <w:rsid w:val="EFD8F4BC"/>
    <w:rsid w:val="EFDF4414"/>
    <w:rsid w:val="EFE17BCE"/>
    <w:rsid w:val="EFE9FF0B"/>
    <w:rsid w:val="EFEAE57C"/>
    <w:rsid w:val="EFED1EA8"/>
    <w:rsid w:val="EFEF4A7E"/>
    <w:rsid w:val="EFEF64F6"/>
    <w:rsid w:val="EFF5E105"/>
    <w:rsid w:val="EFF7D64C"/>
    <w:rsid w:val="EFFE6CE7"/>
    <w:rsid w:val="EFFF94B6"/>
    <w:rsid w:val="F17589AE"/>
    <w:rsid w:val="F26D6769"/>
    <w:rsid w:val="F2BE3F94"/>
    <w:rsid w:val="F2F61783"/>
    <w:rsid w:val="F30E0F2B"/>
    <w:rsid w:val="F3BF894B"/>
    <w:rsid w:val="F3CE6641"/>
    <w:rsid w:val="F4D9D5BA"/>
    <w:rsid w:val="F5566CD8"/>
    <w:rsid w:val="F5AFCE0E"/>
    <w:rsid w:val="F5DFFD5B"/>
    <w:rsid w:val="F5E7F927"/>
    <w:rsid w:val="F5FEA44B"/>
    <w:rsid w:val="F5FF76D9"/>
    <w:rsid w:val="F6A4BE8A"/>
    <w:rsid w:val="F6F311E6"/>
    <w:rsid w:val="F6FB4904"/>
    <w:rsid w:val="F6FD9A00"/>
    <w:rsid w:val="F74700F9"/>
    <w:rsid w:val="F76BB24F"/>
    <w:rsid w:val="F76F26AB"/>
    <w:rsid w:val="F77C62FB"/>
    <w:rsid w:val="F77E26B3"/>
    <w:rsid w:val="F77F7106"/>
    <w:rsid w:val="F7A738F1"/>
    <w:rsid w:val="F7B62087"/>
    <w:rsid w:val="F7D92B79"/>
    <w:rsid w:val="F7EBD7E2"/>
    <w:rsid w:val="F7EFF6EE"/>
    <w:rsid w:val="F7FEF66E"/>
    <w:rsid w:val="F7FF929A"/>
    <w:rsid w:val="F87FAF3A"/>
    <w:rsid w:val="F95FF012"/>
    <w:rsid w:val="F96E2CC4"/>
    <w:rsid w:val="F9DBC44C"/>
    <w:rsid w:val="F9EB62C4"/>
    <w:rsid w:val="F9FF9851"/>
    <w:rsid w:val="FA3D8918"/>
    <w:rsid w:val="FA7B6779"/>
    <w:rsid w:val="FAFF227D"/>
    <w:rsid w:val="FB32EE10"/>
    <w:rsid w:val="FB366618"/>
    <w:rsid w:val="FB3BFB9C"/>
    <w:rsid w:val="FB3F3A7A"/>
    <w:rsid w:val="FB5E19DC"/>
    <w:rsid w:val="FB632B17"/>
    <w:rsid w:val="FB9D551E"/>
    <w:rsid w:val="FBBA9CA0"/>
    <w:rsid w:val="FBBC56CE"/>
    <w:rsid w:val="FBDBE92D"/>
    <w:rsid w:val="FBEF0A7E"/>
    <w:rsid w:val="FBEFC74A"/>
    <w:rsid w:val="FBF5CFC6"/>
    <w:rsid w:val="FBF60152"/>
    <w:rsid w:val="FBFBACA4"/>
    <w:rsid w:val="FBFD10EB"/>
    <w:rsid w:val="FBFEFFDA"/>
    <w:rsid w:val="FC36BAFA"/>
    <w:rsid w:val="FCE6CDAB"/>
    <w:rsid w:val="FCF3C861"/>
    <w:rsid w:val="FCFFA898"/>
    <w:rsid w:val="FD38D148"/>
    <w:rsid w:val="FD556F22"/>
    <w:rsid w:val="FD9F627A"/>
    <w:rsid w:val="FDA24754"/>
    <w:rsid w:val="FDA7AC95"/>
    <w:rsid w:val="FDBFBA03"/>
    <w:rsid w:val="FDCFF7DE"/>
    <w:rsid w:val="FDEC55CB"/>
    <w:rsid w:val="FDF16B4F"/>
    <w:rsid w:val="FDF20EA6"/>
    <w:rsid w:val="FDF6AF1B"/>
    <w:rsid w:val="FDFA1759"/>
    <w:rsid w:val="FDFC3848"/>
    <w:rsid w:val="FDFD83BC"/>
    <w:rsid w:val="FDFF3ADE"/>
    <w:rsid w:val="FDFF58E2"/>
    <w:rsid w:val="FE4F35F2"/>
    <w:rsid w:val="FE5D298E"/>
    <w:rsid w:val="FE67CF19"/>
    <w:rsid w:val="FEBF0649"/>
    <w:rsid w:val="FEBF4A3C"/>
    <w:rsid w:val="FECF7BD8"/>
    <w:rsid w:val="FEDBD028"/>
    <w:rsid w:val="FEDCAAE7"/>
    <w:rsid w:val="FEDEE798"/>
    <w:rsid w:val="FEED2BA9"/>
    <w:rsid w:val="FEF9116E"/>
    <w:rsid w:val="FEFBCAC9"/>
    <w:rsid w:val="FEFE1F6A"/>
    <w:rsid w:val="FEFF76F7"/>
    <w:rsid w:val="FEFF97C7"/>
    <w:rsid w:val="FF2E0743"/>
    <w:rsid w:val="FF31F360"/>
    <w:rsid w:val="FF4722BE"/>
    <w:rsid w:val="FF4D69EA"/>
    <w:rsid w:val="FF56CD7B"/>
    <w:rsid w:val="FF5A7C59"/>
    <w:rsid w:val="FF5DD0ED"/>
    <w:rsid w:val="FF5F5335"/>
    <w:rsid w:val="FF6E5908"/>
    <w:rsid w:val="FF6F4121"/>
    <w:rsid w:val="FF791DD9"/>
    <w:rsid w:val="FF79FC02"/>
    <w:rsid w:val="FF7FA890"/>
    <w:rsid w:val="FF9AB578"/>
    <w:rsid w:val="FFAFF288"/>
    <w:rsid w:val="FFB37206"/>
    <w:rsid w:val="FFB4CC49"/>
    <w:rsid w:val="FFB70ED4"/>
    <w:rsid w:val="FFBAB613"/>
    <w:rsid w:val="FFBB5188"/>
    <w:rsid w:val="FFBB6663"/>
    <w:rsid w:val="FFBBA70E"/>
    <w:rsid w:val="FFBDAE4F"/>
    <w:rsid w:val="FFBF2424"/>
    <w:rsid w:val="FFCBDC3F"/>
    <w:rsid w:val="FFCBFD57"/>
    <w:rsid w:val="FFCFA20C"/>
    <w:rsid w:val="FFD9AFA8"/>
    <w:rsid w:val="FFDBD6C3"/>
    <w:rsid w:val="FFE54007"/>
    <w:rsid w:val="FFE75570"/>
    <w:rsid w:val="FFE9EF0A"/>
    <w:rsid w:val="FFEFEEA8"/>
    <w:rsid w:val="FFF3D5B1"/>
    <w:rsid w:val="FFF6AE1C"/>
    <w:rsid w:val="FFF77F73"/>
    <w:rsid w:val="FFF7DE26"/>
    <w:rsid w:val="FFFB2C68"/>
    <w:rsid w:val="FFFDC3D2"/>
    <w:rsid w:val="FFFE696C"/>
    <w:rsid w:val="FFFF0FF5"/>
    <w:rsid w:val="FFFF79EE"/>
    <w:rsid w:val="FFFF9F9E"/>
    <w:rsid w:val="FFFFAC3C"/>
    <w:rsid w:val="FFFFE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 w:hAnsi="仿宋" w:eastAsia="宋体" w:cs="Times New Roman"/>
      <w:kern w:val="0"/>
      <w:sz w:val="28"/>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next w:val="3"/>
    <w:semiHidden/>
    <w:qFormat/>
    <w:uiPriority w:val="0"/>
    <w:rPr>
      <w:rFonts w:ascii="仿宋" w:hAnsi="仿宋" w:eastAsia="仿宋" w:cs="仿宋"/>
      <w:sz w:val="31"/>
      <w:szCs w:val="31"/>
      <w:lang w:val="en-US" w:eastAsia="en-US" w:bidi="ar-SA"/>
    </w:rPr>
  </w:style>
  <w:style w:type="paragraph" w:styleId="3">
    <w:name w:val="toc 5"/>
    <w:basedOn w:val="1"/>
    <w:next w:val="1"/>
    <w:qFormat/>
    <w:uiPriority w:val="0"/>
    <w:pPr>
      <w:ind w:left="1680" w:leftChars="800"/>
    </w:pPr>
  </w:style>
  <w:style w:type="paragraph" w:styleId="4">
    <w:name w:val="toa heading"/>
    <w:basedOn w:val="1"/>
    <w:next w:val="1"/>
    <w:qFormat/>
    <w:uiPriority w:val="99"/>
    <w:pPr>
      <w:spacing w:before="120" w:after="200" w:line="276" w:lineRule="auto"/>
    </w:pPr>
    <w:rPr>
      <w:rFonts w:ascii="Arial" w:hAnsi="Arial"/>
      <w:sz w:val="24"/>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10">
    <w:name w:val="列出段落1"/>
    <w:basedOn w:val="1"/>
    <w:qFormat/>
    <w:uiPriority w:val="34"/>
    <w:pPr>
      <w:ind w:firstLine="420" w:firstLineChars="200"/>
    </w:pPr>
  </w:style>
  <w:style w:type="paragraph" w:styleId="11">
    <w:name w:val="List Paragraph"/>
    <w:basedOn w:val="1"/>
    <w:qFormat/>
    <w:uiPriority w:val="99"/>
    <w:pPr>
      <w:ind w:firstLine="420" w:firstLineChars="200"/>
    </w:pPr>
    <w:rPr>
      <w:rFonts w:ascii="Calibri" w:hAnsi="Calibri"/>
      <w:szCs w:val="22"/>
    </w:rPr>
  </w:style>
  <w:style w:type="paragraph" w:customStyle="1" w:styleId="12">
    <w:name w:val="Table Text"/>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6499</Words>
  <Characters>6841</Characters>
  <Lines>0</Lines>
  <Paragraphs>0</Paragraphs>
  <TotalTime>13</TotalTime>
  <ScaleCrop>false</ScaleCrop>
  <LinksUpToDate>false</LinksUpToDate>
  <CharactersWithSpaces>7057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2024-03-24T16:36:00Z</dcterms:created>
  <dc:creator>Administrator</dc:creator>
  <cp:lastModifiedBy>kylin</cp:lastModifiedBy>
  <cp:lastPrinted>2025-05-01T02:16:00Z</cp:lastPrinted>
  <dcterms:modified xsi:type="dcterms:W3CDTF">2025-06-26T11:19:54Z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6182D3A10D564617983F46DEE354AEAF</vt:lpwstr>
  </property>
  <property fmtid="{D5CDD505-2E9C-101B-9397-08002B2CF9AE}" pid="4" name="KSOTemplateDocerSaveRecord">
    <vt:lpwstr>eyJoZGlkIjoiMTQ5OTBlMjkxOGJkZTY2YWVjYTkxNWZjODEzNjkwZDciLCJ1c2VySWQiOiI3MzkwMTIwMjYifQ==</vt:lpwstr>
  </property>
</Properties>
</file>