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BF9EC">
      <w:pPr>
        <w:jc w:val="center"/>
        <w:rPr>
          <w:rFonts w:hint="eastAsia" w:ascii="方正小标宋简体" w:hAnsi="方正小标宋简体" w:eastAsia="方正小标宋简体" w:cs="方正小标宋简体"/>
          <w:sz w:val="44"/>
          <w:szCs w:val="44"/>
        </w:rPr>
      </w:pPr>
    </w:p>
    <w:p w14:paraId="735D873B">
      <w:pPr>
        <w:jc w:val="center"/>
        <w:rPr>
          <w:rFonts w:hint="eastAsia" w:ascii="方正小标宋简体" w:hAnsi="方正小标宋简体" w:eastAsia="方正小标宋简体" w:cs="方正小标宋简体"/>
          <w:sz w:val="44"/>
          <w:szCs w:val="44"/>
        </w:rPr>
      </w:pPr>
    </w:p>
    <w:p w14:paraId="7B8E918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default" w:ascii="方正小标宋简体" w:hAnsi="方正小标宋简体" w:eastAsia="方正小标宋简体" w:cs="方正小标宋简体"/>
          <w:sz w:val="44"/>
          <w:szCs w:val="44"/>
          <w:lang w:val="e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color w:val="000000"/>
          <w:sz w:val="44"/>
          <w:szCs w:val="44"/>
        </w:rPr>
        <w:t>岳阳市城市管理和综合执法局湖南城陵矶新港区分局</w:t>
      </w:r>
      <w:r>
        <w:rPr>
          <w:rFonts w:hint="eastAsia" w:ascii="方正小标宋简体" w:hAnsi="方正小标宋简体" w:eastAsia="方正小标宋简体" w:cs="方正小标宋简体"/>
          <w:sz w:val="44"/>
          <w:szCs w:val="44"/>
        </w:rPr>
        <w:t>整体支出绩效自评</w:t>
      </w:r>
    </w:p>
    <w:p w14:paraId="0B36F32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告</w:t>
      </w:r>
    </w:p>
    <w:p w14:paraId="4FEC9C70">
      <w:pPr>
        <w:jc w:val="center"/>
        <w:rPr>
          <w:rFonts w:hint="default" w:ascii="Times New Roman" w:hAnsi="Times New Roman" w:eastAsia="方正小标宋_GBK" w:cs="Times New Roman"/>
          <w:b/>
          <w:sz w:val="52"/>
          <w:szCs w:val="52"/>
        </w:rPr>
      </w:pPr>
    </w:p>
    <w:p w14:paraId="48FFC71B">
      <w:pPr>
        <w:jc w:val="center"/>
        <w:rPr>
          <w:rFonts w:hint="default" w:ascii="Times New Roman" w:hAnsi="Times New Roman" w:eastAsia="楷体_GB2312" w:cs="Times New Roman"/>
          <w:b/>
          <w:sz w:val="32"/>
          <w:szCs w:val="32"/>
        </w:rPr>
      </w:pPr>
    </w:p>
    <w:p w14:paraId="4EA556E2">
      <w:pPr>
        <w:jc w:val="center"/>
        <w:rPr>
          <w:rFonts w:hint="default" w:ascii="Times New Roman" w:hAnsi="Times New Roman" w:eastAsia="楷体_GB2312" w:cs="Times New Roman"/>
          <w:b/>
          <w:sz w:val="32"/>
          <w:szCs w:val="32"/>
        </w:rPr>
      </w:pPr>
    </w:p>
    <w:p w14:paraId="0487E264">
      <w:pPr>
        <w:jc w:val="center"/>
        <w:rPr>
          <w:rFonts w:hint="default" w:ascii="Times New Roman" w:hAnsi="Times New Roman" w:eastAsia="楷体_GB2312" w:cs="Times New Roman"/>
          <w:b/>
          <w:sz w:val="32"/>
          <w:szCs w:val="32"/>
        </w:rPr>
      </w:pPr>
    </w:p>
    <w:p w14:paraId="616D198E">
      <w:pPr>
        <w:jc w:val="center"/>
        <w:rPr>
          <w:rFonts w:hint="default" w:ascii="Times New Roman" w:hAnsi="Times New Roman" w:eastAsia="楷体_GB2312" w:cs="Times New Roman"/>
          <w:b/>
          <w:sz w:val="32"/>
          <w:szCs w:val="32"/>
        </w:rPr>
      </w:pPr>
    </w:p>
    <w:p w14:paraId="112E3AB1">
      <w:pPr>
        <w:jc w:val="center"/>
        <w:rPr>
          <w:rFonts w:hint="default" w:ascii="Times New Roman" w:hAnsi="Times New Roman" w:eastAsia="楷体_GB2312" w:cs="Times New Roman"/>
          <w:b/>
          <w:sz w:val="32"/>
          <w:szCs w:val="32"/>
        </w:rPr>
      </w:pPr>
    </w:p>
    <w:p w14:paraId="11570326">
      <w:pPr>
        <w:jc w:val="center"/>
        <w:rPr>
          <w:rFonts w:hint="default" w:ascii="Times New Roman" w:hAnsi="Times New Roman" w:eastAsia="楷体_GB2312" w:cs="Times New Roman"/>
          <w:b/>
          <w:sz w:val="32"/>
          <w:szCs w:val="32"/>
        </w:rPr>
      </w:pPr>
    </w:p>
    <w:p w14:paraId="03E07BD5">
      <w:pPr>
        <w:jc w:val="both"/>
        <w:rPr>
          <w:rFonts w:hint="default" w:ascii="Times New Roman" w:hAnsi="Times New Roman" w:eastAsia="黑体" w:cs="Times New Roman"/>
          <w:sz w:val="32"/>
          <w:szCs w:val="32"/>
        </w:rPr>
      </w:pPr>
    </w:p>
    <w:p w14:paraId="7D0091E8">
      <w:pPr>
        <w:jc w:val="both"/>
        <w:rPr>
          <w:rFonts w:hint="default" w:ascii="Times New Roman" w:hAnsi="Times New Roman" w:eastAsia="黑体" w:cs="Times New Roman"/>
          <w:sz w:val="32"/>
          <w:szCs w:val="32"/>
        </w:rPr>
      </w:pPr>
    </w:p>
    <w:p w14:paraId="47FE2870">
      <w:pPr>
        <w:jc w:val="center"/>
        <w:rPr>
          <w:rFonts w:hint="default" w:ascii="Times New Roman" w:hAnsi="Times New Roman" w:eastAsia="黑体" w:cs="Times New Roman"/>
          <w:sz w:val="32"/>
          <w:szCs w:val="32"/>
        </w:rPr>
      </w:pPr>
    </w:p>
    <w:p w14:paraId="1B49E43D">
      <w:pPr>
        <w:spacing w:line="600" w:lineRule="exact"/>
        <w:jc w:val="center"/>
        <w:rPr>
          <w:rFonts w:hint="eastAsia" w:ascii="方正小标宋简体" w:hAnsi="方正小标宋简体" w:eastAsia="方正小标宋简体" w:cs="方正小标宋简体"/>
          <w:color w:val="000000"/>
          <w:sz w:val="32"/>
          <w:szCs w:val="32"/>
          <w:u w:val="single"/>
        </w:rPr>
      </w:pPr>
      <w:r>
        <w:rPr>
          <w:rFonts w:hint="eastAsia" w:ascii="方正小标宋简体" w:hAnsi="方正小标宋简体" w:eastAsia="方正小标宋简体" w:cs="方正小标宋简体"/>
          <w:sz w:val="32"/>
          <w:szCs w:val="32"/>
        </w:rPr>
        <w:t>单位名称：</w:t>
      </w:r>
      <w:r>
        <w:rPr>
          <w:rFonts w:hint="eastAsia" w:ascii="方正小标宋简体" w:hAnsi="方正小标宋简体" w:eastAsia="方正小标宋简体" w:cs="方正小标宋简体"/>
          <w:color w:val="000000"/>
          <w:sz w:val="32"/>
          <w:szCs w:val="32"/>
          <w:u w:val="single"/>
        </w:rPr>
        <w:t>岳阳市城市管理和综合执法局</w:t>
      </w:r>
    </w:p>
    <w:p w14:paraId="14F2FABB">
      <w:pPr>
        <w:spacing w:line="600" w:lineRule="exact"/>
        <w:jc w:val="left"/>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color w:val="000000"/>
          <w:sz w:val="32"/>
          <w:szCs w:val="32"/>
          <w:u w:val="none"/>
          <w:lang w:val="en-US" w:eastAsia="zh-CN"/>
        </w:rPr>
        <w:t xml:space="preserve">                 </w:t>
      </w:r>
      <w:r>
        <w:rPr>
          <w:rFonts w:hint="eastAsia" w:ascii="方正小标宋简体" w:hAnsi="方正小标宋简体" w:eastAsia="方正小标宋简体" w:cs="方正小标宋简体"/>
          <w:color w:val="000000"/>
          <w:sz w:val="32"/>
          <w:szCs w:val="32"/>
          <w:u w:val="single"/>
        </w:rPr>
        <w:t>湖南城陵矶新港区分局</w:t>
      </w:r>
      <w:r>
        <w:rPr>
          <w:rFonts w:hint="eastAsia" w:ascii="方正小标宋简体" w:hAnsi="方正小标宋简体" w:eastAsia="方正小标宋简体" w:cs="方正小标宋简体"/>
          <w:color w:val="000000"/>
          <w:sz w:val="32"/>
          <w:szCs w:val="32"/>
          <w:u w:val="single"/>
          <w:lang w:val="en-US" w:eastAsia="zh-CN"/>
        </w:rPr>
        <w:t xml:space="preserve">       </w:t>
      </w:r>
    </w:p>
    <w:p w14:paraId="5DDA46DE">
      <w:pPr>
        <w:pStyle w:val="2"/>
        <w:jc w:val="left"/>
        <w:rPr>
          <w:rFonts w:hint="eastAsia" w:ascii="方正小标宋简体" w:hAnsi="方正小标宋简体" w:eastAsia="方正小标宋简体" w:cs="方正小标宋简体"/>
        </w:rPr>
      </w:pPr>
    </w:p>
    <w:p w14:paraId="3EB930B7">
      <w:pPr>
        <w:spacing w:line="6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202</w:t>
      </w:r>
      <w:r>
        <w:rPr>
          <w:rFonts w:hint="default" w:ascii="方正小标宋简体" w:hAnsi="方正小标宋简体" w:eastAsia="方正小标宋简体" w:cs="方正小标宋简体"/>
          <w:sz w:val="32"/>
          <w:szCs w:val="32"/>
          <w:lang w:val="en" w:eastAsia="zh-CN"/>
        </w:rPr>
        <w:t>5</w:t>
      </w:r>
      <w:r>
        <w:rPr>
          <w:rFonts w:hint="eastAsia" w:ascii="方正小标宋简体" w:hAnsi="方正小标宋简体" w:eastAsia="方正小标宋简体" w:cs="方正小标宋简体"/>
          <w:sz w:val="32"/>
          <w:szCs w:val="32"/>
        </w:rPr>
        <w:t>年</w:t>
      </w:r>
      <w:r>
        <w:rPr>
          <w:rFonts w:hint="eastAsia" w:ascii="方正小标宋简体" w:hAnsi="方正小标宋简体" w:eastAsia="方正小标宋简体" w:cs="方正小标宋简体"/>
          <w:sz w:val="32"/>
          <w:szCs w:val="32"/>
          <w:lang w:val="en-US" w:eastAsia="zh-CN"/>
        </w:rPr>
        <w:t>6</w:t>
      </w:r>
      <w:r>
        <w:rPr>
          <w:rFonts w:hint="eastAsia" w:ascii="方正小标宋简体" w:hAnsi="方正小标宋简体" w:eastAsia="方正小标宋简体" w:cs="方正小标宋简体"/>
          <w:sz w:val="32"/>
          <w:szCs w:val="32"/>
        </w:rPr>
        <w:t>月</w:t>
      </w:r>
      <w:r>
        <w:rPr>
          <w:rFonts w:hint="eastAsia" w:ascii="方正小标宋简体" w:hAnsi="方正小标宋简体" w:eastAsia="方正小标宋简体" w:cs="方正小标宋简体"/>
          <w:sz w:val="32"/>
          <w:szCs w:val="32"/>
          <w:lang w:val="en-US" w:eastAsia="zh-CN"/>
        </w:rPr>
        <w:t>2</w:t>
      </w:r>
      <w:r>
        <w:rPr>
          <w:rFonts w:hint="default" w:ascii="方正小标宋简体" w:hAnsi="方正小标宋简体" w:eastAsia="方正小标宋简体" w:cs="方正小标宋简体"/>
          <w:sz w:val="32"/>
          <w:szCs w:val="32"/>
          <w:lang w:val="en" w:eastAsia="zh-CN"/>
        </w:rPr>
        <w:t>3</w:t>
      </w:r>
      <w:r>
        <w:rPr>
          <w:rFonts w:hint="eastAsia" w:ascii="方正小标宋简体" w:hAnsi="方正小标宋简体" w:eastAsia="方正小标宋简体" w:cs="方正小标宋简体"/>
          <w:sz w:val="32"/>
          <w:szCs w:val="32"/>
        </w:rPr>
        <w:t>日</w:t>
      </w:r>
    </w:p>
    <w:p w14:paraId="0490707E">
      <w:pPr>
        <w:jc w:val="center"/>
        <w:rPr>
          <w:rFonts w:hint="default" w:ascii="Times New Roman" w:hAnsi="Times New Roman" w:eastAsia="仿宋_GB2312" w:cs="Times New Roman"/>
          <w:sz w:val="32"/>
          <w:szCs w:val="32"/>
        </w:rPr>
      </w:pPr>
    </w:p>
    <w:p w14:paraId="485E0353">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lang w:eastAsia="zh-CN"/>
        </w:rPr>
        <w:sectPr>
          <w:pgSz w:w="11906" w:h="16838"/>
          <w:pgMar w:top="1440" w:right="1800" w:bottom="1440" w:left="1800" w:header="851" w:footer="992" w:gutter="0"/>
          <w:cols w:space="425" w:num="1"/>
          <w:docGrid w:type="lines" w:linePitch="312" w:charSpace="0"/>
        </w:sectPr>
      </w:pPr>
    </w:p>
    <w:p w14:paraId="3CCABA51">
      <w:pPr>
        <w:pStyle w:val="2"/>
        <w:rPr>
          <w:rFonts w:hint="eastAsia"/>
          <w:lang w:eastAsia="zh-CN"/>
        </w:rPr>
      </w:pPr>
    </w:p>
    <w:p w14:paraId="4199CECB">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202</w:t>
      </w:r>
      <w:r>
        <w:rPr>
          <w:rFonts w:hint="default" w:asciiTheme="majorEastAsia" w:hAnsiTheme="majorEastAsia" w:eastAsiaTheme="majorEastAsia" w:cstheme="majorEastAsia"/>
          <w:b/>
          <w:bCs/>
          <w:sz w:val="36"/>
          <w:szCs w:val="36"/>
          <w:lang w:val="en"/>
        </w:rPr>
        <w:t>4</w:t>
      </w:r>
      <w:r>
        <w:rPr>
          <w:rFonts w:hint="eastAsia" w:asciiTheme="majorEastAsia" w:hAnsiTheme="majorEastAsia" w:eastAsiaTheme="majorEastAsia" w:cstheme="majorEastAsia"/>
          <w:b/>
          <w:bCs/>
          <w:sz w:val="36"/>
          <w:szCs w:val="36"/>
        </w:rPr>
        <w:t>年度</w:t>
      </w:r>
      <w:r>
        <w:rPr>
          <w:rFonts w:hint="eastAsia" w:asciiTheme="majorEastAsia" w:hAnsiTheme="majorEastAsia" w:eastAsiaTheme="majorEastAsia" w:cstheme="majorEastAsia"/>
          <w:b/>
          <w:bCs/>
          <w:color w:val="000000"/>
          <w:sz w:val="36"/>
          <w:szCs w:val="36"/>
        </w:rPr>
        <w:t>岳阳市城市管理和综合执法局湖南城陵矶新港区分局</w:t>
      </w:r>
      <w:r>
        <w:rPr>
          <w:rFonts w:hint="eastAsia" w:asciiTheme="majorEastAsia" w:hAnsiTheme="majorEastAsia" w:eastAsiaTheme="majorEastAsia" w:cstheme="majorEastAsia"/>
          <w:b/>
          <w:bCs/>
          <w:sz w:val="36"/>
          <w:szCs w:val="36"/>
        </w:rPr>
        <w:t>整体支出绩效自评报告</w:t>
      </w:r>
    </w:p>
    <w:p w14:paraId="11603C6F">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1BCCBB1B">
      <w:pPr>
        <w:keepNext w:val="0"/>
        <w:keepLines w:val="0"/>
        <w:pageBreakBefore w:val="0"/>
        <w:numPr>
          <w:ilvl w:val="0"/>
          <w:numId w:val="1"/>
        </w:numPr>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单位基本情况</w:t>
      </w:r>
    </w:p>
    <w:p w14:paraId="573E612B">
      <w:pPr>
        <w:keepNext w:val="0"/>
        <w:keepLines w:val="0"/>
        <w:pageBreakBefore w:val="0"/>
        <w:widowControl/>
        <w:kinsoku/>
        <w:wordWrap/>
        <w:overflowPunct/>
        <w:topLinePunct w:val="0"/>
        <w:bidi w:val="0"/>
        <w:adjustRightInd/>
        <w:snapToGrid/>
        <w:spacing w:line="62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（一）职能职责</w:t>
      </w:r>
    </w:p>
    <w:p w14:paraId="34AF30BE">
      <w:pPr>
        <w:keepNext w:val="0"/>
        <w:keepLines w:val="0"/>
        <w:pageBreakBefore w:val="0"/>
        <w:widowControl/>
        <w:kinsoku/>
        <w:wordWrap/>
        <w:overflowPunct/>
        <w:topLinePunct w:val="0"/>
        <w:bidi w:val="0"/>
        <w:adjustRightInd/>
        <w:snapToGrid/>
        <w:spacing w:line="620" w:lineRule="exact"/>
        <w:ind w:firstLine="640" w:firstLineChars="200"/>
        <w:jc w:val="left"/>
        <w:textAlignment w:val="auto"/>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岳阳市城市管理和综合执法局湖南城陵矶新港区分局承担城陵矶新港区辖区内市容环境卫生、园林绿化、城管执法、市政公共设施维护、路灯亮化、渣土运输（道路破占道）、户外广告、城镇燃气、停车管理等职能。</w:t>
      </w:r>
    </w:p>
    <w:p w14:paraId="0AB03F86">
      <w:pPr>
        <w:keepNext w:val="0"/>
        <w:keepLines w:val="0"/>
        <w:pageBreakBefore w:val="0"/>
        <w:widowControl/>
        <w:kinsoku/>
        <w:wordWrap/>
        <w:overflowPunct/>
        <w:topLinePunct w:val="0"/>
        <w:bidi w:val="0"/>
        <w:adjustRightInd/>
        <w:snapToGrid/>
        <w:spacing w:line="620" w:lineRule="exact"/>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（二）机构设置</w:t>
      </w:r>
    </w:p>
    <w:p w14:paraId="462DBF20">
      <w:pPr>
        <w:keepNext w:val="0"/>
        <w:keepLines w:val="0"/>
        <w:pageBreakBefore w:val="0"/>
        <w:widowControl/>
        <w:kinsoku/>
        <w:wordWrap/>
        <w:overflowPunct/>
        <w:topLinePunct w:val="0"/>
        <w:bidi w:val="0"/>
        <w:adjustRightInd/>
        <w:snapToGrid/>
        <w:spacing w:line="620" w:lineRule="exact"/>
        <w:ind w:firstLine="640" w:firstLineChars="200"/>
        <w:jc w:val="left"/>
        <w:textAlignment w:val="auto"/>
        <w:rPr>
          <w:rFonts w:hint="default"/>
          <w:sz w:val="32"/>
          <w:szCs w:val="32"/>
        </w:rPr>
      </w:pPr>
      <w:r>
        <w:rPr>
          <w:rFonts w:hint="eastAsia" w:ascii="仿宋_GB2312" w:hAnsi="仿宋_GB2312" w:eastAsia="仿宋_GB2312" w:cs="仿宋_GB2312"/>
          <w:kern w:val="0"/>
          <w:sz w:val="32"/>
          <w:szCs w:val="32"/>
          <w:lang w:val="en-US" w:eastAsia="zh-CN"/>
        </w:rPr>
        <w:t>本单位为岳阳市城市管理和综合执法局直属</w:t>
      </w:r>
      <w:r>
        <w:rPr>
          <w:rFonts w:hint="eastAsia" w:ascii="仿宋_GB2312" w:hAnsi="仿宋_GB2312" w:eastAsia="仿宋_GB2312" w:cs="仿宋_GB2312"/>
          <w:kern w:val="0"/>
          <w:sz w:val="32"/>
          <w:szCs w:val="32"/>
          <w:lang w:val="zh-CN" w:eastAsia="zh-CN"/>
        </w:rPr>
        <w:t>公益一类事业单位，核定人员编制2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eastAsia="zh-CN"/>
        </w:rPr>
        <w:t>人，内设科室分别是综合股、财务股、行政审批股、维护考评股、执法一中队、执法二中队、执法三中队。</w:t>
      </w:r>
    </w:p>
    <w:p w14:paraId="05B90E2C">
      <w:pPr>
        <w:pStyle w:val="11"/>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03F11A4E">
      <w:pPr>
        <w:pStyle w:val="11"/>
        <w:keepNext w:val="0"/>
        <w:keepLines w:val="0"/>
        <w:pageBreakBefore w:val="0"/>
        <w:widowControl/>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3588F66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单位</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bCs/>
          <w:sz w:val="32"/>
          <w:szCs w:val="32"/>
          <w:lang w:val="en-US" w:eastAsia="zh-CN"/>
        </w:rPr>
        <w:t>总额为358.82</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其中人员经费支出总额为323.59万元，主要用于</w:t>
      </w:r>
      <w:r>
        <w:rPr>
          <w:rFonts w:hint="eastAsia" w:ascii="仿宋_GB2312" w:hAnsi="仿宋_GB2312" w:eastAsia="仿宋_GB2312" w:cs="仿宋_GB2312"/>
          <w:bCs/>
          <w:sz w:val="32"/>
          <w:szCs w:val="32"/>
          <w:highlight w:val="none"/>
          <w:lang w:val="en-US" w:eastAsia="zh-CN"/>
        </w:rPr>
        <w:t>职工基本工资、津补贴、绩效工资及社会保障缴费等，日常公用经费支出总额为35.23万元，</w:t>
      </w:r>
      <w:r>
        <w:rPr>
          <w:rFonts w:hint="eastAsia" w:ascii="仿宋_GB2312" w:hAnsi="仿宋_GB2312" w:eastAsia="仿宋_GB2312" w:cs="仿宋_GB2312"/>
          <w:bCs/>
          <w:sz w:val="32"/>
          <w:szCs w:val="32"/>
          <w:lang w:val="en-US" w:eastAsia="zh-CN"/>
        </w:rPr>
        <w:t>主要用于办公费、印刷费、水电费、邮电费、物业费、差旅费、维修（护）费、租赁费、劳务费、委托业</w:t>
      </w:r>
      <w:bookmarkStart w:id="1" w:name="_GoBack"/>
      <w:bookmarkEnd w:id="1"/>
      <w:r>
        <w:rPr>
          <w:rFonts w:hint="eastAsia" w:ascii="仿宋_GB2312" w:hAnsi="仿宋_GB2312" w:eastAsia="仿宋_GB2312" w:cs="仿宋_GB2312"/>
          <w:bCs/>
          <w:sz w:val="32"/>
          <w:szCs w:val="32"/>
          <w:lang w:val="en-US" w:eastAsia="zh-CN"/>
        </w:rPr>
        <w:t>务费、工会经费、公务用车运行费、其他交通费用、其他商品和服务支出等</w:t>
      </w:r>
      <w:r>
        <w:rPr>
          <w:rFonts w:hint="eastAsia" w:ascii="仿宋_GB2312" w:hAnsi="仿宋_GB2312" w:eastAsia="仿宋_GB2312" w:cs="仿宋_GB2312"/>
          <w:bCs/>
          <w:sz w:val="32"/>
          <w:szCs w:val="32"/>
          <w:highlight w:val="none"/>
          <w:lang w:val="en-US" w:eastAsia="zh-CN"/>
        </w:rPr>
        <w:t>保障单位</w:t>
      </w:r>
      <w:r>
        <w:rPr>
          <w:rFonts w:hint="eastAsia" w:ascii="仿宋_GB2312" w:hAnsi="仿宋_GB2312" w:eastAsia="仿宋_GB2312" w:cs="仿宋_GB2312"/>
          <w:bCs/>
          <w:sz w:val="32"/>
          <w:szCs w:val="32"/>
          <w:lang w:val="en-US" w:eastAsia="zh-CN"/>
        </w:rPr>
        <w:t>运转</w:t>
      </w:r>
      <w:r>
        <w:rPr>
          <w:rFonts w:hint="eastAsia" w:ascii="仿宋_GB2312" w:hAnsi="仿宋_GB2312" w:eastAsia="仿宋_GB2312" w:cs="仿宋_GB2312"/>
          <w:bCs/>
          <w:sz w:val="32"/>
          <w:szCs w:val="32"/>
          <w:highlight w:val="none"/>
          <w:lang w:val="en-US" w:eastAsia="zh-CN"/>
        </w:rPr>
        <w:t>的</w:t>
      </w:r>
      <w:r>
        <w:rPr>
          <w:rFonts w:hint="eastAsia" w:ascii="仿宋_GB2312" w:hAnsi="仿宋_GB2312" w:eastAsia="仿宋_GB2312" w:cs="仿宋_GB2312"/>
          <w:bCs/>
          <w:sz w:val="32"/>
          <w:szCs w:val="32"/>
          <w:lang w:val="en-US" w:eastAsia="zh-CN"/>
        </w:rPr>
        <w:t>支出。</w:t>
      </w:r>
    </w:p>
    <w:p w14:paraId="47B8851D">
      <w:pPr>
        <w:keepNext w:val="0"/>
        <w:keepLines w:val="0"/>
        <w:pageBreakBefore w:val="0"/>
        <w:widowControl w:val="0"/>
        <w:kinsoku/>
        <w:wordWrap/>
        <w:overflowPunct/>
        <w:topLinePunct w:val="0"/>
        <w:autoSpaceDE/>
        <w:autoSpaceDN/>
        <w:bidi w:val="0"/>
        <w:spacing w:line="620" w:lineRule="exact"/>
        <w:ind w:firstLine="640" w:firstLineChars="200"/>
        <w:jc w:val="left"/>
        <w:textAlignment w:val="auto"/>
        <w:rPr>
          <w:rFonts w:hint="default" w:ascii="Times New Roman" w:hAnsi="Times New Roman" w:eastAsia="楷体_GB2312" w:cs="Times New Roman"/>
          <w:b/>
          <w:sz w:val="32"/>
          <w:szCs w:val="32"/>
        </w:rPr>
      </w:pPr>
      <w:r>
        <w:rPr>
          <w:rFonts w:hint="eastAsia" w:ascii="仿宋_GB2312" w:hAnsi="仿宋_GB2312" w:eastAsia="仿宋_GB2312" w:cs="仿宋_GB2312"/>
          <w:bCs/>
          <w:sz w:val="32"/>
          <w:szCs w:val="32"/>
        </w:rPr>
        <w:t>本年度公务接待费</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0万元，实际支出为</w:t>
      </w:r>
      <w:r>
        <w:rPr>
          <w:rFonts w:hint="eastAsia" w:ascii="仿宋_GB2312" w:hAnsi="仿宋_GB2312" w:eastAsia="仿宋_GB2312" w:cs="仿宋_GB2312"/>
          <w:bCs/>
          <w:sz w:val="32"/>
          <w:szCs w:val="32"/>
        </w:rPr>
        <w:t>0万元，</w:t>
      </w:r>
      <w:r>
        <w:rPr>
          <w:rFonts w:hint="eastAsia" w:ascii="仿宋_GB2312" w:hAnsi="仿宋_GB2312" w:eastAsia="仿宋_GB2312" w:cs="仿宋_GB2312"/>
          <w:bCs/>
          <w:color w:val="auto"/>
          <w:sz w:val="32"/>
          <w:szCs w:val="32"/>
          <w:lang w:val="en-US" w:eastAsia="zh-CN"/>
        </w:rPr>
        <w:t>公务用车购置及</w:t>
      </w:r>
      <w:r>
        <w:rPr>
          <w:rFonts w:hint="eastAsia" w:ascii="仿宋_GB2312" w:hAnsi="仿宋_GB2312" w:eastAsia="仿宋_GB2312" w:cs="仿宋_GB2312"/>
          <w:bCs/>
          <w:color w:val="auto"/>
          <w:sz w:val="32"/>
          <w:szCs w:val="32"/>
        </w:rPr>
        <w:t>公务用车运行维护费支出</w:t>
      </w:r>
      <w:r>
        <w:rPr>
          <w:rFonts w:hint="eastAsia" w:ascii="仿宋_GB2312" w:hAnsi="仿宋_GB2312" w:eastAsia="仿宋_GB2312" w:cs="仿宋_GB2312"/>
          <w:bCs/>
          <w:color w:val="auto"/>
          <w:sz w:val="32"/>
          <w:szCs w:val="32"/>
          <w:lang w:eastAsia="zh-CN"/>
        </w:rPr>
        <w:t>预算</w:t>
      </w:r>
      <w:r>
        <w:rPr>
          <w:rFonts w:hint="eastAsia" w:ascii="仿宋_GB2312" w:hAnsi="仿宋_GB2312" w:eastAsia="仿宋_GB2312" w:cs="仿宋_GB2312"/>
          <w:bCs/>
          <w:color w:val="auto"/>
          <w:sz w:val="32"/>
          <w:szCs w:val="32"/>
          <w:lang w:val="en-US" w:eastAsia="zh-CN"/>
        </w:rPr>
        <w:t>和决算均为0</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eastAsia="zh-CN"/>
        </w:rPr>
        <w:t>，因</w:t>
      </w:r>
      <w:r>
        <w:rPr>
          <w:rFonts w:hint="eastAsia" w:ascii="仿宋_GB2312" w:hAnsi="仿宋_GB2312" w:eastAsia="仿宋_GB2312" w:cs="仿宋_GB2312"/>
          <w:bCs/>
          <w:color w:val="auto"/>
          <w:sz w:val="32"/>
          <w:szCs w:val="32"/>
        </w:rPr>
        <w:t>公出国</w:t>
      </w:r>
      <w:r>
        <w:rPr>
          <w:rFonts w:hint="eastAsia" w:ascii="仿宋_GB2312" w:hAnsi="仿宋_GB2312" w:eastAsia="仿宋_GB2312" w:cs="仿宋_GB2312"/>
          <w:bCs/>
          <w:color w:val="auto"/>
          <w:sz w:val="32"/>
          <w:szCs w:val="32"/>
          <w:lang w:eastAsia="zh-CN"/>
        </w:rPr>
        <w:t>费用</w:t>
      </w:r>
      <w:r>
        <w:rPr>
          <w:rFonts w:hint="eastAsia" w:ascii="仿宋_GB2312" w:hAnsi="仿宋_GB2312" w:eastAsia="仿宋_GB2312" w:cs="仿宋_GB2312"/>
          <w:bCs/>
          <w:color w:val="auto"/>
          <w:sz w:val="32"/>
          <w:szCs w:val="32"/>
          <w:lang w:val="en-US" w:eastAsia="zh-CN"/>
        </w:rPr>
        <w:t>预算和决算均为</w:t>
      </w:r>
      <w:r>
        <w:rPr>
          <w:rFonts w:hint="eastAsia" w:ascii="仿宋_GB2312" w:hAnsi="仿宋_GB2312" w:eastAsia="仿宋_GB2312" w:cs="仿宋_GB2312"/>
          <w:bCs/>
          <w:color w:val="auto"/>
          <w:sz w:val="32"/>
          <w:szCs w:val="32"/>
        </w:rPr>
        <w:t>0万元</w:t>
      </w:r>
      <w:r>
        <w:rPr>
          <w:rFonts w:hint="eastAsia" w:ascii="仿宋_GB2312" w:hAnsi="仿宋_GB2312" w:eastAsia="仿宋_GB2312" w:cs="仿宋_GB2312"/>
          <w:bCs/>
          <w:color w:val="auto"/>
          <w:sz w:val="32"/>
          <w:szCs w:val="32"/>
          <w:lang w:eastAsia="zh-CN"/>
        </w:rPr>
        <w:t>，“三公经费”支出</w:t>
      </w:r>
      <w:r>
        <w:rPr>
          <w:rFonts w:hint="eastAsia" w:ascii="仿宋_GB2312" w:hAnsi="仿宋_GB2312" w:eastAsia="仿宋_GB2312" w:cs="仿宋_GB2312"/>
          <w:bCs/>
          <w:color w:val="auto"/>
          <w:sz w:val="32"/>
          <w:szCs w:val="32"/>
          <w:lang w:val="en-US" w:eastAsia="zh-CN"/>
        </w:rPr>
        <w:t>总额0万元</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eastAsia="zh-CN"/>
        </w:rPr>
        <w:t>控制在年初预算</w:t>
      </w:r>
      <w:r>
        <w:rPr>
          <w:rFonts w:hint="eastAsia" w:ascii="仿宋_GB2312" w:hAnsi="仿宋_GB2312" w:eastAsia="仿宋_GB2312" w:cs="仿宋_GB2312"/>
          <w:bCs/>
          <w:sz w:val="32"/>
          <w:szCs w:val="32"/>
          <w:lang w:val="en-US" w:eastAsia="zh-CN"/>
        </w:rPr>
        <w:t>金额</w:t>
      </w:r>
      <w:r>
        <w:rPr>
          <w:rFonts w:hint="eastAsia" w:ascii="仿宋_GB2312" w:hAnsi="仿宋_GB2312" w:eastAsia="仿宋_GB2312" w:cs="仿宋_GB2312"/>
          <w:bCs/>
          <w:sz w:val="32"/>
          <w:szCs w:val="32"/>
          <w:lang w:eastAsia="zh-CN"/>
        </w:rPr>
        <w:t>之内</w:t>
      </w:r>
      <w:r>
        <w:rPr>
          <w:rFonts w:hint="eastAsia" w:ascii="仿宋_GB2312" w:hAnsi="仿宋_GB2312" w:eastAsia="仿宋_GB2312" w:cs="仿宋_GB2312"/>
          <w:bCs/>
          <w:sz w:val="32"/>
          <w:szCs w:val="32"/>
        </w:rPr>
        <w:t>。</w:t>
      </w:r>
    </w:p>
    <w:p w14:paraId="085E67FC">
      <w:pPr>
        <w:pStyle w:val="11"/>
        <w:keepNext w:val="0"/>
        <w:keepLines w:val="0"/>
        <w:pageBreakBefore w:val="0"/>
        <w:widowControl/>
        <w:numPr>
          <w:ilvl w:val="0"/>
          <w:numId w:val="2"/>
        </w:numPr>
        <w:kinsoku/>
        <w:wordWrap/>
        <w:overflowPunct/>
        <w:topLinePunct w:val="0"/>
        <w:autoSpaceDE/>
        <w:autoSpaceDN/>
        <w:bidi w:val="0"/>
        <w:adjustRightInd/>
        <w:snapToGrid/>
        <w:spacing w:line="620" w:lineRule="exact"/>
        <w:ind w:left="-83" w:leftChars="0" w:firstLine="643" w:firstLineChars="0"/>
        <w:jc w:val="both"/>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项目支出情况</w:t>
      </w:r>
    </w:p>
    <w:p w14:paraId="33F5B397">
      <w:pPr>
        <w:pStyle w:val="11"/>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lang w:eastAsia="zh-CN"/>
        </w:rPr>
        <w:t>我单位无项目支出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kern w:val="0"/>
          <w:sz w:val="32"/>
          <w:szCs w:val="32"/>
          <w:lang w:val="en-US" w:eastAsia="zh-CN"/>
        </w:rPr>
        <w:t>由港区保障的城市管理专项经费支出在港区相关管理部门核算，我单位仅核算保障机关运行和日常管理的相关费用。</w:t>
      </w:r>
    </w:p>
    <w:p w14:paraId="7F66CEC3">
      <w:pPr>
        <w:pStyle w:val="11"/>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国有资本经营预算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社会保险基金预算支出情况</w:t>
      </w:r>
    </w:p>
    <w:p w14:paraId="21BAD89C">
      <w:pPr>
        <w:pStyle w:val="11"/>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lang w:val="en-US" w:eastAsia="zh-CN"/>
        </w:rPr>
        <w:t>我单位无</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val="en-US" w:eastAsia="zh-CN"/>
        </w:rPr>
        <w:t>预算。</w:t>
      </w:r>
    </w:p>
    <w:p w14:paraId="33832A7B">
      <w:pPr>
        <w:keepNext w:val="0"/>
        <w:keepLines w:val="0"/>
        <w:pageBreakBefore w:val="0"/>
        <w:widowControl/>
        <w:numPr>
          <w:ilvl w:val="0"/>
          <w:numId w:val="3"/>
        </w:numPr>
        <w:kinsoku/>
        <w:wordWrap/>
        <w:overflowPunct/>
        <w:topLinePunct w:val="0"/>
        <w:autoSpaceDE/>
        <w:autoSpaceDN/>
        <w:bidi w:val="0"/>
        <w:adjustRightInd/>
        <w:snapToGrid/>
        <w:spacing w:line="620" w:lineRule="exact"/>
        <w:ind w:firstLine="640" w:firstLineChars="200"/>
        <w:jc w:val="both"/>
        <w:textAlignment w:val="auto"/>
        <w:rPr>
          <w:rFonts w:hint="default"/>
          <w:sz w:val="32"/>
          <w:szCs w:val="32"/>
        </w:rPr>
      </w:pPr>
      <w:r>
        <w:rPr>
          <w:rFonts w:hint="default" w:ascii="Times New Roman" w:hAnsi="Times New Roman" w:eastAsia="黑体" w:cs="Times New Roman"/>
          <w:sz w:val="32"/>
          <w:szCs w:val="32"/>
        </w:rPr>
        <w:t>部门整体支出绩效情</w:t>
      </w:r>
      <w:r>
        <w:rPr>
          <w:rFonts w:hint="eastAsia" w:ascii="Times New Roman" w:hAnsi="Times New Roman" w:eastAsia="黑体" w:cs="Times New Roman"/>
          <w:sz w:val="32"/>
          <w:szCs w:val="32"/>
          <w:lang w:val="en-US" w:eastAsia="zh-CN"/>
        </w:rPr>
        <w:t>况</w:t>
      </w:r>
    </w:p>
    <w:p w14:paraId="416826F2">
      <w:pPr>
        <w:pStyle w:val="3"/>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（一）年度绩效目标</w:t>
      </w:r>
    </w:p>
    <w:p w14:paraId="09CD0162">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目标1：</w:t>
      </w:r>
      <w:r>
        <w:rPr>
          <w:rFonts w:hint="eastAsia" w:ascii="仿宋_GB2312" w:hAnsi="仿宋_GB2312" w:eastAsia="仿宋_GB2312" w:cs="仿宋_GB2312"/>
          <w:color w:val="000000"/>
          <w:sz w:val="32"/>
          <w:szCs w:val="32"/>
          <w:highlight w:val="none"/>
        </w:rPr>
        <w:t>提升维护管理工作，加大考评力度、提升维护质量、创新工作机制</w:t>
      </w:r>
      <w:r>
        <w:rPr>
          <w:rFonts w:hint="eastAsia" w:ascii="仿宋_GB2312" w:hAnsi="仿宋_GB2312" w:eastAsia="仿宋_GB2312" w:cs="仿宋_GB2312"/>
          <w:color w:val="000000"/>
          <w:sz w:val="32"/>
          <w:szCs w:val="32"/>
          <w:highlight w:val="none"/>
          <w:lang w:eastAsia="zh-CN"/>
        </w:rPr>
        <w:t>；</w:t>
      </w:r>
    </w:p>
    <w:p w14:paraId="4EB9F601">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目标2：</w:t>
      </w:r>
      <w:r>
        <w:rPr>
          <w:rFonts w:hint="eastAsia" w:ascii="仿宋_GB2312" w:hAnsi="仿宋_GB2312" w:eastAsia="仿宋_GB2312" w:cs="仿宋_GB2312"/>
          <w:color w:val="000000"/>
          <w:sz w:val="32"/>
          <w:szCs w:val="32"/>
          <w:highlight w:val="none"/>
        </w:rPr>
        <w:t>单位负责的行政审批工作提效</w:t>
      </w:r>
      <w:r>
        <w:rPr>
          <w:rFonts w:hint="eastAsia" w:ascii="仿宋_GB2312" w:hAnsi="仿宋_GB2312" w:eastAsia="仿宋_GB2312" w:cs="仿宋_GB2312"/>
          <w:color w:val="000000"/>
          <w:sz w:val="32"/>
          <w:szCs w:val="32"/>
          <w:highlight w:val="none"/>
          <w:lang w:eastAsia="zh-CN"/>
        </w:rPr>
        <w:t>；</w:t>
      </w:r>
    </w:p>
    <w:p w14:paraId="6B100D4E">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目标3：</w:t>
      </w:r>
      <w:r>
        <w:rPr>
          <w:rFonts w:hint="eastAsia" w:ascii="仿宋_GB2312" w:hAnsi="仿宋_GB2312" w:eastAsia="仿宋_GB2312" w:cs="仿宋_GB2312"/>
          <w:color w:val="000000"/>
          <w:sz w:val="32"/>
          <w:szCs w:val="32"/>
          <w:highlight w:val="none"/>
        </w:rPr>
        <w:t>大力推进环保和垃圾分类工作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高效完成接待任务</w:t>
      </w:r>
      <w:r>
        <w:rPr>
          <w:rFonts w:hint="eastAsia" w:ascii="仿宋_GB2312" w:hAnsi="仿宋_GB2312" w:eastAsia="仿宋_GB2312" w:cs="仿宋_GB2312"/>
          <w:color w:val="000000"/>
          <w:sz w:val="32"/>
          <w:szCs w:val="32"/>
          <w:highlight w:val="none"/>
          <w:lang w:eastAsia="zh-CN"/>
        </w:rPr>
        <w:t>；</w:t>
      </w:r>
    </w:p>
    <w:p w14:paraId="258EE8BE">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目标4：</w:t>
      </w:r>
      <w:r>
        <w:rPr>
          <w:rFonts w:hint="eastAsia" w:ascii="仿宋_GB2312" w:hAnsi="仿宋_GB2312" w:eastAsia="仿宋_GB2312" w:cs="仿宋_GB2312"/>
          <w:color w:val="000000"/>
          <w:sz w:val="32"/>
          <w:szCs w:val="32"/>
          <w:highlight w:val="none"/>
        </w:rPr>
        <w:t>不断完善执法程序，持续开展综合整治，坚决抓好扬尘管控和禁燃禁放工作</w:t>
      </w:r>
      <w:r>
        <w:rPr>
          <w:rFonts w:hint="eastAsia" w:ascii="仿宋_GB2312" w:hAnsi="仿宋_GB2312" w:eastAsia="仿宋_GB2312" w:cs="仿宋_GB2312"/>
          <w:color w:val="000000"/>
          <w:sz w:val="32"/>
          <w:szCs w:val="32"/>
          <w:highlight w:val="none"/>
          <w:lang w:eastAsia="zh-CN"/>
        </w:rPr>
        <w:t>；</w:t>
      </w:r>
    </w:p>
    <w:p w14:paraId="046A67EB">
      <w:pPr>
        <w:keepNext w:val="0"/>
        <w:keepLines w:val="0"/>
        <w:pageBreakBefore w:val="0"/>
        <w:widowControl w:val="0"/>
        <w:kinsoku/>
        <w:wordWrap/>
        <w:overflowPunct/>
        <w:topLinePunct w:val="0"/>
        <w:autoSpaceDE/>
        <w:autoSpaceDN/>
        <w:bidi w:val="0"/>
        <w:adjustRightInd/>
        <w:snapToGrid/>
        <w:spacing w:afterLines="0" w:line="620" w:lineRule="exact"/>
        <w:ind w:firstLine="640" w:firstLineChars="200"/>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rPr>
        <w:t>5</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及时受理信访投诉</w:t>
      </w:r>
      <w:r>
        <w:rPr>
          <w:rFonts w:hint="eastAsia" w:ascii="仿宋_GB2312" w:hAnsi="仿宋_GB2312" w:eastAsia="仿宋_GB2312" w:cs="仿宋_GB2312"/>
          <w:color w:val="000000"/>
          <w:sz w:val="32"/>
          <w:szCs w:val="32"/>
          <w:highlight w:val="none"/>
          <w:lang w:eastAsia="zh-CN"/>
        </w:rPr>
        <w:t>；</w:t>
      </w:r>
    </w:p>
    <w:p w14:paraId="636EB21A">
      <w:pPr>
        <w:pStyle w:val="2"/>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楷体_GB2312" w:hAnsi="楷体_GB2312" w:eastAsia="楷体_GB2312" w:cs="楷体_GB2312"/>
          <w:b/>
          <w:bCs/>
          <w:color w:val="333333"/>
          <w:sz w:val="32"/>
          <w:szCs w:val="32"/>
          <w:shd w:val="clear" w:color="auto" w:fill="FFFFFF"/>
        </w:rPr>
      </w:pPr>
      <w:r>
        <w:rPr>
          <w:rFonts w:hint="eastAsia" w:ascii="楷体_GB2312" w:hAnsi="楷体_GB2312" w:eastAsia="楷体_GB2312" w:cs="楷体_GB2312"/>
          <w:b/>
          <w:bCs/>
          <w:color w:val="000000"/>
          <w:sz w:val="32"/>
          <w:szCs w:val="32"/>
          <w:lang w:val="en-US" w:eastAsia="zh-CN"/>
        </w:rPr>
        <w:t>（二）</w:t>
      </w:r>
      <w:r>
        <w:rPr>
          <w:rFonts w:hint="eastAsia" w:ascii="楷体_GB2312" w:hAnsi="楷体_GB2312" w:eastAsia="楷体_GB2312" w:cs="楷体_GB2312"/>
          <w:b/>
          <w:bCs/>
          <w:color w:val="333333"/>
          <w:sz w:val="32"/>
          <w:szCs w:val="32"/>
          <w:shd w:val="clear" w:color="auto" w:fill="FFFFFF"/>
        </w:rPr>
        <w:t>目标完成情况</w:t>
      </w:r>
    </w:p>
    <w:p w14:paraId="100ED0A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lang w:val="en-US" w:eastAsia="zh-CN"/>
        </w:rPr>
        <w:t>目标</w:t>
      </w:r>
      <w:r>
        <w:rPr>
          <w:rFonts w:hint="eastAsia" w:ascii="仿宋_GB2312" w:hAnsi="仿宋_GB2312" w:eastAsia="仿宋_GB2312" w:cs="仿宋_GB2312"/>
          <w:sz w:val="32"/>
          <w:szCs w:val="32"/>
          <w:lang w:val="en-US" w:eastAsia="zh-CN"/>
        </w:rPr>
        <w:t>1完成情况：</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维护管理工作</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，加大</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考评力</w:t>
      </w:r>
      <w:r>
        <w:rPr>
          <w:rFonts w:hint="eastAsia" w:ascii="仿宋_GB2312" w:hAnsi="仿宋_GB2312" w:eastAsia="仿宋_GB2312" w:cs="仿宋_GB2312"/>
          <w:sz w:val="32"/>
          <w:szCs w:val="32"/>
          <w:lang w:eastAsia="zh-CN"/>
        </w:rPr>
        <w:t>度，并</w:t>
      </w:r>
      <w:r>
        <w:rPr>
          <w:rFonts w:hint="eastAsia" w:ascii="仿宋_GB2312" w:hAnsi="仿宋_GB2312" w:eastAsia="仿宋_GB2312" w:cs="仿宋_GB2312"/>
          <w:sz w:val="32"/>
          <w:szCs w:val="32"/>
        </w:rPr>
        <w:t>创新</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工作机制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维护质量</w:t>
      </w:r>
      <w:r>
        <w:rPr>
          <w:rFonts w:hint="eastAsia" w:ascii="仿宋_GB2312" w:hAnsi="仿宋_GB2312" w:eastAsia="仿宋_GB2312" w:cs="仿宋_GB2312"/>
          <w:sz w:val="32"/>
          <w:szCs w:val="32"/>
          <w:lang w:eastAsia="zh-CN"/>
        </w:rPr>
        <w:t>得到明显提升；</w:t>
      </w:r>
      <w:r>
        <w:rPr>
          <w:rFonts w:hint="eastAsia" w:ascii="仿宋_GB2312" w:hAnsi="仿宋_GB2312" w:eastAsia="仿宋_GB2312" w:cs="仿宋_GB2312"/>
          <w:sz w:val="32"/>
          <w:szCs w:val="32"/>
          <w:lang w:val="en-US" w:eastAsia="zh-CN"/>
        </w:rPr>
        <w:t xml:space="preserve"> </w:t>
      </w:r>
    </w:p>
    <w:p w14:paraId="4BB4B12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lang w:val="en-US" w:eastAsia="zh-CN"/>
        </w:rPr>
        <w:t>目标</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进一步优化了单位负责的</w:t>
      </w:r>
      <w:r>
        <w:rPr>
          <w:rFonts w:hint="eastAsia" w:ascii="仿宋_GB2312" w:hAnsi="仿宋_GB2312" w:eastAsia="仿宋_GB2312" w:cs="仿宋_GB2312"/>
          <w:sz w:val="32"/>
          <w:szCs w:val="32"/>
          <w:lang w:eastAsia="zh-CN"/>
        </w:rPr>
        <w:t>行政审批工作</w:t>
      </w:r>
      <w:r>
        <w:rPr>
          <w:rFonts w:hint="eastAsia" w:ascii="仿宋_GB2312" w:hAnsi="仿宋_GB2312" w:eastAsia="仿宋_GB2312" w:cs="仿宋_GB2312"/>
          <w:sz w:val="32"/>
          <w:szCs w:val="32"/>
          <w:lang w:val="en-US" w:eastAsia="zh-CN"/>
        </w:rPr>
        <w:t>办理流程，办理效率</w:t>
      </w:r>
      <w:r>
        <w:rPr>
          <w:rFonts w:hint="eastAsia" w:ascii="仿宋_GB2312" w:hAnsi="仿宋_GB2312" w:eastAsia="仿宋_GB2312" w:cs="仿宋_GB2312"/>
          <w:sz w:val="32"/>
          <w:szCs w:val="32"/>
          <w:lang w:eastAsia="zh-CN"/>
        </w:rPr>
        <w:t>明显提升</w:t>
      </w:r>
      <w:r>
        <w:rPr>
          <w:rFonts w:hint="eastAsia" w:ascii="仿宋_GB2312" w:hAnsi="仿宋_GB2312" w:eastAsia="仿宋_GB2312" w:cs="仿宋_GB2312"/>
          <w:sz w:val="32"/>
          <w:szCs w:val="32"/>
          <w:lang w:val="en-US" w:eastAsia="zh-CN"/>
        </w:rPr>
        <w:t>；</w:t>
      </w:r>
    </w:p>
    <w:p w14:paraId="4BFB101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highlight w:val="none"/>
          <w:lang w:val="en-US" w:eastAsia="zh-CN"/>
        </w:rPr>
        <w:t>目标</w:t>
      </w:r>
      <w:r>
        <w:rPr>
          <w:rFonts w:hint="eastAsia" w:ascii="仿宋_GB2312" w:hAnsi="仿宋_GB2312" w:eastAsia="仿宋_GB2312" w:cs="仿宋_GB2312"/>
          <w:sz w:val="32"/>
          <w:szCs w:val="32"/>
          <w:lang w:val="en-US" w:eastAsia="zh-CN"/>
        </w:rPr>
        <w:t>3完成情况：</w:t>
      </w:r>
      <w:r>
        <w:rPr>
          <w:rFonts w:hint="eastAsia" w:ascii="仿宋_GB2312" w:hAnsi="仿宋_GB2312" w:eastAsia="仿宋_GB2312" w:cs="仿宋_GB2312"/>
          <w:sz w:val="32"/>
          <w:szCs w:val="32"/>
        </w:rPr>
        <w:t>大力推进</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环保和垃圾分类工作</w:t>
      </w:r>
      <w:r>
        <w:rPr>
          <w:rFonts w:hint="eastAsia" w:ascii="仿宋_GB2312" w:hAnsi="仿宋_GB2312" w:eastAsia="仿宋_GB2312" w:cs="仿宋_GB2312"/>
          <w:sz w:val="32"/>
          <w:szCs w:val="32"/>
          <w:lang w:eastAsia="zh-CN"/>
        </w:rPr>
        <w:t>，港区城市环境明显改善，</w:t>
      </w:r>
      <w:r>
        <w:rPr>
          <w:rFonts w:hint="eastAsia" w:ascii="仿宋_GB2312" w:hAnsi="仿宋_GB2312" w:eastAsia="仿宋_GB2312" w:cs="仿宋_GB2312"/>
          <w:sz w:val="32"/>
          <w:szCs w:val="32"/>
        </w:rPr>
        <w:t>高效完成</w:t>
      </w:r>
      <w:r>
        <w:rPr>
          <w:rFonts w:hint="eastAsia" w:ascii="仿宋_GB2312" w:hAnsi="仿宋_GB2312" w:eastAsia="仿宋_GB2312" w:cs="仿宋_GB2312"/>
          <w:sz w:val="32"/>
          <w:szCs w:val="32"/>
          <w:lang w:eastAsia="zh-CN"/>
        </w:rPr>
        <w:t>了各项</w:t>
      </w:r>
      <w:r>
        <w:rPr>
          <w:rFonts w:hint="eastAsia" w:ascii="仿宋_GB2312" w:hAnsi="仿宋_GB2312" w:eastAsia="仿宋_GB2312" w:cs="仿宋_GB2312"/>
          <w:sz w:val="32"/>
          <w:szCs w:val="32"/>
        </w:rPr>
        <w:t>接待任务</w:t>
      </w:r>
      <w:r>
        <w:rPr>
          <w:rFonts w:hint="eastAsia" w:ascii="仿宋_GB2312" w:hAnsi="仿宋_GB2312" w:eastAsia="仿宋_GB2312" w:cs="仿宋_GB2312"/>
          <w:sz w:val="32"/>
          <w:szCs w:val="32"/>
          <w:lang w:eastAsia="zh-CN"/>
        </w:rPr>
        <w:t>；</w:t>
      </w:r>
    </w:p>
    <w:p w14:paraId="53BD5C1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highlight w:val="none"/>
          <w:lang w:val="en-US" w:eastAsia="zh-CN"/>
        </w:rPr>
        <w:t>目标</w:t>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完成情况</w:t>
      </w:r>
      <w:r>
        <w:rPr>
          <w:rFonts w:hint="eastAsia" w:ascii="仿宋_GB2312" w:hAnsi="仿宋_GB2312" w:eastAsia="仿宋_GB2312" w:cs="仿宋_GB2312"/>
          <w:sz w:val="32"/>
          <w:szCs w:val="32"/>
          <w:lang w:eastAsia="zh-CN"/>
        </w:rPr>
        <w:t>：临港新区城市管理</w:t>
      </w:r>
      <w:r>
        <w:rPr>
          <w:rFonts w:hint="eastAsia" w:ascii="仿宋_GB2312" w:hAnsi="仿宋_GB2312" w:eastAsia="仿宋_GB2312" w:cs="仿宋_GB2312"/>
          <w:sz w:val="32"/>
          <w:szCs w:val="32"/>
        </w:rPr>
        <w:t>执法程序</w:t>
      </w:r>
      <w:r>
        <w:rPr>
          <w:rFonts w:hint="eastAsia" w:ascii="仿宋_GB2312" w:hAnsi="仿宋_GB2312" w:eastAsia="仿宋_GB2312" w:cs="仿宋_GB2312"/>
          <w:sz w:val="32"/>
          <w:szCs w:val="32"/>
          <w:lang w:eastAsia="zh-CN"/>
        </w:rPr>
        <w:t>得到了</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lang w:eastAsia="zh-CN"/>
        </w:rPr>
        <w:t>优化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在临港新区</w:t>
      </w:r>
      <w:r>
        <w:rPr>
          <w:rFonts w:hint="eastAsia" w:ascii="仿宋_GB2312" w:hAnsi="仿宋_GB2312" w:eastAsia="仿宋_GB2312" w:cs="仿宋_GB2312"/>
          <w:sz w:val="32"/>
          <w:szCs w:val="32"/>
        </w:rPr>
        <w:t>持续开展综合整治</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，扬尘管控和禁燃禁放工作</w:t>
      </w:r>
      <w:r>
        <w:rPr>
          <w:rFonts w:hint="eastAsia" w:ascii="仿宋_GB2312" w:hAnsi="仿宋_GB2312" w:eastAsia="仿宋_GB2312" w:cs="仿宋_GB2312"/>
          <w:sz w:val="32"/>
          <w:szCs w:val="32"/>
          <w:lang w:eastAsia="zh-CN"/>
        </w:rPr>
        <w:t>成交明显；</w:t>
      </w:r>
    </w:p>
    <w:p w14:paraId="1AACDB9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highlight w:val="none"/>
          <w:lang w:val="en-US" w:eastAsia="zh-CN"/>
        </w:rPr>
        <w:t>目标</w:t>
      </w: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完成情况</w:t>
      </w:r>
      <w:r>
        <w:rPr>
          <w:rFonts w:hint="eastAsia" w:ascii="仿宋_GB2312" w:hAnsi="仿宋_GB2312" w:eastAsia="仿宋_GB2312" w:cs="仿宋_GB2312"/>
          <w:sz w:val="32"/>
          <w:szCs w:val="32"/>
          <w:lang w:eastAsia="zh-CN"/>
        </w:rPr>
        <w:t>：及时受理了信访投诉，并妥善处置了</w:t>
      </w:r>
      <w:r>
        <w:rPr>
          <w:rFonts w:hint="eastAsia" w:ascii="仿宋_GB2312" w:hAnsi="仿宋_GB2312" w:eastAsia="仿宋_GB2312" w:cs="仿宋_GB2312"/>
          <w:sz w:val="32"/>
          <w:szCs w:val="32"/>
        </w:rPr>
        <w:t>信访投诉</w:t>
      </w:r>
      <w:r>
        <w:rPr>
          <w:rFonts w:hint="eastAsia" w:ascii="仿宋_GB2312" w:hAnsi="仿宋_GB2312" w:eastAsia="仿宋_GB2312" w:cs="仿宋_GB2312"/>
          <w:sz w:val="32"/>
          <w:szCs w:val="32"/>
          <w:lang w:eastAsia="zh-CN"/>
        </w:rPr>
        <w:t>事件</w:t>
      </w:r>
      <w:r>
        <w:rPr>
          <w:rFonts w:hint="eastAsia" w:ascii="仿宋_GB2312" w:hAnsi="仿宋_GB2312" w:eastAsia="仿宋_GB2312" w:cs="仿宋_GB2312"/>
          <w:sz w:val="32"/>
          <w:szCs w:val="32"/>
        </w:rPr>
        <w:t>。</w:t>
      </w:r>
    </w:p>
    <w:p w14:paraId="4A6FD6FD">
      <w:pPr>
        <w:pStyle w:val="3"/>
        <w:keepNext w:val="0"/>
        <w:keepLines w:val="0"/>
        <w:pageBreakBefore w:val="0"/>
        <w:wordWrap/>
        <w:overflowPunct/>
        <w:topLinePunct w:val="0"/>
        <w:bidi w:val="0"/>
        <w:spacing w:line="620" w:lineRule="exact"/>
        <w:ind w:left="0" w:leftChars="0" w:firstLine="643" w:firstLineChars="200"/>
        <w:jc w:val="left"/>
        <w:rPr>
          <w:rFonts w:hint="eastAsia" w:ascii="黑体" w:hAnsi="黑体" w:eastAsia="仿宋_GB2312" w:cs="黑体"/>
          <w:color w:val="auto"/>
          <w:sz w:val="32"/>
          <w:szCs w:val="32"/>
          <w:highlight w:val="none"/>
          <w:lang w:eastAsia="zh-CN"/>
        </w:rPr>
      </w:pPr>
      <w:r>
        <w:rPr>
          <w:rFonts w:hint="eastAsia" w:ascii="仿宋_GB2312" w:hAnsi="仿宋_GB2312" w:eastAsia="仿宋_GB2312" w:cs="仿宋_GB2312"/>
          <w:b/>
          <w:bCs/>
          <w:color w:val="auto"/>
          <w:sz w:val="32"/>
          <w:szCs w:val="32"/>
          <w:u w:val="none"/>
          <w:shd w:val="clear" w:color="auto" w:fill="FFFFFF"/>
          <w:lang w:eastAsia="zh-CN"/>
        </w:rPr>
        <w:t>（</w:t>
      </w:r>
      <w:r>
        <w:rPr>
          <w:rFonts w:hint="eastAsia" w:ascii="仿宋_GB2312" w:hAnsi="仿宋_GB2312" w:eastAsia="仿宋_GB2312" w:cs="仿宋_GB2312"/>
          <w:b/>
          <w:bCs/>
          <w:color w:val="auto"/>
          <w:sz w:val="32"/>
          <w:szCs w:val="32"/>
          <w:u w:val="none"/>
          <w:shd w:val="clear" w:color="auto" w:fill="FFFFFF"/>
          <w:lang w:val="en-US" w:eastAsia="zh-CN"/>
        </w:rPr>
        <w:t>三）</w:t>
      </w:r>
      <w:r>
        <w:rPr>
          <w:rFonts w:hint="eastAsia" w:ascii="仿宋_GB2312" w:hAnsi="仿宋_GB2312" w:eastAsia="仿宋_GB2312" w:cs="仿宋_GB2312"/>
          <w:b/>
          <w:bCs/>
          <w:color w:val="auto"/>
          <w:sz w:val="32"/>
          <w:szCs w:val="32"/>
          <w:u w:val="none"/>
          <w:shd w:val="clear" w:color="auto" w:fill="FFFFFF"/>
        </w:rPr>
        <w:t>主要</w:t>
      </w:r>
      <w:r>
        <w:rPr>
          <w:rFonts w:hint="eastAsia" w:ascii="仿宋_GB2312" w:hAnsi="仿宋_GB2312" w:eastAsia="仿宋_GB2312" w:cs="仿宋_GB2312"/>
          <w:b/>
          <w:bCs/>
          <w:color w:val="auto"/>
          <w:sz w:val="32"/>
          <w:szCs w:val="32"/>
          <w:u w:val="none"/>
          <w:shd w:val="clear" w:color="auto" w:fill="FFFFFF"/>
          <w:lang w:eastAsia="zh-CN"/>
        </w:rPr>
        <w:t>工作</w:t>
      </w:r>
      <w:r>
        <w:rPr>
          <w:rFonts w:hint="eastAsia" w:ascii="仿宋_GB2312" w:hAnsi="仿宋_GB2312" w:eastAsia="仿宋_GB2312" w:cs="仿宋_GB2312"/>
          <w:b/>
          <w:bCs/>
          <w:color w:val="auto"/>
          <w:sz w:val="32"/>
          <w:szCs w:val="32"/>
          <w:u w:val="none"/>
          <w:shd w:val="clear" w:color="auto" w:fill="FFFFFF"/>
        </w:rPr>
        <w:t>绩效</w:t>
      </w:r>
    </w:p>
    <w:p w14:paraId="534E0C8F">
      <w:pPr>
        <w:keepNext w:val="0"/>
        <w:keepLines w:val="0"/>
        <w:pageBreakBefore w:val="0"/>
        <w:widowControl w:val="0"/>
        <w:kinsoku/>
        <w:wordWrap/>
        <w:overflowPunct/>
        <w:topLinePunct w:val="0"/>
        <w:autoSpaceDE/>
        <w:autoSpaceDN/>
        <w:bidi w:val="0"/>
        <w:adjustRightInd w:val="0"/>
        <w:snapToGrid/>
        <w:spacing w:beforeLines="0" w:afterLines="0" w:line="620" w:lineRule="exact"/>
        <w:ind w:firstLine="640" w:firstLineChars="200"/>
        <w:jc w:val="both"/>
        <w:textAlignment w:val="auto"/>
        <w:rPr>
          <w:rFonts w:hint="eastAsia" w:ascii="黑体" w:hAnsi="黑体" w:eastAsia="黑体" w:cs="黑体"/>
          <w:sz w:val="32"/>
          <w:szCs w:val="32"/>
        </w:rPr>
      </w:pPr>
      <w:r>
        <w:rPr>
          <w:rFonts w:hint="default" w:ascii="仿宋_GB2312" w:hAnsi="仿宋_GB2312" w:eastAsia="仿宋_GB2312" w:cs="仿宋_GB2312"/>
          <w:kern w:val="2"/>
          <w:sz w:val="32"/>
          <w:szCs w:val="32"/>
          <w:lang w:val="en" w:eastAsia="zh-CN" w:bidi="ar-SA"/>
        </w:rPr>
        <w:t>2024</w:t>
      </w:r>
      <w:r>
        <w:rPr>
          <w:rFonts w:hint="eastAsia" w:ascii="仿宋_GB2312" w:hAnsi="仿宋_GB2312" w:eastAsia="仿宋_GB2312" w:cs="仿宋_GB2312"/>
          <w:kern w:val="2"/>
          <w:sz w:val="32"/>
          <w:szCs w:val="32"/>
          <w:lang w:val="en" w:eastAsia="zh-CN" w:bidi="ar-SA"/>
        </w:rPr>
        <w:t>年，</w:t>
      </w:r>
      <w:r>
        <w:rPr>
          <w:rFonts w:hint="eastAsia" w:ascii="仿宋_GB2312" w:hAnsi="仿宋_GB2312" w:eastAsia="仿宋_GB2312" w:cs="仿宋_GB2312"/>
          <w:kern w:val="2"/>
          <w:sz w:val="32"/>
          <w:szCs w:val="32"/>
          <w:lang w:val="en-US" w:eastAsia="zh-CN" w:bidi="ar-SA"/>
        </w:rPr>
        <w:t>在市城管局党组和新港区党工委的双重坚强领导下，分局深入贯彻落实“六大城管”理念，紧扣年初确定的“一根主线、两大创新、三项举措”工作思路，聚焦“建设全国一流、全省最美靓丽园区”奋斗目标，以坚定的信心、务实的作风、创新的举措，积极全面推进城市管理，各项工作成效显著，具体情况如下：</w:t>
      </w:r>
    </w:p>
    <w:p w14:paraId="42A0FA15">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620" w:lineRule="exact"/>
        <w:ind w:firstLine="640" w:firstLineChars="200"/>
        <w:jc w:val="both"/>
        <w:textAlignment w:val="auto"/>
        <w:rPr>
          <w:rFonts w:hint="eastAsia" w:ascii="CESI仿宋-GB2312" w:hAnsi="CESI仿宋-GB2312" w:eastAsia="CESI仿宋-GB2312" w:cs="CESI仿宋-GB2312"/>
          <w:b w:val="0"/>
          <w:bCs w:val="0"/>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 xml:space="preserve">1、行业监管常态化，管理效能进一步发挥。   </w:t>
      </w:r>
    </w:p>
    <w:p w14:paraId="2A498AAB">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620" w:lineRule="exact"/>
        <w:ind w:firstLine="640" w:firstLineChars="200"/>
        <w:jc w:val="both"/>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（1）落实监督长效机制。</w:t>
      </w:r>
      <w:r>
        <w:rPr>
          <w:rFonts w:hint="eastAsia" w:ascii="CESI仿宋-GB2312" w:hAnsi="CESI仿宋-GB2312" w:eastAsia="CESI仿宋-GB2312" w:cs="CESI仿宋-GB2312"/>
          <w:kern w:val="2"/>
          <w:sz w:val="32"/>
          <w:szCs w:val="32"/>
          <w:lang w:val="en-US" w:eastAsia="zh-CN" w:bidi="ar-SA"/>
        </w:rPr>
        <w:t xml:space="preserve">严格落实城市管理监督职责，践行721工作法，通过实施领导24小时带班制度、步行看城管制度、网格化管理制度等监督机制，城市管理问题及时发现、及时交办、及时处置。在执法过程中，将依法执法、严格执法、文明执法和柔性执法相融合，既维护了执法权威，又营造了良好的营商环境氛围，得到了港区上下和园区企业的一致好评，全年共处理执法案件60余起，发送整改督办函400余份，做到了零上访、零纠纷、零投诉。                  </w:t>
      </w:r>
    </w:p>
    <w:p w14:paraId="3B08C984">
      <w:pPr>
        <w:keepNext w:val="0"/>
        <w:keepLines w:val="0"/>
        <w:pageBreakBefore w:val="0"/>
        <w:widowControl w:val="0"/>
        <w:numPr>
          <w:ilvl w:val="0"/>
          <w:numId w:val="0"/>
        </w:numPr>
        <w:tabs>
          <w:tab w:val="left" w:pos="3360"/>
        </w:tabs>
        <w:kinsoku/>
        <w:wordWrap/>
        <w:overflowPunct/>
        <w:topLinePunct w:val="0"/>
        <w:autoSpaceDE/>
        <w:autoSpaceDN/>
        <w:bidi w:val="0"/>
        <w:snapToGrid/>
        <w:spacing w:beforeLines="0" w:afterLines="0" w:line="620" w:lineRule="exact"/>
        <w:ind w:firstLine="640" w:firstLineChars="200"/>
        <w:jc w:val="both"/>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（2）强化考评奖惩机制。</w:t>
      </w:r>
      <w:r>
        <w:rPr>
          <w:rFonts w:hint="eastAsia" w:ascii="CESI仿宋-GB2312" w:hAnsi="CESI仿宋-GB2312" w:eastAsia="CESI仿宋-GB2312" w:cs="CESI仿宋-GB2312"/>
          <w:kern w:val="2"/>
          <w:sz w:val="32"/>
          <w:szCs w:val="32"/>
          <w:lang w:val="en-US" w:eastAsia="zh-CN" w:bidi="ar-SA"/>
        </w:rPr>
        <w:t>严格落实考评考核制度，以中心城区六区考评、12345政务热线、智慧城管信息平台考核为抓手，结合城陵矶新港区《考核实施细则》，对管养单位实施标准化考核，将每季度考评结果作为管养经费拨付依据，促进各管养单位维护管养水平提升。完成了云港路、云欣南路、进港路等12条路的“洁净样板街”创建工作。</w:t>
      </w:r>
    </w:p>
    <w:p w14:paraId="6355A8C7">
      <w:pPr>
        <w:keepNext w:val="0"/>
        <w:keepLines w:val="0"/>
        <w:pageBreakBefore w:val="0"/>
        <w:widowControl w:val="0"/>
        <w:numPr>
          <w:ilvl w:val="0"/>
          <w:numId w:val="0"/>
        </w:numPr>
        <w:tabs>
          <w:tab w:val="left" w:pos="3360"/>
        </w:tabs>
        <w:kinsoku/>
        <w:wordWrap/>
        <w:overflowPunct/>
        <w:topLinePunct w:val="0"/>
        <w:autoSpaceDE/>
        <w:autoSpaceDN/>
        <w:bidi w:val="0"/>
        <w:snapToGrid/>
        <w:spacing w:beforeLines="0" w:afterLines="0" w:line="620" w:lineRule="exact"/>
        <w:ind w:firstLine="640" w:firstLineChars="200"/>
        <w:jc w:val="both"/>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（3）探索协调联动机制。</w:t>
      </w:r>
      <w:r>
        <w:rPr>
          <w:rFonts w:hint="eastAsia" w:ascii="CESI仿宋-GB2312" w:hAnsi="CESI仿宋-GB2312" w:eastAsia="CESI仿宋-GB2312" w:cs="CESI仿宋-GB2312"/>
          <w:kern w:val="2"/>
          <w:sz w:val="32"/>
          <w:szCs w:val="32"/>
          <w:lang w:val="en-US" w:eastAsia="zh-CN" w:bidi="ar-SA"/>
        </w:rPr>
        <w:t>牢固树立“大城管”工作理念，加强与港区各职能部门和园区企业的对接联动，细化各自职责任务、完善交办督办流程，形成信息互通、责任共担、多方联动的城市管理“一盘棋”格局。在抗冰保畅、雨污水管网整治、卫生城市复查、中央和省市环保督查、省旅发大会筹备等重点工作中，先后发送工作《督办函》15份，《问题整改函》23份，积极发挥了牵头部门的作用，确保了许多难点热点问题迎刃而解，各项重点工作顺利落实落地。特别是顺应全市城管执法领域改革的大势，坚决贯彻落实局党组关于新港区城管执法的指示精神，主动与市城管支队对接，顺利完成了港区现有执法力量与市城管支队派驻执法人员的融合，形成了市局统一领导、港区分局主导、城管支队配合的执法新模式。</w:t>
      </w:r>
    </w:p>
    <w:p w14:paraId="7F7B44E7">
      <w:pPr>
        <w:keepNext w:val="0"/>
        <w:keepLines w:val="0"/>
        <w:pageBreakBefore w:val="0"/>
        <w:widowControl w:val="0"/>
        <w:numPr>
          <w:ilvl w:val="0"/>
          <w:numId w:val="0"/>
        </w:numPr>
        <w:tabs>
          <w:tab w:val="left" w:pos="3360"/>
        </w:tabs>
        <w:kinsoku/>
        <w:wordWrap/>
        <w:overflowPunct/>
        <w:topLinePunct w:val="0"/>
        <w:autoSpaceDE/>
        <w:autoSpaceDN/>
        <w:bidi w:val="0"/>
        <w:snapToGrid/>
        <w:spacing w:beforeLines="0" w:afterLines="0" w:line="620" w:lineRule="exact"/>
        <w:ind w:firstLine="640" w:firstLineChars="200"/>
        <w:jc w:val="both"/>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（4）建立审批高效机制。</w:t>
      </w:r>
      <w:r>
        <w:rPr>
          <w:rFonts w:hint="eastAsia" w:ascii="CESI仿宋-GB2312" w:hAnsi="CESI仿宋-GB2312" w:eastAsia="CESI仿宋-GB2312" w:cs="CESI仿宋-GB2312"/>
          <w:kern w:val="2"/>
          <w:sz w:val="32"/>
          <w:szCs w:val="32"/>
          <w:lang w:val="en-US" w:eastAsia="zh-CN" w:bidi="ar-SA"/>
        </w:rPr>
        <w:t>聚焦企业和群众办事的难点、堵点、痛点，将行政审批关口前移，通过采取提前介入指导的方式为申请人提供行政审批服务，让群众办事更舒心、让企业投资更便利，港区内新建、改建、扩建项目“绿线”审批手续实现全覆盖。全年共办理 27个“绿线”审批项目，其中批总图项目5个，绿线划定项目6个，绿线验收项目16个，助力了城陵矶新港区的快速发展。</w:t>
      </w:r>
    </w:p>
    <w:p w14:paraId="372EA884">
      <w:pPr>
        <w:pStyle w:val="5"/>
        <w:keepNext w:val="0"/>
        <w:keepLines w:val="0"/>
        <w:pageBreakBefore w:val="0"/>
        <w:widowControl w:val="0"/>
        <w:kinsoku/>
        <w:wordWrap/>
        <w:overflowPunct/>
        <w:topLinePunct w:val="0"/>
        <w:autoSpaceDE/>
        <w:autoSpaceDN/>
        <w:bidi w:val="0"/>
        <w:snapToGrid/>
        <w:spacing w:beforeLines="0" w:after="0" w:afterLines="0" w:line="620" w:lineRule="exact"/>
        <w:ind w:left="0" w:leftChars="0" w:firstLine="640" w:firstLineChars="200"/>
        <w:jc w:val="both"/>
        <w:textAlignment w:val="auto"/>
        <w:rPr>
          <w:rFonts w:hint="eastAsia" w:ascii="CESI仿宋-GB2312" w:hAnsi="CESI仿宋-GB2312" w:eastAsia="CESI仿宋-GB2312" w:cs="CESI仿宋-GB2312"/>
          <w:b w:val="0"/>
          <w:bCs w:val="0"/>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2、维护管养精细化，园区形象进一步提升。</w:t>
      </w:r>
    </w:p>
    <w:p w14:paraId="05AA7EFF">
      <w:pPr>
        <w:keepNext w:val="0"/>
        <w:keepLines w:val="0"/>
        <w:pageBreakBefore w:val="0"/>
        <w:widowControl w:val="0"/>
        <w:numPr>
          <w:ilvl w:val="0"/>
          <w:numId w:val="0"/>
        </w:numPr>
        <w:tabs>
          <w:tab w:val="left" w:pos="3360"/>
        </w:tabs>
        <w:kinsoku/>
        <w:wordWrap/>
        <w:overflowPunct/>
        <w:topLinePunct w:val="0"/>
        <w:autoSpaceDE/>
        <w:autoSpaceDN/>
        <w:bidi w:val="0"/>
        <w:snapToGrid/>
        <w:spacing w:beforeLines="0" w:afterLines="0" w:line="620" w:lineRule="exact"/>
        <w:ind w:firstLine="640" w:firstLineChars="200"/>
        <w:jc w:val="both"/>
        <w:textAlignment w:val="auto"/>
        <w:rPr>
          <w:rFonts w:hint="eastAsia" w:ascii="CESI仿宋-GB2312" w:hAnsi="CESI仿宋-GB2312" w:eastAsia="CESI仿宋-GB2312" w:cs="CESI仿宋-GB2312"/>
          <w:b w:val="0"/>
          <w:bCs w:val="0"/>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1）园林绿化养护提标。根据城区绿化管理养护标准，对绿地进行标准化、科学化养护。针对港区园林绿化底子差、基础薄弱的特点，定期对苗木进行施肥、修剪和疏枝，以保持其健康生长状态，并塑造美观外形。对缺株、死株和黄土祼露的绿地进行补绿、增绿，全年共计补植苗木1217株、绿地9319平方米，病虫害防治施药91775㎡，树木防冻刷白57600株，绿地清杂面积67232㎡。</w:t>
      </w:r>
    </w:p>
    <w:p w14:paraId="42386D1D">
      <w:pPr>
        <w:keepNext w:val="0"/>
        <w:keepLines w:val="0"/>
        <w:pageBreakBefore w:val="0"/>
        <w:widowControl w:val="0"/>
        <w:numPr>
          <w:ilvl w:val="0"/>
          <w:numId w:val="0"/>
        </w:numPr>
        <w:tabs>
          <w:tab w:val="left" w:pos="3360"/>
        </w:tabs>
        <w:kinsoku/>
        <w:wordWrap/>
        <w:overflowPunct/>
        <w:topLinePunct w:val="0"/>
        <w:autoSpaceDE/>
        <w:autoSpaceDN/>
        <w:bidi w:val="0"/>
        <w:snapToGrid/>
        <w:spacing w:beforeLines="0" w:afterLines="0" w:line="620" w:lineRule="exact"/>
        <w:ind w:firstLine="640" w:firstLineChars="200"/>
        <w:jc w:val="both"/>
        <w:textAlignment w:val="auto"/>
        <w:rPr>
          <w:rFonts w:hint="eastAsia" w:ascii="CESI仿宋-GB2312" w:hAnsi="CESI仿宋-GB2312" w:eastAsia="CESI仿宋-GB2312" w:cs="CESI仿宋-GB2312"/>
          <w:b w:val="0"/>
          <w:bCs w:val="0"/>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2）卫生保洁养护提档。为营造清爽洁净的园区环境，加大了机械化作业力度和道路冲水降尘频次，园区环境得到明显改善。着力加强抑尘降尘工作，按照市生态环保局关于臭氧污染临时管控通知的有关要求，在特护期内对园区重点路段、重点区域、重点地段采取循环洒水、雾炮作业，全年共计雾炮降尘2921车。</w:t>
      </w:r>
    </w:p>
    <w:p w14:paraId="7B28D9EF">
      <w:pPr>
        <w:keepNext w:val="0"/>
        <w:keepLines w:val="0"/>
        <w:pageBreakBefore w:val="0"/>
        <w:widowControl w:val="0"/>
        <w:numPr>
          <w:ilvl w:val="0"/>
          <w:numId w:val="0"/>
        </w:numPr>
        <w:tabs>
          <w:tab w:val="left" w:pos="3360"/>
        </w:tabs>
        <w:kinsoku/>
        <w:wordWrap/>
        <w:overflowPunct/>
        <w:topLinePunct w:val="0"/>
        <w:autoSpaceDE/>
        <w:autoSpaceDN/>
        <w:bidi w:val="0"/>
        <w:snapToGrid/>
        <w:spacing w:beforeLines="0" w:afterLines="0" w:line="620" w:lineRule="exact"/>
        <w:ind w:firstLine="640" w:firstLineChars="200"/>
        <w:jc w:val="both"/>
        <w:textAlignment w:val="auto"/>
        <w:rPr>
          <w:rFonts w:hint="eastAsia" w:ascii="CESI仿宋-GB2312" w:hAnsi="CESI仿宋-GB2312" w:eastAsia="CESI仿宋-GB2312" w:cs="CESI仿宋-GB2312"/>
          <w:b w:val="0"/>
          <w:bCs w:val="0"/>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3）市政设施养护提质。一是开展排水管网日常维养巡查，完成了海关路、长江大道、兴港路、云港路等路段共计280km的雨水管网维护清淤、疏通工作，更换雨污井盖121套，铸铁雨水窗163套，修复井盖62套、雨水窗58套，泵站集水池清淤、淤泥外运累计418余立方米。切实提高城市排水防涝和应急能力，对重点易涝区域的排水设施进行了全面排查与整改，全年改造积水点10余处，出动防汛、排积任务18次，未发生一起因路面积水而造成的人员财产安全事故。二是加强桥梁道路安全巡查。重点对路面和人行道下沉现象进行排查，全年共完成道路路面坑槽修补26169㎡，路面基层</w:t>
      </w:r>
      <w:r>
        <w:rPr>
          <w:rFonts w:hint="eastAsia" w:ascii="仿宋_GB2312" w:hAnsi="仿宋_GB2312" w:eastAsia="仿宋_GB2312" w:cs="仿宋_GB2312"/>
          <w:kern w:val="2"/>
          <w:sz w:val="32"/>
          <w:szCs w:val="32"/>
          <w:lang w:val="en-US" w:eastAsia="zh-CN" w:bidi="ar-SA"/>
        </w:rPr>
        <w:t>修复4489㎡，路面修补处标线3682㎡，沥青路面裂缝修</w:t>
      </w:r>
      <w:r>
        <w:rPr>
          <w:rFonts w:hint="eastAsia" w:ascii="CESI仿宋-GB2312" w:hAnsi="CESI仿宋-GB2312" w:eastAsia="CESI仿宋-GB2312" w:cs="CESI仿宋-GB2312"/>
          <w:b w:val="0"/>
          <w:bCs w:val="0"/>
          <w:kern w:val="2"/>
          <w:sz w:val="32"/>
          <w:szCs w:val="32"/>
          <w:lang w:val="en-US" w:eastAsia="zh-CN" w:bidi="ar-SA"/>
        </w:rPr>
        <w:t>补47876m，人行道损坏修复5603㎡，路沿石维修更换629.5m，路边石维修更换3960m，人行道拉线板损坏处恢复480㎡。全力做好应急保畅工作，在两轮低温雨雪冰冻天气期间，组织对长江大道、云港路、联港南路等主次干道不分昼夜铲冰除雪，有力保障了进出港区重要通道的安全畅通。三是加强路灯亮化巡查，确保园区路灯亮化率在98%以上。全年共处置线路故障39起，变压器高压故障3起，维修更换北环线灯具217套，维修灯杆556套，对环湖路被盗的480米电缆进行抢修。为实现节能减排，强化绿色照明节能改造，对海关路路灯进行绿色照明改造，共计更换LED灯具87盏。重点解决了安全隐患较大的海关路路口至华能桥段两侧路灯线路老化、绝缘破损问题，更换了VV4*25电缆1800米。</w:t>
      </w:r>
    </w:p>
    <w:p w14:paraId="7BA27643">
      <w:pPr>
        <w:keepNext w:val="0"/>
        <w:keepLines w:val="0"/>
        <w:pageBreakBefore w:val="0"/>
        <w:widowControl w:val="0"/>
        <w:numPr>
          <w:ilvl w:val="0"/>
          <w:numId w:val="0"/>
        </w:numPr>
        <w:tabs>
          <w:tab w:val="left" w:pos="3360"/>
        </w:tabs>
        <w:kinsoku/>
        <w:wordWrap/>
        <w:overflowPunct/>
        <w:topLinePunct w:val="0"/>
        <w:autoSpaceDE/>
        <w:autoSpaceDN/>
        <w:bidi w:val="0"/>
        <w:snapToGrid/>
        <w:spacing w:beforeLines="0" w:afterLines="0" w:line="620" w:lineRule="exact"/>
        <w:ind w:firstLine="640" w:firstLineChars="200"/>
        <w:jc w:val="both"/>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4）专项整治工作提效。按照年初制定的年度综合整治计划，向区管委会争取了应急整治专项经费，系统开展专项整治行动，全面整治港区脏乱差现象。一是加强燃气安全隐患排查。全年共开展燃气安全隐患排查专项行动30余次，瓶装液化石油气安全隐患专项整治行动6次，发现各类燃气安全隐患问题99个，已全部整改完成。组织专班对辖区范围内所有在建项目及建成企业用户进行了全面系统检查，共排查燃气工商用户172家，发现并整改一般隐患81个，发放天燃气管道保护告知书43份，签订燃气管道保护方案23份。二是加强扬尘污染防治。每周至少开展3次餐饮门店油烟排放治理巡查行动，重点整治未安装油烟净化设施和排放不达标的餐饮门店，</w:t>
      </w:r>
      <w:r>
        <w:rPr>
          <w:rFonts w:hint="eastAsia" w:ascii="仿宋_GB2312" w:hAnsi="仿宋_GB2312" w:eastAsia="仿宋_GB2312" w:cs="仿宋_GB2312"/>
          <w:kern w:val="2"/>
          <w:sz w:val="32"/>
          <w:szCs w:val="32"/>
          <w:lang w:val="en-US" w:eastAsia="zh-CN" w:bidi="ar-SA"/>
        </w:rPr>
        <w:t>向</w:t>
      </w:r>
      <w:r>
        <w:rPr>
          <w:rFonts w:hint="eastAsia" w:ascii="CESI仿宋-GB2312" w:hAnsi="CESI仿宋-GB2312" w:eastAsia="CESI仿宋-GB2312" w:cs="CESI仿宋-GB2312"/>
          <w:b w:val="0"/>
          <w:bCs w:val="0"/>
          <w:kern w:val="2"/>
          <w:sz w:val="32"/>
          <w:szCs w:val="32"/>
          <w:lang w:val="en-US" w:eastAsia="zh-CN" w:bidi="ar-SA"/>
        </w:rPr>
        <w:t>18家油烟净化设施不达标门店下达了限期整改通知书。督促渣土运输项目落实扬尘污染防治“六个百分百”要求，全年共查处违规运输车辆50余台次，督促9家未达标工地整改，发放渣土准运证7000余张、扬尘防治宣传资料300余份。加大对垃圾和秸秆焚烧行为的宣传、劝导，并与环卫、园林等业务单位以及乡街社区联动协作，全年共制止、查处露天焚烧行为20余起。三是加强施工围挡管理。持续开展临时围挡集中整治行动，重点整治围而不建、围而缓建、围大建小等问题，做到拆除一批、整改一批、提档一批，确保港区形象得到有效提升。四是加强户外广告整治。对户外广告、门店招牌、立柱广告进行了安全隐患排查，向存在安全隐患的广告设施业主单位下达整改通知书，要求立即维修或拆除；共取缔违规设置的广告20余个，清除破旧广告牌10余处，整改广告牌9个；对主干道路灯设备上的“牛皮癣”广告进行8次彻底清理，共处理“牛皮癣”广告500余处。五是加强停车秩序管理。加大宣传力度，引导市民摈弃车辆乱停乱放的陋习。通过清理“僵尸车”，腾出长期被占用的停车泊位20个；协调临街单位和小区，开放小区和前坪停车泊位108个；盘活现有公共区域资源，增设停车泊位640个；以公共绿地建设为契机，分别在汇川、锂电池、紫光等处公共绿地配套新建生态停车泊位130余个。六是加强生活垃圾分类管理。积极开展“十进”“岳分类、岳美好”等各类主题宣传活动，</w:t>
      </w:r>
      <w:r>
        <w:rPr>
          <w:rFonts w:hint="eastAsia" w:ascii="CESI仿宋-GB2312" w:hAnsi="CESI仿宋-GB2312" w:eastAsia="CESI仿宋-GB2312" w:cs="CESI仿宋-GB2312"/>
          <w:kern w:val="2"/>
          <w:sz w:val="32"/>
          <w:szCs w:val="32"/>
          <w:lang w:val="en-US" w:eastAsia="zh-CN" w:bidi="ar-SA"/>
        </w:rPr>
        <w:t>引导市民群众树立正确分类投放观念。开展生活垃圾专项督查，重点对厨余的收集、运输进行指导监督。全年向港区企业、公共机构发送生活垃圾分类“督办函”12份，办理垃圾分类处罚案件11起。督促区资产管理公司投入近10万元，在公共机构增设分类垃圾桶、建立回收体系，确保各类垃圾得到科学、有效地处理。</w:t>
      </w:r>
    </w:p>
    <w:p w14:paraId="69FBD14C">
      <w:pPr>
        <w:pStyle w:val="5"/>
        <w:keepNext w:val="0"/>
        <w:keepLines w:val="0"/>
        <w:pageBreakBefore w:val="0"/>
        <w:widowControl w:val="0"/>
        <w:kinsoku/>
        <w:wordWrap/>
        <w:overflowPunct/>
        <w:topLinePunct w:val="0"/>
        <w:autoSpaceDE/>
        <w:autoSpaceDN/>
        <w:bidi w:val="0"/>
        <w:snapToGrid/>
        <w:spacing w:beforeLines="0" w:after="0" w:afterLines="0" w:line="620" w:lineRule="exact"/>
        <w:ind w:left="0" w:leftChars="0" w:firstLine="640" w:firstLineChars="200"/>
        <w:jc w:val="both"/>
        <w:textAlignment w:val="auto"/>
        <w:rPr>
          <w:rFonts w:hint="eastAsia" w:ascii="CESI仿宋-GB2312" w:hAnsi="CESI仿宋-GB2312" w:eastAsia="CESI仿宋-GB2312" w:cs="CESI仿宋-GB2312"/>
          <w:b w:val="0"/>
          <w:bCs w:val="0"/>
          <w:color w:val="auto"/>
          <w:kern w:val="2"/>
          <w:sz w:val="32"/>
          <w:szCs w:val="32"/>
          <w:lang w:val="en-US" w:eastAsia="zh-CN" w:bidi="ar-SA"/>
        </w:rPr>
      </w:pPr>
      <w:r>
        <w:rPr>
          <w:rFonts w:hint="eastAsia" w:ascii="CESI仿宋-GB2312" w:hAnsi="CESI仿宋-GB2312" w:eastAsia="CESI仿宋-GB2312" w:cs="CESI仿宋-GB2312"/>
          <w:b w:val="0"/>
          <w:bCs w:val="0"/>
          <w:color w:val="auto"/>
          <w:kern w:val="2"/>
          <w:sz w:val="32"/>
          <w:szCs w:val="32"/>
          <w:lang w:val="en" w:eastAsia="zh-CN" w:bidi="ar-SA"/>
        </w:rPr>
        <w:t>3、</w:t>
      </w:r>
      <w:r>
        <w:rPr>
          <w:rFonts w:hint="eastAsia" w:ascii="CESI仿宋-GB2312" w:hAnsi="CESI仿宋-GB2312" w:eastAsia="CESI仿宋-GB2312" w:cs="CESI仿宋-GB2312"/>
          <w:b w:val="0"/>
          <w:bCs w:val="0"/>
          <w:color w:val="auto"/>
          <w:kern w:val="2"/>
          <w:sz w:val="32"/>
          <w:szCs w:val="32"/>
          <w:lang w:val="en-US" w:eastAsia="zh-CN" w:bidi="ar-SA"/>
        </w:rPr>
        <w:t>改造提质人本化，城市功能进一步完善。</w:t>
      </w:r>
    </w:p>
    <w:p w14:paraId="74660511">
      <w:pPr>
        <w:keepNext w:val="0"/>
        <w:keepLines w:val="0"/>
        <w:pageBreakBefore w:val="0"/>
        <w:widowControl w:val="0"/>
        <w:numPr>
          <w:ilvl w:val="0"/>
          <w:numId w:val="0"/>
        </w:numPr>
        <w:tabs>
          <w:tab w:val="left" w:pos="3360"/>
        </w:tabs>
        <w:kinsoku/>
        <w:wordWrap/>
        <w:overflowPunct/>
        <w:topLinePunct w:val="0"/>
        <w:autoSpaceDE/>
        <w:autoSpaceDN/>
        <w:bidi w:val="0"/>
        <w:snapToGrid/>
        <w:spacing w:beforeLines="0" w:afterLines="0" w:line="620" w:lineRule="exact"/>
        <w:ind w:firstLine="640" w:firstLineChars="200"/>
        <w:jc w:val="both"/>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b w:val="0"/>
          <w:bCs w:val="0"/>
          <w:color w:val="auto"/>
          <w:kern w:val="2"/>
          <w:sz w:val="32"/>
          <w:szCs w:val="32"/>
          <w:lang w:val="en-US" w:eastAsia="zh-CN" w:bidi="ar-SA"/>
        </w:rPr>
        <w:t>（1）持续开展精品街道建设。在已连续两年对重要节点实施改造提质的基础上，今年又争取专项资金，高质量完</w:t>
      </w:r>
      <w:r>
        <w:rPr>
          <w:rFonts w:hint="eastAsia" w:ascii="CESI仿宋-GB2312" w:hAnsi="CESI仿宋-GB2312" w:eastAsia="CESI仿宋-GB2312" w:cs="CESI仿宋-GB2312"/>
          <w:kern w:val="2"/>
          <w:sz w:val="32"/>
          <w:szCs w:val="32"/>
          <w:lang w:val="en-US" w:eastAsia="zh-CN" w:bidi="ar-SA"/>
        </w:rPr>
        <w:t>成了海关路、兴港路、长江大道和进港路等重要路段的城市管理基础设施及公共绿化提质改造项目建设，赢得了沿线企业和周边居民的交口称赞。</w:t>
      </w:r>
    </w:p>
    <w:p w14:paraId="1D6C02ED">
      <w:pPr>
        <w:keepNext w:val="0"/>
        <w:keepLines w:val="0"/>
        <w:pageBreakBefore w:val="0"/>
        <w:widowControl w:val="0"/>
        <w:numPr>
          <w:ilvl w:val="0"/>
          <w:numId w:val="0"/>
        </w:numPr>
        <w:tabs>
          <w:tab w:val="left" w:pos="3360"/>
        </w:tabs>
        <w:kinsoku/>
        <w:wordWrap/>
        <w:overflowPunct/>
        <w:topLinePunct w:val="0"/>
        <w:autoSpaceDE/>
        <w:autoSpaceDN/>
        <w:bidi w:val="0"/>
        <w:snapToGrid/>
        <w:spacing w:beforeLines="0" w:afterLines="0" w:line="620" w:lineRule="exact"/>
        <w:ind w:firstLine="640" w:firstLineChars="200"/>
        <w:jc w:val="both"/>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（2）高标完善公共绿地配套。</w:t>
      </w:r>
      <w:r>
        <w:rPr>
          <w:rFonts w:hint="eastAsia" w:ascii="CESI仿宋-GB2312" w:hAnsi="CESI仿宋-GB2312" w:eastAsia="CESI仿宋-GB2312" w:cs="CESI仿宋-GB2312"/>
          <w:kern w:val="2"/>
          <w:sz w:val="32"/>
          <w:szCs w:val="32"/>
          <w:lang w:val="en-US" w:eastAsia="zh-CN" w:bidi="ar-SA"/>
        </w:rPr>
        <w:t>大力优化企业周边环境，实施企业周边公共绿地的配套建设。今年完成了汇川公共绿化停车场、兴港路物流工程职业学校及东方玻璃南侧和锂电池、岳阳紫光东侧等公共绿地建设项目，新增了一道道靓丽的风景线，赢得了港区上下和企业的一致好评。</w:t>
      </w:r>
    </w:p>
    <w:p w14:paraId="7215ECC2">
      <w:pPr>
        <w:keepNext w:val="0"/>
        <w:keepLines w:val="0"/>
        <w:pageBreakBefore w:val="0"/>
        <w:widowControl w:val="0"/>
        <w:numPr>
          <w:ilvl w:val="0"/>
          <w:numId w:val="0"/>
        </w:numPr>
        <w:tabs>
          <w:tab w:val="left" w:pos="3360"/>
        </w:tabs>
        <w:kinsoku/>
        <w:wordWrap/>
        <w:overflowPunct/>
        <w:topLinePunct w:val="0"/>
        <w:autoSpaceDE/>
        <w:autoSpaceDN/>
        <w:bidi w:val="0"/>
        <w:snapToGrid/>
        <w:spacing w:beforeLines="0" w:afterLines="0" w:line="620" w:lineRule="exact"/>
        <w:ind w:firstLine="640" w:firstLineChars="200"/>
        <w:jc w:val="both"/>
        <w:textAlignment w:val="auto"/>
        <w:rPr>
          <w:rFonts w:hint="eastAsia" w:ascii="CESI仿宋-GB2312" w:hAnsi="CESI仿宋-GB2312" w:eastAsia="CESI仿宋-GB2312" w:cs="CESI仿宋-GB2312"/>
          <w:b w:val="0"/>
          <w:bCs w:val="0"/>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（3）致力推进民生实事工程。</w:t>
      </w:r>
      <w:r>
        <w:rPr>
          <w:rFonts w:hint="eastAsia" w:ascii="CESI仿宋-GB2312" w:hAnsi="CESI仿宋-GB2312" w:eastAsia="CESI仿宋-GB2312" w:cs="CESI仿宋-GB2312"/>
          <w:kern w:val="2"/>
          <w:sz w:val="32"/>
          <w:szCs w:val="32"/>
          <w:lang w:val="en-US" w:eastAsia="zh-CN" w:bidi="ar-SA"/>
        </w:rPr>
        <w:t>加大市政基础设施建设，对市民群众日常反映的“急难愁盼”民生问题进行提质改造。</w:t>
      </w:r>
      <w:r>
        <w:rPr>
          <w:rFonts w:hint="eastAsia" w:ascii="CESI仿宋-GB2312" w:hAnsi="CESI仿宋-GB2312" w:eastAsia="CESI仿宋-GB2312" w:cs="CESI仿宋-GB2312"/>
          <w:b w:val="0"/>
          <w:bCs w:val="0"/>
          <w:kern w:val="2"/>
          <w:sz w:val="32"/>
          <w:szCs w:val="32"/>
          <w:lang w:val="en-US" w:eastAsia="zh-CN" w:bidi="ar-SA"/>
        </w:rPr>
        <w:t>一是</w:t>
      </w:r>
      <w:r>
        <w:rPr>
          <w:rFonts w:hint="eastAsia" w:ascii="CESI仿宋-GB2312" w:hAnsi="CESI仿宋-GB2312" w:eastAsia="CESI仿宋-GB2312" w:cs="CESI仿宋-GB2312"/>
          <w:kern w:val="2"/>
          <w:sz w:val="32"/>
          <w:szCs w:val="32"/>
          <w:lang w:val="en-US" w:eastAsia="zh-CN" w:bidi="ar-SA"/>
        </w:rPr>
        <w:t>在园区公厕垃圾站安装除臭喷淋系统，解决了港区公厕垃圾站异味影响周边居民的问题。</w:t>
      </w:r>
      <w:r>
        <w:rPr>
          <w:rFonts w:hint="eastAsia" w:ascii="CESI仿宋-GB2312" w:hAnsi="CESI仿宋-GB2312" w:eastAsia="CESI仿宋-GB2312" w:cs="CESI仿宋-GB2312"/>
          <w:b w:val="0"/>
          <w:bCs w:val="0"/>
          <w:kern w:val="2"/>
          <w:sz w:val="32"/>
          <w:szCs w:val="32"/>
          <w:lang w:val="en-US" w:eastAsia="zh-CN" w:bidi="ar-SA"/>
        </w:rPr>
        <w:t>二是</w:t>
      </w:r>
      <w:r>
        <w:rPr>
          <w:rFonts w:hint="eastAsia" w:ascii="CESI仿宋-GB2312" w:hAnsi="CESI仿宋-GB2312" w:eastAsia="CESI仿宋-GB2312" w:cs="CESI仿宋-GB2312"/>
          <w:kern w:val="2"/>
          <w:sz w:val="32"/>
          <w:szCs w:val="32"/>
          <w:lang w:val="en-US" w:eastAsia="zh-CN" w:bidi="ar-SA"/>
        </w:rPr>
        <w:t>完成了杨树港桥、松</w:t>
      </w:r>
      <w:r>
        <w:rPr>
          <w:rFonts w:hint="eastAsia" w:ascii="仿宋_GB2312" w:hAnsi="仿宋_GB2312" w:eastAsia="仿宋_GB2312" w:cs="仿宋_GB2312"/>
          <w:kern w:val="2"/>
          <w:sz w:val="32"/>
          <w:szCs w:val="32"/>
          <w:lang w:val="en-US" w:eastAsia="zh-CN" w:bidi="ar-SA"/>
        </w:rPr>
        <w:t>杨湖大桥、白杨湖桥防撞护栏安装工作，确保了市民群众的</w:t>
      </w:r>
      <w:r>
        <w:rPr>
          <w:rFonts w:hint="eastAsia" w:ascii="CESI仿宋-GB2312" w:hAnsi="CESI仿宋-GB2312" w:eastAsia="CESI仿宋-GB2312" w:cs="CESI仿宋-GB2312"/>
          <w:b w:val="0"/>
          <w:bCs w:val="0"/>
          <w:kern w:val="2"/>
          <w:sz w:val="32"/>
          <w:szCs w:val="32"/>
          <w:lang w:val="en-US" w:eastAsia="zh-CN" w:bidi="ar-SA"/>
        </w:rPr>
        <w:t>出行交通安全问题。三是针对凌泊湖小区居民多次投诉的永济大道污水管网坍塌导致凌泊湖小区污水排放不畅问题，采取定期人工抽排方式将管道淤积污水排空，缓解了污水堵塞情况。四是对联港南路与许家垄路交界处的雨污混接进行改造，确保了该路段雨污分流，不再出现积水现象。</w:t>
      </w:r>
    </w:p>
    <w:p w14:paraId="0C13D89A">
      <w:pPr>
        <w:pStyle w:val="5"/>
        <w:keepNext w:val="0"/>
        <w:keepLines w:val="0"/>
        <w:pageBreakBefore w:val="0"/>
        <w:widowControl w:val="0"/>
        <w:kinsoku/>
        <w:wordWrap/>
        <w:overflowPunct/>
        <w:topLinePunct w:val="0"/>
        <w:autoSpaceDE/>
        <w:autoSpaceDN/>
        <w:bidi w:val="0"/>
        <w:snapToGrid/>
        <w:spacing w:beforeLines="0" w:after="0" w:afterLines="0" w:line="620" w:lineRule="exact"/>
        <w:ind w:left="0" w:leftChars="0" w:firstLine="640" w:firstLineChars="200"/>
        <w:jc w:val="both"/>
        <w:textAlignment w:val="auto"/>
        <w:rPr>
          <w:rFonts w:hint="eastAsia" w:ascii="CESI仿宋-GB2312" w:hAnsi="CESI仿宋-GB2312" w:eastAsia="CESI仿宋-GB2312" w:cs="CESI仿宋-GB2312"/>
          <w:b w:val="0"/>
          <w:bCs w:val="0"/>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4、党建工作有形化，团队意识进一步增强。</w:t>
      </w:r>
    </w:p>
    <w:p w14:paraId="1CCD51D9">
      <w:pPr>
        <w:keepNext w:val="0"/>
        <w:keepLines w:val="0"/>
        <w:pageBreakBefore w:val="0"/>
        <w:widowControl w:val="0"/>
        <w:numPr>
          <w:ilvl w:val="0"/>
          <w:numId w:val="0"/>
        </w:numPr>
        <w:tabs>
          <w:tab w:val="left" w:pos="3360"/>
        </w:tabs>
        <w:kinsoku/>
        <w:wordWrap/>
        <w:overflowPunct/>
        <w:topLinePunct w:val="0"/>
        <w:autoSpaceDE/>
        <w:autoSpaceDN/>
        <w:bidi w:val="0"/>
        <w:snapToGrid/>
        <w:spacing w:beforeLines="0" w:afterLines="0" w:line="620" w:lineRule="exact"/>
        <w:ind w:firstLine="640" w:firstLineChars="200"/>
        <w:jc w:val="both"/>
        <w:textAlignment w:val="auto"/>
        <w:rPr>
          <w:rFonts w:hint="eastAsia" w:ascii="CESI仿宋-GB2312" w:hAnsi="CESI仿宋-GB2312" w:eastAsia="CESI仿宋-GB2312" w:cs="CESI仿宋-GB2312"/>
          <w:b w:val="0"/>
          <w:bCs w:val="0"/>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（1）政治建设强化思想引领。深入学习贯彻习近平总书记关于全面深化改革的一系列新思想、新观点、新论断和党的二十届三中全会精神，引导党员干部深刻领悟“两个确立”的决定性意义。</w:t>
      </w:r>
    </w:p>
    <w:p w14:paraId="7324AD39">
      <w:pPr>
        <w:keepNext w:val="0"/>
        <w:keepLines w:val="0"/>
        <w:pageBreakBefore w:val="0"/>
        <w:widowControl w:val="0"/>
        <w:numPr>
          <w:ilvl w:val="0"/>
          <w:numId w:val="0"/>
        </w:numPr>
        <w:tabs>
          <w:tab w:val="left" w:pos="3360"/>
        </w:tabs>
        <w:kinsoku/>
        <w:wordWrap/>
        <w:overflowPunct/>
        <w:topLinePunct w:val="0"/>
        <w:autoSpaceDE/>
        <w:autoSpaceDN/>
        <w:bidi w:val="0"/>
        <w:snapToGrid/>
        <w:spacing w:beforeLines="0" w:afterLines="0" w:line="620" w:lineRule="exact"/>
        <w:ind w:firstLine="640" w:firstLineChars="200"/>
        <w:jc w:val="both"/>
        <w:textAlignment w:val="auto"/>
        <w:rPr>
          <w:rFonts w:hint="eastAsia" w:ascii="CESI仿宋-GB2312" w:hAnsi="CESI仿宋-GB2312" w:eastAsia="CESI仿宋-GB2312" w:cs="CESI仿宋-GB2312"/>
          <w:b w:val="0"/>
          <w:bCs w:val="0"/>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2）“党建+”赋能城市管理。常态化开展“走找想促”活动，党建工作与行政工作有机结合，将解决问题、发挥作用、推动发展作为首要目标，认真梳理群众关注的热点难点等民生问题，结合单位实际开展“城管党建+港区城市管理”活动，今年着力解决了公厕垃圾站异味和桥梁增设安全防撞护栏等民生问题，走好新时代党的群众路线。</w:t>
      </w:r>
    </w:p>
    <w:p w14:paraId="3DE6A27E">
      <w:pPr>
        <w:keepNext w:val="0"/>
        <w:keepLines w:val="0"/>
        <w:pageBreakBefore w:val="0"/>
        <w:widowControl w:val="0"/>
        <w:numPr>
          <w:ilvl w:val="0"/>
          <w:numId w:val="0"/>
        </w:numPr>
        <w:tabs>
          <w:tab w:val="left" w:pos="3360"/>
        </w:tabs>
        <w:kinsoku/>
        <w:wordWrap/>
        <w:overflowPunct/>
        <w:topLinePunct w:val="0"/>
        <w:autoSpaceDE/>
        <w:autoSpaceDN/>
        <w:bidi w:val="0"/>
        <w:snapToGrid/>
        <w:spacing w:beforeLines="0" w:afterLines="0" w:line="620" w:lineRule="exact"/>
        <w:ind w:firstLine="640" w:firstLineChars="200"/>
        <w:jc w:val="both"/>
        <w:textAlignment w:val="auto"/>
        <w:rPr>
          <w:rFonts w:hint="eastAsia" w:ascii="CESI仿宋-GB2312" w:hAnsi="CESI仿宋-GB2312" w:eastAsia="CESI仿宋-GB2312" w:cs="CESI仿宋-GB2312"/>
          <w:b w:val="0"/>
          <w:bCs w:val="0"/>
          <w:kern w:val="2"/>
          <w:sz w:val="32"/>
          <w:szCs w:val="32"/>
          <w:lang w:val="en-US" w:eastAsia="zh-CN" w:bidi="ar-SA"/>
        </w:rPr>
      </w:pPr>
      <w:r>
        <w:rPr>
          <w:rFonts w:hint="eastAsia" w:ascii="CESI仿宋-GB2312" w:hAnsi="CESI仿宋-GB2312" w:eastAsia="CESI仿宋-GB2312" w:cs="CESI仿宋-GB2312"/>
          <w:b w:val="0"/>
          <w:bCs w:val="0"/>
          <w:kern w:val="2"/>
          <w:sz w:val="32"/>
          <w:szCs w:val="32"/>
          <w:lang w:val="en-US" w:eastAsia="zh-CN" w:bidi="ar-SA"/>
        </w:rPr>
        <w:t>（3）严明纪律筑牢廉洁底线。一是深入开展党纪学习教育。通过开展《中国共产党纪律处分条例》集中学习、党支部书记讲授专题党课、党纪党规测试、参观红色教育基地等形式的学教活动，进一步强化党员干部纪律意识，加强自我约束，提高免疫能力，真正做到学纪、知纪、明纪、守纪。二是推进清廉机关建设。加强日常监督，落实“守底线、防风险，以正确方式履职用权”正、负面清单内容，教育引导党员干部正确、规范、廉洁用权。紧盯权力集中、资金密集的岗位或业务，开展廉政风险排查和督查检查，进一步加强风险防控</w:t>
      </w:r>
    </w:p>
    <w:p w14:paraId="3D5F3B7D">
      <w:pPr>
        <w:pStyle w:val="2"/>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jc w:val="left"/>
        <w:textAlignment w:val="auto"/>
        <w:rPr>
          <w:rFonts w:hint="eastAsia" w:ascii="CESI仿宋-GB2312" w:hAnsi="CESI仿宋-GB2312" w:eastAsia="CESI仿宋-GB2312" w:cs="CESI仿宋-GB2312"/>
          <w:b/>
          <w:bCs/>
          <w:sz w:val="32"/>
          <w:szCs w:val="32"/>
          <w:highlight w:val="none"/>
          <w:lang w:val="en-US" w:eastAsia="zh-CN"/>
        </w:rPr>
      </w:pPr>
      <w:r>
        <w:rPr>
          <w:rFonts w:hint="eastAsia" w:ascii="CESI仿宋-GB2312" w:hAnsi="CESI仿宋-GB2312" w:eastAsia="CESI仿宋-GB2312" w:cs="CESI仿宋-GB2312"/>
          <w:b/>
          <w:bCs/>
          <w:color w:val="000000"/>
          <w:kern w:val="0"/>
          <w:sz w:val="32"/>
          <w:szCs w:val="32"/>
          <w:lang w:val="en-US" w:eastAsia="zh-CN" w:bidi="ar-SA"/>
        </w:rPr>
        <w:t>（四）</w:t>
      </w:r>
      <w:r>
        <w:rPr>
          <w:rFonts w:hint="eastAsia" w:ascii="CESI仿宋-GB2312" w:hAnsi="CESI仿宋-GB2312" w:eastAsia="CESI仿宋-GB2312" w:cs="CESI仿宋-GB2312"/>
          <w:b/>
          <w:bCs/>
          <w:sz w:val="32"/>
          <w:szCs w:val="32"/>
          <w:highlight w:val="none"/>
          <w:lang w:val="en-US" w:eastAsia="zh-CN"/>
        </w:rPr>
        <w:t>履职效能、社会效应、可持续发展能力和服务对象满意度等方面情况</w:t>
      </w:r>
    </w:p>
    <w:p w14:paraId="574CD1DF">
      <w:pPr>
        <w:pStyle w:val="3"/>
        <w:keepNext w:val="0"/>
        <w:keepLines w:val="0"/>
        <w:pageBreakBefore w:val="0"/>
        <w:wordWrap/>
        <w:overflowPunct/>
        <w:topLinePunct w:val="0"/>
        <w:bidi w:val="0"/>
        <w:spacing w:line="620" w:lineRule="exact"/>
        <w:ind w:left="0" w:leftChars="0" w:firstLine="0" w:firstLineChars="0"/>
        <w:rPr>
          <w:rFonts w:hint="eastAsia"/>
          <w:lang w:val="en-US" w:eastAsia="zh-CN"/>
        </w:rPr>
      </w:pPr>
      <w:r>
        <w:rPr>
          <w:rFonts w:hint="eastAsia" w:ascii="CESI仿宋-GB2312" w:hAnsi="CESI仿宋-GB2312" w:eastAsia="CESI仿宋-GB2312" w:cs="CESI仿宋-GB2312"/>
          <w:b/>
          <w:bCs/>
          <w:sz w:val="32"/>
          <w:szCs w:val="32"/>
          <w:highlight w:val="none"/>
          <w:lang w:val="en-US" w:eastAsia="zh-CN"/>
        </w:rPr>
        <w:t xml:space="preserve">    </w:t>
      </w:r>
      <w:r>
        <w:rPr>
          <w:rFonts w:hint="eastAsia" w:ascii="CESI仿宋-GB2312" w:hAnsi="CESI仿宋-GB2312" w:eastAsia="CESI仿宋-GB2312" w:cs="CESI仿宋-GB2312"/>
          <w:b w:val="0"/>
          <w:bCs w:val="0"/>
          <w:sz w:val="32"/>
          <w:szCs w:val="32"/>
          <w:highlight w:val="none"/>
          <w:lang w:val="en-US" w:eastAsia="zh-CN"/>
        </w:rPr>
        <w:t>分局始终坚持“以人民为中心，为人民服务”的宗旨开展各项工作。</w:t>
      </w:r>
      <w:r>
        <w:rPr>
          <w:rFonts w:hint="eastAsia" w:ascii="CESI仿宋-GB2312" w:hAnsi="CESI仿宋-GB2312" w:eastAsia="CESI仿宋-GB2312" w:cs="CESI仿宋-GB2312"/>
          <w:kern w:val="2"/>
          <w:sz w:val="32"/>
          <w:szCs w:val="32"/>
          <w:lang w:val="en-US" w:eastAsia="zh-CN" w:bidi="ar-SA"/>
        </w:rPr>
        <w:t>通过采取行政审批关口前移，提前介入指导的方式为申请人提供行政审批服务，让群众办事更舒心、让企业投资更便利。采取政策法规宣传与执法相结合的模式开展城管执法工作，收效明显，新港区城市管理工作再上新台阶，既维护了执法权威，又营造了良好的营商环境氛围。加大</w:t>
      </w:r>
      <w:r>
        <w:rPr>
          <w:rFonts w:hint="eastAsia" w:ascii="CESI仿宋-GB2312" w:hAnsi="CESI仿宋-GB2312" w:eastAsia="CESI仿宋-GB2312" w:cs="CESI仿宋-GB2312"/>
          <w:b w:val="0"/>
          <w:bCs w:val="0"/>
          <w:kern w:val="2"/>
          <w:sz w:val="32"/>
          <w:szCs w:val="32"/>
          <w:lang w:val="en-US" w:eastAsia="zh-CN" w:bidi="ar-SA"/>
        </w:rPr>
        <w:t>园林绿化养护、卫生保洁养护、市政设施养护与改造升级相结合等措施，使</w:t>
      </w:r>
      <w:r>
        <w:rPr>
          <w:rFonts w:hint="eastAsia" w:ascii="CESI仿宋-GB2312" w:hAnsi="CESI仿宋-GB2312" w:eastAsia="CESI仿宋-GB2312" w:cs="CESI仿宋-GB2312"/>
          <w:kern w:val="2"/>
          <w:sz w:val="32"/>
          <w:szCs w:val="32"/>
          <w:lang w:val="en-US" w:eastAsia="zh-CN" w:bidi="ar-SA"/>
        </w:rPr>
        <w:t>城陵矶新港区城市公共服务水平不断提升，大大改善了城市居住环境，得到城陵矶新港区领导、市民、企业的一致好评。</w:t>
      </w:r>
    </w:p>
    <w:p w14:paraId="30A02A7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beforeLines="50" w:line="620" w:lineRule="exact"/>
        <w:ind w:right="11" w:rightChars="0" w:firstLine="667" w:firstLineChars="200"/>
        <w:jc w:val="both"/>
        <w:textAlignment w:val="baseline"/>
        <w:rPr>
          <w:rFonts w:hint="eastAsia" w:ascii="楷体_GB2312" w:hAnsi="楷体_GB2312" w:eastAsia="楷体_GB2312" w:cs="楷体_GB2312"/>
          <w:b/>
          <w:bCs/>
          <w:spacing w:val="6"/>
          <w:kern w:val="0"/>
          <w:sz w:val="32"/>
          <w:szCs w:val="32"/>
          <w:lang w:val="en-US" w:eastAsia="zh-CN"/>
        </w:rPr>
      </w:pPr>
      <w:r>
        <w:rPr>
          <w:rFonts w:hint="eastAsia" w:ascii="楷体_GB2312" w:hAnsi="楷体_GB2312" w:eastAsia="楷体_GB2312" w:cs="楷体_GB2312"/>
          <w:b/>
          <w:bCs/>
          <w:spacing w:val="6"/>
          <w:kern w:val="0"/>
          <w:sz w:val="32"/>
          <w:szCs w:val="32"/>
          <w:lang w:val="en-US" w:eastAsia="zh-CN"/>
        </w:rPr>
        <w:t>（五）预算资金管理情况</w:t>
      </w:r>
    </w:p>
    <w:p w14:paraId="2BEE0A64">
      <w:pPr>
        <w:pStyle w:val="2"/>
        <w:keepNext w:val="0"/>
        <w:keepLines w:val="0"/>
        <w:pageBreakBefore w:val="0"/>
        <w:numPr>
          <w:ilvl w:val="0"/>
          <w:numId w:val="0"/>
        </w:numPr>
        <w:wordWrap/>
        <w:overflowPunct/>
        <w:topLinePunct w:val="0"/>
        <w:bidi w:val="0"/>
        <w:spacing w:line="62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CESI仿宋-GB2312" w:hAnsi="CESI仿宋-GB2312" w:eastAsia="CESI仿宋-GB2312" w:cs="CESI仿宋-GB2312"/>
          <w:sz w:val="32"/>
          <w:szCs w:val="32"/>
          <w:highlight w:val="none"/>
        </w:rPr>
        <w:t>《中华人民共和国预算法》</w:t>
      </w:r>
      <w:r>
        <w:rPr>
          <w:rFonts w:hint="eastAsia" w:ascii="CESI仿宋-GB2312" w:hAnsi="CESI仿宋-GB2312" w:eastAsia="CESI仿宋-GB2312" w:cs="CESI仿宋-GB2312"/>
          <w:sz w:val="32"/>
          <w:szCs w:val="32"/>
          <w:highlight w:val="none"/>
          <w:lang w:eastAsia="zh-CN"/>
        </w:rPr>
        <w:t>、</w:t>
      </w:r>
      <w:r>
        <w:rPr>
          <w:rFonts w:hint="eastAsia" w:ascii="CESI仿宋-GB2312" w:hAnsi="CESI仿宋-GB2312" w:eastAsia="CESI仿宋-GB2312" w:cs="CESI仿宋-GB2312"/>
          <w:kern w:val="0"/>
          <w:sz w:val="32"/>
          <w:szCs w:val="32"/>
          <w:highlight w:val="none"/>
          <w:lang w:val="en-US" w:eastAsia="zh-CN"/>
        </w:rPr>
        <w:t>《政府会计制度》和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中共岳阳市委办公室 岳阳市人民政府办公室关于印发&lt;岳阳市预算绩效管理实施办法&gt;的通知》（岳办发</w:t>
      </w:r>
      <w:r>
        <w:rPr>
          <w:rFonts w:hint="eastAsia" w:ascii="仿宋_GB2312" w:hAnsi="仿宋_GB2312" w:eastAsia="仿宋_GB2312" w:cs="仿宋_GB2312"/>
          <w:b w:val="0"/>
          <w:bCs w:val="0"/>
          <w:sz w:val="32"/>
          <w:szCs w:val="32"/>
          <w:lang w:val="en-US" w:eastAsia="zh-CN"/>
        </w:rPr>
        <w:t>〔2020〕4号）及</w:t>
      </w:r>
      <w:r>
        <w:rPr>
          <w:rFonts w:hint="eastAsia" w:ascii="仿宋_GB2312" w:hAnsi="仿宋_GB2312" w:eastAsia="仿宋_GB2312" w:cs="仿宋_GB2312"/>
          <w:sz w:val="32"/>
          <w:szCs w:val="32"/>
          <w:lang w:val="en-US" w:eastAsia="zh-CN"/>
        </w:rPr>
        <w:t>其他相关文件要求，分局成立了绩效评价及监督小组，定期开展相关工作。</w:t>
      </w:r>
    </w:p>
    <w:p w14:paraId="7B93466E">
      <w:pPr>
        <w:pStyle w:val="3"/>
        <w:keepNext w:val="0"/>
        <w:keepLines w:val="0"/>
        <w:pageBreakBefore w:val="0"/>
        <w:wordWrap/>
        <w:overflowPunct/>
        <w:topLinePunct w:val="0"/>
        <w:bidi w:val="0"/>
        <w:spacing w:line="620" w:lineRule="exact"/>
        <w:ind w:left="0"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1、资金预算及绩效管理情况</w:t>
      </w:r>
    </w:p>
    <w:p w14:paraId="697EBEEA">
      <w:pPr>
        <w:pStyle w:val="2"/>
        <w:keepNext w:val="0"/>
        <w:keepLines w:val="0"/>
        <w:pageBreakBefore w:val="0"/>
        <w:wordWrap/>
        <w:overflowPunct/>
        <w:topLinePunct w:val="0"/>
        <w:bidi w:val="0"/>
        <w:spacing w:line="620" w:lineRule="exact"/>
        <w:ind w:firstLine="664" w:firstLineChars="200"/>
        <w:rPr>
          <w:rFonts w:hint="eastAsia" w:ascii="仿宋_GB2312" w:hAnsi="仿宋_GB2312" w:eastAsia="仿宋_GB2312" w:cs="仿宋_GB2312"/>
          <w:spacing w:val="6"/>
          <w:kern w:val="0"/>
          <w:sz w:val="32"/>
          <w:szCs w:val="32"/>
          <w:lang w:eastAsia="zh-CN"/>
        </w:rPr>
      </w:pPr>
      <w:r>
        <w:rPr>
          <w:rFonts w:hint="eastAsia" w:ascii="仿宋_GB2312" w:hAnsi="仿宋_GB2312" w:eastAsia="仿宋_GB2312" w:cs="仿宋_GB2312"/>
          <w:spacing w:val="6"/>
          <w:kern w:val="0"/>
          <w:sz w:val="32"/>
          <w:szCs w:val="32"/>
          <w:lang w:val="en-US" w:eastAsia="zh-CN"/>
        </w:rPr>
        <w:t>分局为加强资金</w:t>
      </w:r>
      <w:r>
        <w:rPr>
          <w:rFonts w:hint="eastAsia" w:ascii="仿宋_GB2312" w:hAnsi="仿宋_GB2312" w:eastAsia="仿宋_GB2312" w:cs="仿宋_GB2312"/>
          <w:spacing w:val="6"/>
          <w:kern w:val="0"/>
          <w:sz w:val="32"/>
          <w:szCs w:val="32"/>
        </w:rPr>
        <w:t>管理</w:t>
      </w:r>
      <w:r>
        <w:rPr>
          <w:rFonts w:hint="eastAsia" w:ascii="仿宋_GB2312" w:hAnsi="仿宋_GB2312" w:eastAsia="仿宋_GB2312" w:cs="仿宋_GB2312"/>
          <w:spacing w:val="6"/>
          <w:kern w:val="0"/>
          <w:sz w:val="32"/>
          <w:szCs w:val="32"/>
          <w:lang w:val="en-US" w:eastAsia="zh-CN"/>
        </w:rPr>
        <w:t>，从预算编制环节入手，编制</w:t>
      </w:r>
      <w:r>
        <w:rPr>
          <w:rFonts w:hint="eastAsia" w:ascii="仿宋_GB2312" w:hAnsi="仿宋_GB2312" w:eastAsia="仿宋_GB2312" w:cs="仿宋_GB2312"/>
          <w:spacing w:val="6"/>
          <w:kern w:val="0"/>
          <w:sz w:val="32"/>
          <w:szCs w:val="32"/>
        </w:rPr>
        <w:t>资金预算</w:t>
      </w:r>
      <w:r>
        <w:rPr>
          <w:rFonts w:hint="eastAsia" w:ascii="仿宋_GB2312" w:hAnsi="仿宋_GB2312" w:eastAsia="仿宋_GB2312" w:cs="仿宋_GB2312"/>
          <w:spacing w:val="6"/>
          <w:kern w:val="0"/>
          <w:sz w:val="32"/>
          <w:szCs w:val="32"/>
          <w:lang w:val="en-US" w:eastAsia="zh-CN"/>
        </w:rPr>
        <w:t>必须先</w:t>
      </w:r>
      <w:r>
        <w:rPr>
          <w:rFonts w:hint="eastAsia" w:ascii="仿宋_GB2312" w:hAnsi="仿宋_GB2312" w:eastAsia="仿宋_GB2312" w:cs="仿宋_GB2312"/>
          <w:spacing w:val="6"/>
          <w:kern w:val="0"/>
          <w:sz w:val="32"/>
          <w:szCs w:val="32"/>
        </w:rPr>
        <w:t>编制</w:t>
      </w:r>
      <w:r>
        <w:rPr>
          <w:rFonts w:hint="eastAsia" w:ascii="仿宋_GB2312" w:hAnsi="仿宋_GB2312" w:eastAsia="仿宋_GB2312" w:cs="仿宋_GB2312"/>
          <w:spacing w:val="6"/>
          <w:kern w:val="0"/>
          <w:sz w:val="32"/>
          <w:szCs w:val="32"/>
          <w:lang w:val="en-US" w:eastAsia="zh-CN"/>
        </w:rPr>
        <w:t>预算绩效</w:t>
      </w:r>
      <w:r>
        <w:rPr>
          <w:rFonts w:hint="eastAsia" w:ascii="仿宋_GB2312" w:hAnsi="仿宋_GB2312" w:eastAsia="仿宋_GB2312" w:cs="仿宋_GB2312"/>
          <w:spacing w:val="6"/>
          <w:kern w:val="0"/>
          <w:sz w:val="32"/>
          <w:szCs w:val="32"/>
        </w:rPr>
        <w:t>目标</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做到了预算资金支出有目标，确保财政资金支出效益。2024年10月底，组织开展了本年度</w:t>
      </w:r>
      <w:r>
        <w:rPr>
          <w:rFonts w:hint="eastAsia" w:ascii="仿宋_GB2312" w:hAnsi="仿宋_GB2312" w:eastAsia="仿宋_GB2312" w:cs="仿宋_GB2312"/>
          <w:spacing w:val="6"/>
          <w:kern w:val="0"/>
          <w:sz w:val="32"/>
          <w:szCs w:val="32"/>
        </w:rPr>
        <w:t>预算执行监控</w:t>
      </w:r>
      <w:r>
        <w:rPr>
          <w:rFonts w:hint="eastAsia" w:ascii="仿宋_GB2312" w:hAnsi="仿宋_GB2312" w:eastAsia="仿宋_GB2312" w:cs="仿宋_GB2312"/>
          <w:spacing w:val="6"/>
          <w:kern w:val="0"/>
          <w:sz w:val="32"/>
          <w:szCs w:val="32"/>
          <w:lang w:val="en-US" w:eastAsia="zh-CN"/>
        </w:rPr>
        <w:t>工作，分析预算执行情况，及时纠正出现的偏差，并制度相应的整改措施。2025年5 月开始组织对2024年度预算支出情况进行绩效评价工作，分析总结年度预算管理工作，做到了</w:t>
      </w:r>
      <w:r>
        <w:rPr>
          <w:rFonts w:hint="eastAsia" w:ascii="仿宋_GB2312" w:hAnsi="仿宋_GB2312" w:eastAsia="仿宋_GB2312" w:cs="仿宋_GB2312"/>
          <w:spacing w:val="6"/>
          <w:kern w:val="0"/>
          <w:sz w:val="32"/>
          <w:szCs w:val="32"/>
        </w:rPr>
        <w:t>预算</w:t>
      </w:r>
      <w:r>
        <w:rPr>
          <w:rFonts w:hint="eastAsia" w:ascii="仿宋_GB2312" w:hAnsi="仿宋_GB2312" w:eastAsia="仿宋_GB2312" w:cs="仿宋_GB2312"/>
          <w:spacing w:val="6"/>
          <w:kern w:val="0"/>
          <w:sz w:val="32"/>
          <w:szCs w:val="32"/>
          <w:lang w:val="en-US" w:eastAsia="zh-CN"/>
        </w:rPr>
        <w:t>执行</w:t>
      </w:r>
      <w:r>
        <w:rPr>
          <w:rFonts w:hint="eastAsia" w:ascii="仿宋_GB2312" w:hAnsi="仿宋_GB2312" w:eastAsia="仿宋_GB2312" w:cs="仿宋_GB2312"/>
          <w:spacing w:val="6"/>
          <w:kern w:val="0"/>
          <w:sz w:val="32"/>
          <w:szCs w:val="32"/>
        </w:rPr>
        <w:t>完成有评价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使单位经济业务从事前、事中、事后得到</w:t>
      </w:r>
      <w:r>
        <w:rPr>
          <w:rFonts w:hint="eastAsia" w:ascii="仿宋_GB2312" w:hAnsi="仿宋_GB2312" w:eastAsia="仿宋_GB2312" w:cs="仿宋_GB2312"/>
          <w:spacing w:val="6"/>
          <w:kern w:val="0"/>
          <w:sz w:val="32"/>
          <w:szCs w:val="32"/>
          <w:lang w:val="en-US" w:eastAsia="zh-CN"/>
        </w:rPr>
        <w:t>了</w:t>
      </w:r>
      <w:r>
        <w:rPr>
          <w:rFonts w:hint="eastAsia" w:ascii="仿宋_GB2312" w:hAnsi="仿宋_GB2312" w:eastAsia="仿宋_GB2312" w:cs="仿宋_GB2312"/>
          <w:spacing w:val="6"/>
          <w:kern w:val="0"/>
          <w:sz w:val="32"/>
          <w:szCs w:val="32"/>
        </w:rPr>
        <w:t>有效管控</w:t>
      </w:r>
      <w:r>
        <w:rPr>
          <w:rFonts w:hint="eastAsia" w:ascii="仿宋_GB2312" w:hAnsi="仿宋_GB2312" w:eastAsia="仿宋_GB2312" w:cs="仿宋_GB2312"/>
          <w:spacing w:val="6"/>
          <w:kern w:val="0"/>
          <w:sz w:val="32"/>
          <w:szCs w:val="32"/>
          <w:lang w:eastAsia="zh-CN"/>
        </w:rPr>
        <w:t>。</w:t>
      </w:r>
    </w:p>
    <w:p w14:paraId="4CBFC991">
      <w:pPr>
        <w:pStyle w:val="2"/>
        <w:keepNext w:val="0"/>
        <w:keepLines w:val="0"/>
        <w:pageBreakBefore w:val="0"/>
        <w:wordWrap/>
        <w:overflowPunct/>
        <w:topLinePunct w:val="0"/>
        <w:bidi w:val="0"/>
        <w:spacing w:line="620" w:lineRule="exact"/>
        <w:ind w:firstLine="640" w:firstLineChars="200"/>
        <w:jc w:val="both"/>
        <w:rPr>
          <w:rFonts w:hint="default"/>
          <w:sz w:val="32"/>
          <w:szCs w:val="32"/>
          <w:lang w:val="en-US" w:eastAsia="zh-CN"/>
        </w:rPr>
      </w:pPr>
      <w:r>
        <w:rPr>
          <w:rFonts w:hint="eastAsia" w:ascii="仿宋_GB2312" w:hAnsi="仿宋_GB2312" w:eastAsia="仿宋_GB2312" w:cs="仿宋_GB2312"/>
          <w:bCs/>
          <w:sz w:val="32"/>
          <w:szCs w:val="32"/>
          <w:highlight w:val="none"/>
          <w:lang w:val="en-US" w:eastAsia="zh-CN"/>
        </w:rPr>
        <w:t>2、资产管理情况</w:t>
      </w:r>
    </w:p>
    <w:p w14:paraId="639197C4">
      <w:pPr>
        <w:pStyle w:val="3"/>
        <w:keepNext w:val="0"/>
        <w:keepLines w:val="0"/>
        <w:pageBreakBefore w:val="0"/>
        <w:wordWrap/>
        <w:overflowPunct/>
        <w:topLinePunct w:val="0"/>
        <w:bidi w:val="0"/>
        <w:spacing w:line="620" w:lineRule="exact"/>
        <w:ind w:left="0" w:leftChars="0" w:firstLine="0" w:firstLineChars="0"/>
        <w:rPr>
          <w:rFonts w:hint="default"/>
          <w:sz w:val="32"/>
          <w:szCs w:val="32"/>
        </w:rPr>
      </w:pPr>
      <w:r>
        <w:rPr>
          <w:rFonts w:hint="eastAsia" w:ascii="仿宋_GB2312" w:hAnsi="仿宋_GB2312" w:eastAsia="仿宋_GB2312" w:cs="仿宋_GB2312"/>
          <w:bCs/>
          <w:sz w:val="32"/>
          <w:szCs w:val="32"/>
          <w:highlight w:val="none"/>
          <w:lang w:val="en-US" w:eastAsia="zh-CN"/>
        </w:rPr>
        <w:t xml:space="preserve">    分局定期开展资产清查盘点工作，根据单位工作特点，适时修订了实物管理制度，加强国有资产管理。按照厉行节约、物尽其用的原则，闲置的资产，由办公室统一调整，合理流动，发挥其效益。资产管理采取统一建帐核算，同时明确每件固定资产使用保管职责，并及时对资产进行维护保养，尽量延长资产使用寿命。固定资产配置和处置，均按规定程序办理，并严格按固定资产管理办法进行核算与管理。</w:t>
      </w:r>
    </w:p>
    <w:p w14:paraId="1E6DC0AE">
      <w:pPr>
        <w:keepNext w:val="0"/>
        <w:keepLines w:val="0"/>
        <w:pageBreakBefore w:val="0"/>
        <w:wordWrap/>
        <w:overflowPunct/>
        <w:topLinePunct w:val="0"/>
        <w:bidi w:val="0"/>
        <w:spacing w:line="620" w:lineRule="exact"/>
        <w:rPr>
          <w:rFonts w:hint="eastAsia" w:ascii="仿宋_GB2312" w:hAnsi="仿宋_GB2312" w:eastAsia="仿宋_GB2312" w:cs="仿宋_GB2312"/>
          <w:sz w:val="32"/>
          <w:szCs w:val="32"/>
          <w:lang w:val="en-US" w:eastAsia="zh-CN"/>
        </w:rPr>
      </w:pP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3、政府采购管理情况</w:t>
      </w:r>
    </w:p>
    <w:p w14:paraId="0B15167F">
      <w:pPr>
        <w:pStyle w:val="2"/>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2024年，分局严格按照</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岳阳市财政局关于印发《岳阳市预算单位政府集中采购目录及标准指引（2022版）》的通知（岳财发〔2022〕2号）和</w:t>
      </w:r>
      <w:r>
        <w:rPr>
          <w:rFonts w:hint="eastAsia" w:ascii="仿宋_GB2312" w:hAnsi="仿宋_GB2312" w:eastAsia="仿宋_GB2312" w:cs="仿宋_GB2312"/>
          <w:sz w:val="32"/>
          <w:szCs w:val="32"/>
        </w:rPr>
        <w:t>湖南省财政厅印发的《湖南省政府采购电子卖场管理办法》（湘财购［2019]27号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等文件规定的标准和程序执行，全年政府采购实际支出金额为5.87万元。</w:t>
      </w:r>
    </w:p>
    <w:p w14:paraId="5014698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4、运行成本和预算执行情况</w:t>
      </w:r>
    </w:p>
    <w:p w14:paraId="515751B3">
      <w:pPr>
        <w:pStyle w:val="2"/>
        <w:keepNext w:val="0"/>
        <w:keepLines w:val="0"/>
        <w:pageBreakBefore w:val="0"/>
        <w:numPr>
          <w:ilvl w:val="0"/>
          <w:numId w:val="0"/>
        </w:numPr>
        <w:wordWrap/>
        <w:overflowPunct/>
        <w:topLinePunct w:val="0"/>
        <w:bidi w:val="0"/>
        <w:spacing w:line="620" w:lineRule="exact"/>
        <w:ind w:firstLine="640" w:firstLineChars="200"/>
        <w:jc w:val="both"/>
        <w:rPr>
          <w:rFonts w:hint="eastAsia"/>
          <w:lang w:val="en-US" w:eastAsia="zh-CN"/>
        </w:rPr>
      </w:pPr>
      <w:r>
        <w:rPr>
          <w:rFonts w:hint="eastAsia" w:ascii="仿宋_GB2312" w:hAnsi="仿宋_GB2312" w:eastAsia="仿宋_GB2312" w:cs="仿宋_GB2312"/>
          <w:sz w:val="32"/>
          <w:szCs w:val="32"/>
          <w:lang w:val="en-US" w:eastAsia="zh-CN"/>
        </w:rPr>
        <w:t>2024年，分局全年预算金额为483.37万元（其中一般公共预算金额为366.18万元、其他资金预算金额为117.19万元），实际支出金额为471.59万元，全部为基本支出（含其他资金支出112.77万元），年度预算执行率为97.56%。坚持厉行节约，压减一般性支出，单位运行成本控制在年度预算金额内，预算执行率高。</w:t>
      </w:r>
    </w:p>
    <w:p w14:paraId="27773665">
      <w:pPr>
        <w:pStyle w:val="3"/>
        <w:keepNext w:val="0"/>
        <w:keepLines w:val="0"/>
        <w:pageBreakBefore w:val="0"/>
        <w:wordWrap/>
        <w:overflowPunct/>
        <w:topLinePunct w:val="0"/>
        <w:bidi w:val="0"/>
        <w:spacing w:line="620" w:lineRule="exact"/>
        <w:ind w:left="0" w:leftChars="0" w:firstLine="643" w:firstLineChars="200"/>
        <w:jc w:val="left"/>
        <w:rPr>
          <w:rFonts w:hint="eastAsia" w:ascii="仿宋_GB2312" w:hAnsi="仿宋_GB2312" w:eastAsia="仿宋_GB2312" w:cs="仿宋_GB2312"/>
          <w:b/>
          <w:bCs/>
          <w:color w:val="FF0000"/>
          <w:sz w:val="32"/>
          <w:szCs w:val="32"/>
          <w:u w:val="none"/>
          <w:shd w:val="clear" w:color="auto" w:fill="FFFFFF"/>
          <w:lang w:eastAsia="zh-CN"/>
        </w:rPr>
      </w:pPr>
      <w:r>
        <w:rPr>
          <w:rFonts w:hint="eastAsia" w:ascii="仿宋_GB2312" w:hAnsi="仿宋_GB2312" w:eastAsia="仿宋_GB2312" w:cs="仿宋_GB2312"/>
          <w:b/>
          <w:bCs/>
          <w:color w:val="auto"/>
          <w:sz w:val="32"/>
          <w:szCs w:val="32"/>
          <w:u w:val="none"/>
          <w:shd w:val="clear" w:color="auto" w:fill="FFFFFF"/>
          <w:lang w:eastAsia="zh-CN"/>
        </w:rPr>
        <w:t>（六）</w:t>
      </w:r>
      <w:r>
        <w:rPr>
          <w:rFonts w:hint="eastAsia" w:ascii="仿宋_GB2312" w:hAnsi="仿宋_GB2312" w:eastAsia="仿宋_GB2312" w:cs="仿宋_GB2312"/>
          <w:b/>
          <w:bCs/>
          <w:color w:val="auto"/>
          <w:sz w:val="32"/>
          <w:szCs w:val="32"/>
          <w:u w:val="none"/>
          <w:shd w:val="clear" w:color="auto" w:fill="FFFFFF"/>
        </w:rPr>
        <w:t>评价结论</w:t>
      </w:r>
      <w:bookmarkStart w:id="0" w:name="_Toc2686_WPSOffice_Level2"/>
    </w:p>
    <w:p w14:paraId="7AB66F92">
      <w:pPr>
        <w:pStyle w:val="3"/>
        <w:keepNext w:val="0"/>
        <w:keepLines w:val="0"/>
        <w:pageBreakBefore w:val="0"/>
        <w:wordWrap/>
        <w:overflowPunct/>
        <w:topLinePunct w:val="0"/>
        <w:bidi w:val="0"/>
        <w:spacing w:line="620"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u w:val="none"/>
          <w:shd w:val="clear" w:color="auto" w:fill="FFFFFF"/>
        </w:rPr>
        <w:t>评价小组</w:t>
      </w:r>
      <w:bookmarkEnd w:id="0"/>
      <w:r>
        <w:rPr>
          <w:rFonts w:hint="eastAsia" w:ascii="仿宋_GB2312" w:hAnsi="仿宋_GB2312" w:eastAsia="仿宋_GB2312" w:cs="仿宋_GB2312"/>
          <w:color w:val="333333"/>
          <w:sz w:val="32"/>
          <w:szCs w:val="32"/>
          <w:u w:val="none"/>
          <w:shd w:val="clear" w:color="auto" w:fill="FFFFFF"/>
          <w:lang w:val="en-US" w:eastAsia="zh-CN"/>
        </w:rPr>
        <w:t>对</w:t>
      </w:r>
      <w:r>
        <w:rPr>
          <w:rFonts w:hint="eastAsia" w:ascii="仿宋_GB2312" w:hAnsi="仿宋_GB2312" w:eastAsia="仿宋_GB2312" w:cs="仿宋_GB2312"/>
          <w:sz w:val="32"/>
          <w:szCs w:val="32"/>
          <w:lang w:val="en-US" w:eastAsia="zh-CN"/>
        </w:rPr>
        <w:t>岳阳市城市管理和综合执法局湖南城陵矶新港区分局</w:t>
      </w: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年</w:t>
      </w:r>
      <w:r>
        <w:rPr>
          <w:rFonts w:hint="eastAsia" w:ascii="仿宋_GB2312" w:hAnsi="仿宋_GB2312" w:eastAsia="仿宋_GB2312" w:cs="仿宋_GB2312"/>
          <w:sz w:val="32"/>
          <w:szCs w:val="32"/>
          <w:lang w:val="en-US" w:eastAsia="zh-CN"/>
        </w:rPr>
        <w:t>资金支出情况</w:t>
      </w:r>
      <w:r>
        <w:rPr>
          <w:rFonts w:hint="eastAsia" w:ascii="仿宋_GB2312" w:hAnsi="仿宋_GB2312" w:eastAsia="仿宋_GB2312" w:cs="仿宋_GB2312"/>
          <w:color w:val="333333"/>
          <w:sz w:val="32"/>
          <w:szCs w:val="32"/>
          <w:u w:val="none"/>
          <w:shd w:val="clear" w:color="auto" w:fill="FFFFFF"/>
          <w:lang w:val="en-US" w:eastAsia="zh-CN"/>
        </w:rPr>
        <w:t>进行了</w:t>
      </w:r>
      <w:r>
        <w:rPr>
          <w:rFonts w:hint="eastAsia" w:ascii="仿宋_GB2312" w:hAnsi="仿宋_GB2312" w:eastAsia="仿宋_GB2312" w:cs="仿宋_GB2312"/>
          <w:color w:val="333333"/>
          <w:sz w:val="32"/>
          <w:szCs w:val="32"/>
          <w:u w:val="none"/>
          <w:shd w:val="clear" w:color="auto" w:fill="FFFFFF"/>
        </w:rPr>
        <w:t>定量和定性分析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333333"/>
          <w:sz w:val="32"/>
          <w:szCs w:val="32"/>
          <w:shd w:val="clear" w:color="auto" w:fill="FFFFFF"/>
          <w:lang w:val="en-US" w:eastAsia="zh-CN"/>
        </w:rPr>
        <w:t>单位整体</w:t>
      </w:r>
      <w:r>
        <w:rPr>
          <w:rFonts w:hint="eastAsia" w:ascii="仿宋_GB2312" w:hAnsi="仿宋_GB2312" w:eastAsia="仿宋_GB2312" w:cs="仿宋_GB2312"/>
          <w:color w:val="333333"/>
          <w:sz w:val="32"/>
          <w:szCs w:val="32"/>
          <w:shd w:val="clear" w:color="auto" w:fill="FFFFFF"/>
        </w:rPr>
        <w:t>绩效评价最后得分为</w:t>
      </w:r>
      <w:r>
        <w:rPr>
          <w:rFonts w:hint="eastAsia" w:ascii="仿宋_GB2312" w:hAnsi="仿宋_GB2312" w:eastAsia="仿宋_GB2312" w:cs="仿宋_GB2312"/>
          <w:color w:val="333333"/>
          <w:sz w:val="32"/>
          <w:szCs w:val="32"/>
          <w:shd w:val="clear" w:color="auto" w:fill="FFFFFF"/>
          <w:lang w:val="en-US" w:eastAsia="zh-CN"/>
        </w:rPr>
        <w:t>97.76分（具体评分见附件2），</w:t>
      </w:r>
      <w:r>
        <w:rPr>
          <w:rFonts w:hint="eastAsia" w:ascii="仿宋_GB2312" w:hAnsi="仿宋_GB2312" w:eastAsia="仿宋_GB2312" w:cs="仿宋_GB2312"/>
          <w:color w:val="333333"/>
          <w:sz w:val="32"/>
          <w:szCs w:val="32"/>
          <w:shd w:val="clear" w:color="auto" w:fill="FFFFFF"/>
        </w:rPr>
        <w:t>从绩效评价总体情况来看，</w:t>
      </w:r>
      <w:r>
        <w:rPr>
          <w:rFonts w:hint="eastAsia" w:ascii="仿宋_GB2312" w:hAnsi="仿宋_GB2312" w:eastAsia="仿宋_GB2312" w:cs="仿宋_GB2312"/>
          <w:color w:val="333333"/>
          <w:sz w:val="32"/>
          <w:szCs w:val="32"/>
          <w:shd w:val="clear" w:color="auto" w:fill="FFFFFF"/>
          <w:lang w:val="en-US" w:eastAsia="zh-CN"/>
        </w:rPr>
        <w:t>单位</w:t>
      </w:r>
      <w:r>
        <w:rPr>
          <w:rFonts w:hint="eastAsia" w:ascii="仿宋_GB2312" w:hAnsi="仿宋_GB2312" w:eastAsia="仿宋_GB2312" w:cs="仿宋_GB2312"/>
          <w:color w:val="333333"/>
          <w:sz w:val="32"/>
          <w:szCs w:val="32"/>
          <w:shd w:val="clear" w:color="auto" w:fill="FFFFFF"/>
        </w:rPr>
        <w:t>资金支出规范，</w:t>
      </w:r>
      <w:r>
        <w:rPr>
          <w:rFonts w:hint="eastAsia" w:ascii="仿宋_GB2312" w:hAnsi="仿宋_GB2312" w:eastAsia="仿宋_GB2312" w:cs="仿宋_GB2312"/>
          <w:color w:val="333333"/>
          <w:sz w:val="32"/>
          <w:szCs w:val="32"/>
          <w:shd w:val="clear" w:color="auto" w:fill="FFFFFF"/>
          <w:lang w:eastAsia="zh-CN"/>
        </w:rPr>
        <w:t>使用效益好。</w:t>
      </w:r>
      <w:r>
        <w:rPr>
          <w:rFonts w:hint="eastAsia" w:ascii="仿宋_GB2312" w:hAnsi="仿宋_GB2312" w:eastAsia="仿宋_GB2312" w:cs="仿宋_GB2312"/>
          <w:color w:val="333333"/>
          <w:sz w:val="32"/>
          <w:szCs w:val="32"/>
          <w:shd w:val="clear" w:color="auto" w:fill="FFFFFF"/>
          <w:lang w:val="en-US" w:eastAsia="zh-CN"/>
        </w:rPr>
        <w:t>积极</w:t>
      </w:r>
      <w:r>
        <w:rPr>
          <w:rFonts w:hint="eastAsia" w:ascii="仿宋_GB2312" w:hAnsi="仿宋_GB2312" w:eastAsia="仿宋_GB2312" w:cs="仿宋_GB2312"/>
          <w:color w:val="333333"/>
          <w:sz w:val="32"/>
          <w:szCs w:val="32"/>
          <w:shd w:val="clear" w:color="auto" w:fill="FFFFFF"/>
        </w:rPr>
        <w:t>推</w:t>
      </w:r>
      <w:r>
        <w:rPr>
          <w:rFonts w:hint="eastAsia" w:ascii="仿宋_GB2312" w:hAnsi="仿宋_GB2312" w:eastAsia="仿宋_GB2312" w:cs="仿宋_GB2312"/>
          <w:color w:val="333333"/>
          <w:sz w:val="32"/>
          <w:szCs w:val="32"/>
          <w:shd w:val="clear" w:color="auto" w:fill="FFFFFF"/>
          <w:lang w:val="en-US" w:eastAsia="zh-CN"/>
        </w:rPr>
        <w:t>动了城陵矶新港区城市管理</w:t>
      </w:r>
      <w:r>
        <w:rPr>
          <w:rFonts w:hint="eastAsia" w:ascii="仿宋_GB2312" w:hAnsi="仿宋_GB2312" w:eastAsia="仿宋_GB2312" w:cs="仿宋_GB2312"/>
          <w:color w:val="333333"/>
          <w:sz w:val="32"/>
          <w:szCs w:val="32"/>
          <w:shd w:val="clear" w:color="auto" w:fill="FFFFFF"/>
        </w:rPr>
        <w:t>事业发展</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改善了港区城市居住环境，优化了营商环境，助力了招商引资，得到了城陵矶新港区领导和市民的普遍赞誉</w:t>
      </w:r>
      <w:r>
        <w:rPr>
          <w:rFonts w:hint="eastAsia" w:ascii="仿宋_GB2312" w:hAnsi="仿宋_GB2312" w:eastAsia="仿宋_GB2312" w:cs="仿宋_GB2312"/>
          <w:color w:val="333333"/>
          <w:sz w:val="32"/>
          <w:szCs w:val="32"/>
          <w:shd w:val="clear" w:color="auto" w:fill="FFFFFF"/>
        </w:rPr>
        <w:t>。</w:t>
      </w:r>
    </w:p>
    <w:p w14:paraId="6567B087">
      <w:pPr>
        <w:pStyle w:val="11"/>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、存在的问题及原因分析</w:t>
      </w:r>
    </w:p>
    <w:p w14:paraId="74052640">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333333"/>
          <w:sz w:val="32"/>
          <w:szCs w:val="32"/>
          <w:shd w:val="clear" w:color="auto" w:fill="FFFFFF"/>
          <w:lang w:val="en-US" w:eastAsia="zh-CN"/>
        </w:rPr>
        <w:t>城陵矶新</w:t>
      </w:r>
      <w:r>
        <w:rPr>
          <w:rFonts w:hint="eastAsia" w:ascii="CESI仿宋-GB2312" w:hAnsi="CESI仿宋-GB2312" w:eastAsia="CESI仿宋-GB2312" w:cs="CESI仿宋-GB2312"/>
          <w:sz w:val="32"/>
          <w:szCs w:val="32"/>
          <w:lang w:val="en-US" w:eastAsia="zh-CN"/>
        </w:rPr>
        <w:t>港区城乡结合部部分城市基础设施急需升级改造。主要原因为近几年来城市建设发展速度较快，城市配套设施建设没有及时跟上。</w:t>
      </w:r>
    </w:p>
    <w:p w14:paraId="04B59CCF">
      <w:pPr>
        <w:keepNext w:val="0"/>
        <w:keepLines w:val="0"/>
        <w:pageBreakBefore w:val="0"/>
        <w:widowControl/>
        <w:numPr>
          <w:ilvl w:val="0"/>
          <w:numId w:val="4"/>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0AE90032">
      <w:pPr>
        <w:pStyle w:val="3"/>
        <w:keepNext w:val="0"/>
        <w:keepLines w:val="0"/>
        <w:pageBreakBefore w:val="0"/>
        <w:wordWrap/>
        <w:overflowPunct/>
        <w:topLinePunct w:val="0"/>
        <w:bidi w:val="0"/>
        <w:spacing w:line="62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color w:val="333333"/>
          <w:sz w:val="32"/>
          <w:szCs w:val="32"/>
          <w:shd w:val="clear" w:color="auto" w:fill="FFFFFF"/>
          <w:lang w:val="en-US" w:eastAsia="zh-CN"/>
        </w:rPr>
        <w:t>城陵矶新</w:t>
      </w:r>
      <w:r>
        <w:rPr>
          <w:rFonts w:hint="eastAsia" w:ascii="仿宋_GB2312" w:hAnsi="仿宋_GB2312" w:eastAsia="仿宋_GB2312" w:cs="仿宋_GB2312"/>
          <w:sz w:val="32"/>
          <w:szCs w:val="32"/>
          <w:lang w:val="en-US" w:eastAsia="zh-CN"/>
        </w:rPr>
        <w:t>港区安排的项目资金管理，强化事前绩效评估，统筹规划合理调配资金投入，进一步提升资金支出绩效。加快城乡结合部配套设施建设，提升</w:t>
      </w:r>
      <w:r>
        <w:rPr>
          <w:rFonts w:hint="eastAsia" w:ascii="仿宋_GB2312" w:hAnsi="仿宋_GB2312" w:eastAsia="仿宋_GB2312" w:cs="仿宋_GB2312"/>
          <w:color w:val="333333"/>
          <w:sz w:val="32"/>
          <w:szCs w:val="32"/>
          <w:shd w:val="clear" w:color="auto" w:fill="FFFFFF"/>
          <w:lang w:val="en-US" w:eastAsia="zh-CN"/>
        </w:rPr>
        <w:t>城陵矶新</w:t>
      </w:r>
      <w:r>
        <w:rPr>
          <w:rFonts w:hint="eastAsia" w:ascii="仿宋_GB2312" w:hAnsi="仿宋_GB2312" w:eastAsia="仿宋_GB2312" w:cs="仿宋_GB2312"/>
          <w:sz w:val="32"/>
          <w:szCs w:val="32"/>
          <w:lang w:val="en-US" w:eastAsia="zh-CN"/>
        </w:rPr>
        <w:t>港区城市整体形象。</w:t>
      </w:r>
    </w:p>
    <w:p w14:paraId="329994A4">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、部门整体支出绩效自评结果拟应用和公开情况</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以及</w:t>
      </w:r>
      <w:r>
        <w:rPr>
          <w:rFonts w:hint="default" w:ascii="Times New Roman" w:hAnsi="Times New Roman" w:eastAsia="黑体" w:cs="Times New Roman"/>
          <w:sz w:val="32"/>
          <w:szCs w:val="32"/>
        </w:rPr>
        <w:t>其他需要说明的情况</w:t>
      </w:r>
      <w:r>
        <w:rPr>
          <w:rFonts w:hint="eastAsia" w:ascii="Times New Roman" w:hAnsi="Times New Roman" w:eastAsia="黑体" w:cs="Times New Roman"/>
          <w:sz w:val="32"/>
          <w:szCs w:val="32"/>
          <w:lang w:eastAsia="zh-CN"/>
        </w:rPr>
        <w:t>。</w:t>
      </w:r>
    </w:p>
    <w:p w14:paraId="748DF7CA">
      <w:pPr>
        <w:pStyle w:val="3"/>
        <w:keepNext w:val="0"/>
        <w:keepLines w:val="0"/>
        <w:pageBreakBefore w:val="0"/>
        <w:wordWrap/>
        <w:overflowPunct/>
        <w:topLinePunct w:val="0"/>
        <w:bidi w:val="0"/>
        <w:spacing w:line="620" w:lineRule="exact"/>
        <w:ind w:left="0" w:leftChars="0" w:firstLine="640" w:firstLineChars="200"/>
        <w:jc w:val="left"/>
        <w:rPr>
          <w:rFonts w:hint="default" w:eastAsia="仿宋_GB2312"/>
          <w:sz w:val="32"/>
          <w:szCs w:val="32"/>
          <w:lang w:val="en-US" w:eastAsia="zh-CN"/>
        </w:rPr>
      </w:pP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将作为完善本单位相关制度，改进资金管理的重要依据，同时也将作为单位内部工作总结的参考依据。本单位的预算绩效目标、预算、决算及绩效评价均按相关规定及时在市城管局门户网站进行了公开，</w:t>
      </w:r>
      <w:r>
        <w:rPr>
          <w:rFonts w:hint="eastAsia" w:ascii="仿宋_GB2312" w:hAnsi="仿宋_GB2312" w:eastAsia="仿宋_GB2312" w:cs="仿宋_GB2312"/>
          <w:kern w:val="0"/>
          <w:sz w:val="32"/>
          <w:szCs w:val="32"/>
        </w:rPr>
        <w:t>公开信息基础数据信息和会计信息资料准确、真实、完整</w:t>
      </w:r>
      <w:r>
        <w:rPr>
          <w:rFonts w:hint="eastAsia" w:ascii="仿宋_GB2312" w:hAnsi="仿宋_GB2312" w:eastAsia="仿宋_GB2312" w:cs="仿宋_GB2312"/>
          <w:kern w:val="0"/>
          <w:sz w:val="32"/>
          <w:szCs w:val="32"/>
          <w:lang w:eastAsia="zh-CN"/>
        </w:rPr>
        <w:t>，无</w:t>
      </w:r>
      <w:r>
        <w:rPr>
          <w:rFonts w:hint="eastAsia" w:ascii="CESI仿宋-GB2312" w:hAnsi="CESI仿宋-GB2312" w:eastAsia="CESI仿宋-GB2312" w:cs="CESI仿宋-GB2312"/>
          <w:sz w:val="32"/>
          <w:szCs w:val="32"/>
        </w:rPr>
        <w:t>其他需要说明的情况</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 xml:space="preserve">      </w:t>
      </w:r>
    </w:p>
    <w:p w14:paraId="2AA8A2C7">
      <w:pPr>
        <w:keepNext w:val="0"/>
        <w:keepLines w:val="0"/>
        <w:pageBreakBefore w:val="0"/>
        <w:widowControl/>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rPr>
      </w:pPr>
    </w:p>
    <w:p w14:paraId="11396FD2">
      <w:pPr>
        <w:pStyle w:val="2"/>
        <w:keepNext w:val="0"/>
        <w:keepLines w:val="0"/>
        <w:pageBreakBefore w:val="0"/>
        <w:wordWrap/>
        <w:overflowPunct/>
        <w:topLinePunct w:val="0"/>
        <w:bidi w:val="0"/>
        <w:spacing w:line="620" w:lineRule="exact"/>
        <w:rPr>
          <w:rFonts w:hint="eastAsia"/>
        </w:rPr>
      </w:pPr>
    </w:p>
    <w:p w14:paraId="2559BE2C">
      <w:pPr>
        <w:keepNext w:val="0"/>
        <w:keepLines w:val="0"/>
        <w:pageBreakBefore w:val="0"/>
        <w:widowControl/>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部门整体支出绩效评价基础数据表</w:t>
      </w:r>
    </w:p>
    <w:p w14:paraId="68EDEFCF">
      <w:pPr>
        <w:keepNext w:val="0"/>
        <w:keepLines w:val="0"/>
        <w:pageBreakBefore w:val="0"/>
        <w:widowControl/>
        <w:kinsoku/>
        <w:wordWrap/>
        <w:overflowPunct/>
        <w:topLinePunct w:val="0"/>
        <w:autoSpaceDE/>
        <w:autoSpaceDN/>
        <w:bidi w:val="0"/>
        <w:adjustRightInd/>
        <w:snapToGrid/>
        <w:spacing w:line="62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14:paraId="2ACF28D4">
      <w:pPr>
        <w:keepNext w:val="0"/>
        <w:keepLines w:val="0"/>
        <w:pageBreakBefore w:val="0"/>
        <w:wordWrap/>
        <w:overflowPunct/>
        <w:topLinePunct w:val="0"/>
        <w:bidi w:val="0"/>
        <w:spacing w:after="120" w:afterLines="50" w:line="620" w:lineRule="exact"/>
        <w:jc w:val="left"/>
        <w:rPr>
          <w:rFonts w:hint="eastAsia" w:ascii="仿宋_GB2312" w:hAnsi="仿宋_GB2312" w:eastAsia="仿宋_GB2312" w:cs="仿宋_GB2312"/>
          <w:sz w:val="32"/>
          <w:szCs w:val="32"/>
        </w:rPr>
      </w:pPr>
    </w:p>
    <w:p w14:paraId="1BBD52EC">
      <w:pPr>
        <w:pStyle w:val="2"/>
        <w:keepNext w:val="0"/>
        <w:keepLines w:val="0"/>
        <w:pageBreakBefore w:val="0"/>
        <w:wordWrap/>
        <w:overflowPunct/>
        <w:topLinePunct w:val="0"/>
        <w:bidi w:val="0"/>
        <w:spacing w:line="620" w:lineRule="exact"/>
        <w:rPr>
          <w:rFonts w:hint="eastAsia"/>
        </w:rPr>
      </w:pPr>
    </w:p>
    <w:p w14:paraId="6B1D4EB0">
      <w:pPr>
        <w:keepNext w:val="0"/>
        <w:keepLines w:val="0"/>
        <w:pageBreakBefore w:val="0"/>
        <w:wordWrap/>
        <w:overflowPunct/>
        <w:topLinePunct w:val="0"/>
        <w:bidi w:val="0"/>
        <w:spacing w:after="120" w:afterLines="50" w:line="620" w:lineRule="exact"/>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岳阳市城市管理和综合执法局湖南城陵矶新港区分局</w:t>
      </w:r>
    </w:p>
    <w:p w14:paraId="46714E00">
      <w:pPr>
        <w:keepNext w:val="0"/>
        <w:keepLines w:val="0"/>
        <w:pageBreakBefore w:val="0"/>
        <w:widowControl w:val="0"/>
        <w:kinsoku/>
        <w:wordWrap/>
        <w:overflowPunct/>
        <w:topLinePunct w:val="0"/>
        <w:autoSpaceDE/>
        <w:autoSpaceDN/>
        <w:bidi w:val="0"/>
        <w:adjustRightInd/>
        <w:snapToGrid/>
        <w:spacing w:afterLines="0"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2025年6月23日</w:t>
      </w:r>
    </w:p>
    <w:p w14:paraId="34229D8D">
      <w:pPr>
        <w:pStyle w:val="2"/>
        <w:rPr>
          <w:rFonts w:hint="eastAsia" w:ascii="仿宋_GB2312" w:hAnsi="仿宋_GB2312" w:eastAsia="仿宋_GB2312" w:cs="仿宋_GB2312"/>
          <w:sz w:val="32"/>
          <w:szCs w:val="32"/>
          <w:lang w:val="en-US" w:eastAsia="zh-CN"/>
        </w:rPr>
      </w:pPr>
    </w:p>
    <w:p w14:paraId="5539CD8D">
      <w:pPr>
        <w:pStyle w:val="3"/>
        <w:rPr>
          <w:rFonts w:hint="eastAsia"/>
          <w:lang w:eastAsia="zh-CN"/>
        </w:rPr>
      </w:pPr>
    </w:p>
    <w:p w14:paraId="41150A16">
      <w:pPr>
        <w:rPr>
          <w:rFonts w:hint="eastAsia"/>
          <w:lang w:eastAsia="zh-CN"/>
        </w:rPr>
      </w:pPr>
    </w:p>
    <w:p w14:paraId="5C1D185F">
      <w:pPr>
        <w:pStyle w:val="2"/>
        <w:rPr>
          <w:rFonts w:hint="eastAsia"/>
          <w:lang w:eastAsia="zh-CN"/>
        </w:rPr>
      </w:pPr>
    </w:p>
    <w:p w14:paraId="7A96E8BD">
      <w:pPr>
        <w:pStyle w:val="3"/>
        <w:rPr>
          <w:rFonts w:hint="eastAsia"/>
          <w:lang w:eastAsia="zh-CN"/>
        </w:rPr>
      </w:pPr>
    </w:p>
    <w:p w14:paraId="06C70928">
      <w:pPr>
        <w:rPr>
          <w:rFonts w:hint="eastAsia"/>
          <w:lang w:eastAsia="zh-CN"/>
        </w:rPr>
      </w:pPr>
    </w:p>
    <w:p w14:paraId="09C3BBB7">
      <w:pPr>
        <w:keepNext w:val="0"/>
        <w:keepLines w:val="0"/>
        <w:pageBreakBefore w:val="0"/>
        <w:widowControl w:val="0"/>
        <w:kinsoku/>
        <w:wordWrap/>
        <w:overflowPunct/>
        <w:topLinePunct w:val="0"/>
        <w:autoSpaceDE/>
        <w:autoSpaceDN/>
        <w:bidi w:val="0"/>
        <w:adjustRightInd/>
        <w:snapToGrid/>
        <w:spacing w:afterLines="0" w:line="60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7043A0D5">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10F494C">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1134E7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20A83DE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26EE77C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730A72F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12C8F22E">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7817AC5">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62AA7292">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22</w:t>
            </w:r>
          </w:p>
        </w:tc>
        <w:tc>
          <w:tcPr>
            <w:tcW w:w="2240" w:type="dxa"/>
            <w:gridSpan w:val="2"/>
            <w:tcBorders>
              <w:top w:val="single" w:color="auto" w:sz="4" w:space="0"/>
              <w:left w:val="nil"/>
              <w:bottom w:val="single" w:color="auto" w:sz="4" w:space="0"/>
              <w:right w:val="single" w:color="auto" w:sz="4" w:space="0"/>
            </w:tcBorders>
            <w:noWrap w:val="0"/>
            <w:vAlign w:val="center"/>
          </w:tcPr>
          <w:p w14:paraId="22775F2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
              </w:rPr>
              <w:t>2</w:t>
            </w:r>
            <w:r>
              <w:rPr>
                <w:rFonts w:hint="eastAsia" w:ascii="仿宋_GB2312" w:hAnsi="仿宋_GB2312" w:eastAsia="仿宋_GB2312" w:cs="仿宋_GB2312"/>
                <w:sz w:val="20"/>
                <w:szCs w:val="20"/>
                <w:highlight w:val="none"/>
                <w:lang w:val="en-US" w:eastAsia="zh-CN"/>
              </w:rPr>
              <w:t>1</w:t>
            </w:r>
          </w:p>
        </w:tc>
        <w:tc>
          <w:tcPr>
            <w:tcW w:w="2041" w:type="dxa"/>
            <w:gridSpan w:val="2"/>
            <w:tcBorders>
              <w:top w:val="single" w:color="auto" w:sz="4" w:space="0"/>
              <w:left w:val="nil"/>
              <w:bottom w:val="single" w:color="auto" w:sz="4" w:space="0"/>
              <w:right w:val="single" w:color="auto" w:sz="4" w:space="0"/>
            </w:tcBorders>
            <w:noWrap w:val="0"/>
            <w:vAlign w:val="center"/>
          </w:tcPr>
          <w:p w14:paraId="6851CA5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95.45</w:t>
            </w:r>
            <w:r>
              <w:rPr>
                <w:rFonts w:hint="default" w:ascii="仿宋_GB2312" w:hAnsi="仿宋_GB2312" w:eastAsia="仿宋_GB2312" w:cs="仿宋_GB2312"/>
                <w:sz w:val="20"/>
                <w:szCs w:val="20"/>
                <w:highlight w:val="none"/>
                <w:lang w:val="en"/>
              </w:rPr>
              <w:t>%</w:t>
            </w:r>
            <w:r>
              <w:rPr>
                <w:rFonts w:hint="eastAsia" w:ascii="仿宋_GB2312" w:hAnsi="仿宋_GB2312" w:eastAsia="仿宋_GB2312" w:cs="仿宋_GB2312"/>
                <w:sz w:val="20"/>
                <w:szCs w:val="20"/>
                <w:highlight w:val="none"/>
              </w:rPr>
              <w:t>　</w:t>
            </w:r>
          </w:p>
        </w:tc>
      </w:tr>
      <w:tr w14:paraId="3491612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8BD61D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099F79D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19276DAD">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791F3C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14:paraId="1DC4BEC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2D97BD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521707C">
            <w:pPr>
              <w:widowControl/>
              <w:spacing w:line="360" w:lineRule="exact"/>
              <w:jc w:val="center"/>
              <w:rPr>
                <w:rFonts w:hint="eastAsia" w:ascii="仿宋_GB2312" w:hAnsi="仿宋_GB2312" w:eastAsia="仿宋_GB2312" w:cs="仿宋_GB2312"/>
                <w:sz w:val="20"/>
                <w:szCs w:val="20"/>
                <w:highlight w:val="none"/>
                <w:lang w:val="en-US" w:eastAsia="zh-CN"/>
              </w:rPr>
            </w:pPr>
            <w:r>
              <w:rPr>
                <w:rFonts w:hint="default" w:ascii="仿宋_GB2312" w:hAnsi="仿宋_GB2312" w:eastAsia="仿宋_GB2312" w:cs="仿宋_GB2312"/>
                <w:color w:val="auto"/>
                <w:sz w:val="20"/>
                <w:szCs w:val="20"/>
                <w:highlight w:val="none"/>
                <w:lang w:val="en" w:eastAsia="zh-CN"/>
              </w:rPr>
              <w:t>0</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DF7081D">
            <w:pPr>
              <w:widowControl/>
              <w:spacing w:line="360" w:lineRule="exact"/>
              <w:jc w:val="center"/>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F237253">
            <w:pPr>
              <w:widowControl/>
              <w:spacing w:line="360" w:lineRule="exact"/>
              <w:jc w:val="center"/>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0</w:t>
            </w:r>
          </w:p>
        </w:tc>
      </w:tr>
      <w:tr w14:paraId="2B6F19C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CEB92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872FFA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default" w:ascii="仿宋_GB2312" w:hAnsi="仿宋_GB2312" w:eastAsia="仿宋_GB2312" w:cs="仿宋_GB2312"/>
                <w:color w:val="auto"/>
                <w:sz w:val="20"/>
                <w:szCs w:val="20"/>
                <w:highlight w:val="none"/>
                <w:lang w:val="en"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EF55A9A">
            <w:pPr>
              <w:widowControl/>
              <w:spacing w:line="360" w:lineRule="exact"/>
              <w:jc w:val="center"/>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002DABA">
            <w:pPr>
              <w:widowControl/>
              <w:spacing w:line="360" w:lineRule="exact"/>
              <w:jc w:val="center"/>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0</w:t>
            </w:r>
          </w:p>
        </w:tc>
      </w:tr>
      <w:tr w14:paraId="710DF9A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0020D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0DEA1528">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color w:val="auto"/>
                <w:sz w:val="20"/>
                <w:szCs w:val="20"/>
                <w:highlight w:val="none"/>
                <w:lang w:val="en" w:eastAsia="zh-CN"/>
              </w:rPr>
              <w:t>0</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01C9AD7">
            <w:pPr>
              <w:widowControl/>
              <w:spacing w:line="360" w:lineRule="exact"/>
              <w:jc w:val="center"/>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012DBCE">
            <w:pPr>
              <w:widowControl/>
              <w:spacing w:line="360" w:lineRule="exact"/>
              <w:jc w:val="center"/>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0</w:t>
            </w:r>
          </w:p>
        </w:tc>
      </w:tr>
      <w:tr w14:paraId="387C8AA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B10A09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03501B0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196064B">
            <w:pPr>
              <w:widowControl/>
              <w:spacing w:line="360" w:lineRule="exact"/>
              <w:jc w:val="center"/>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621995F">
            <w:pPr>
              <w:widowControl/>
              <w:spacing w:line="360" w:lineRule="exact"/>
              <w:jc w:val="center"/>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0</w:t>
            </w:r>
          </w:p>
        </w:tc>
      </w:tr>
      <w:tr w14:paraId="3850220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790DC9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FCEFE47">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6B7BD06">
            <w:pPr>
              <w:widowControl/>
              <w:spacing w:line="360" w:lineRule="exact"/>
              <w:jc w:val="center"/>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951CC53">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14:paraId="42BDAEB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B50362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6AA4E35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00E3A05">
            <w:pPr>
              <w:widowControl/>
              <w:spacing w:line="360" w:lineRule="exact"/>
              <w:jc w:val="center"/>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0CE0161">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14:paraId="101F0A0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C72CA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C8A6DD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D1FB718">
            <w:pPr>
              <w:widowControl/>
              <w:spacing w:line="360" w:lineRule="exact"/>
              <w:jc w:val="center"/>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38FD635">
            <w:pPr>
              <w:widowControl/>
              <w:spacing w:line="360" w:lineRule="exact"/>
              <w:jc w:val="center"/>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0</w:t>
            </w:r>
          </w:p>
        </w:tc>
      </w:tr>
      <w:tr w14:paraId="715C8EB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178C2F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9152D8E">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9C0AD94">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42BD7A9">
            <w:pPr>
              <w:widowControl/>
              <w:spacing w:line="360" w:lineRule="exact"/>
              <w:jc w:val="center"/>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0</w:t>
            </w:r>
          </w:p>
        </w:tc>
      </w:tr>
      <w:tr w14:paraId="71E459F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97AC7F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3EA23C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710272E">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11044D0">
            <w:pPr>
              <w:widowControl/>
              <w:spacing w:line="360" w:lineRule="exact"/>
              <w:jc w:val="center"/>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0</w:t>
            </w:r>
          </w:p>
        </w:tc>
      </w:tr>
      <w:tr w14:paraId="3427286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B1D369">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486D6FC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80F45A0">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C45B5B6">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14:paraId="3E554DE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7DAAD1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0DBA30F">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sz w:val="20"/>
                <w:szCs w:val="20"/>
                <w:highlight w:val="none"/>
                <w:lang w:val="en-US" w:eastAsia="zh-CN"/>
              </w:rPr>
              <w:t>49.64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702466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104.33</w:t>
            </w:r>
          </w:p>
        </w:tc>
        <w:tc>
          <w:tcPr>
            <w:tcW w:w="2041" w:type="dxa"/>
            <w:gridSpan w:val="2"/>
            <w:tcBorders>
              <w:top w:val="single" w:color="auto" w:sz="4" w:space="0"/>
              <w:left w:val="nil"/>
              <w:bottom w:val="single" w:color="auto" w:sz="4" w:space="0"/>
              <w:right w:val="single" w:color="000000" w:sz="4" w:space="0"/>
            </w:tcBorders>
            <w:noWrap w:val="0"/>
            <w:vAlign w:val="center"/>
          </w:tcPr>
          <w:p w14:paraId="17FC207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98.67</w:t>
            </w:r>
          </w:p>
        </w:tc>
      </w:tr>
      <w:tr w14:paraId="1EA6125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E36807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E7F1847">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2.72</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AD70C7F">
            <w:pPr>
              <w:widowControl/>
              <w:spacing w:line="360" w:lineRule="exact"/>
              <w:jc w:val="center"/>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6.00</w:t>
            </w:r>
          </w:p>
        </w:tc>
        <w:tc>
          <w:tcPr>
            <w:tcW w:w="2041" w:type="dxa"/>
            <w:gridSpan w:val="2"/>
            <w:tcBorders>
              <w:top w:val="single" w:color="auto" w:sz="4" w:space="0"/>
              <w:left w:val="nil"/>
              <w:bottom w:val="single" w:color="auto" w:sz="4" w:space="0"/>
              <w:right w:val="single" w:color="000000" w:sz="4" w:space="0"/>
            </w:tcBorders>
            <w:noWrap w:val="0"/>
            <w:vAlign w:val="center"/>
          </w:tcPr>
          <w:p w14:paraId="741CEC6A">
            <w:pPr>
              <w:widowControl/>
              <w:spacing w:line="360" w:lineRule="exact"/>
              <w:jc w:val="center"/>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5.32</w:t>
            </w:r>
          </w:p>
        </w:tc>
      </w:tr>
      <w:tr w14:paraId="3EA1960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E82A3C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2486CF2D">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2.00</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CC03FC0">
            <w:pPr>
              <w:widowControl/>
              <w:spacing w:line="360" w:lineRule="exact"/>
              <w:jc w:val="center"/>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2.00</w:t>
            </w:r>
          </w:p>
        </w:tc>
        <w:tc>
          <w:tcPr>
            <w:tcW w:w="2041" w:type="dxa"/>
            <w:gridSpan w:val="2"/>
            <w:tcBorders>
              <w:top w:val="single" w:color="auto" w:sz="4" w:space="0"/>
              <w:left w:val="nil"/>
              <w:bottom w:val="single" w:color="auto" w:sz="4" w:space="0"/>
              <w:right w:val="single" w:color="000000" w:sz="4" w:space="0"/>
            </w:tcBorders>
            <w:noWrap w:val="0"/>
            <w:vAlign w:val="center"/>
          </w:tcPr>
          <w:p w14:paraId="4BEEB403">
            <w:pPr>
              <w:widowControl/>
              <w:spacing w:line="360" w:lineRule="exact"/>
              <w:jc w:val="center"/>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0</w:t>
            </w:r>
          </w:p>
        </w:tc>
      </w:tr>
      <w:tr w14:paraId="7C1097A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85AC4F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3C768EA0">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2.17</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045B1DD">
            <w:pPr>
              <w:widowControl/>
              <w:spacing w:line="360" w:lineRule="exact"/>
              <w:jc w:val="center"/>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1.00</w:t>
            </w:r>
          </w:p>
        </w:tc>
        <w:tc>
          <w:tcPr>
            <w:tcW w:w="2041" w:type="dxa"/>
            <w:gridSpan w:val="2"/>
            <w:tcBorders>
              <w:top w:val="single" w:color="auto" w:sz="4" w:space="0"/>
              <w:left w:val="nil"/>
              <w:bottom w:val="single" w:color="auto" w:sz="4" w:space="0"/>
              <w:right w:val="single" w:color="000000" w:sz="4" w:space="0"/>
            </w:tcBorders>
            <w:noWrap w:val="0"/>
            <w:vAlign w:val="center"/>
          </w:tcPr>
          <w:p w14:paraId="6F5BBE4D">
            <w:pPr>
              <w:widowControl/>
              <w:spacing w:line="360" w:lineRule="exact"/>
              <w:jc w:val="center"/>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0</w:t>
            </w:r>
          </w:p>
        </w:tc>
      </w:tr>
      <w:tr w14:paraId="2AC5285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C83D4F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754B81FA">
            <w:pPr>
              <w:widowControl/>
              <w:spacing w:line="360" w:lineRule="exact"/>
              <w:jc w:val="center"/>
              <w:rPr>
                <w:rFonts w:hint="eastAsia" w:ascii="仿宋_GB2312" w:hAnsi="仿宋_GB2312" w:eastAsia="仿宋_GB2312" w:cs="仿宋_GB2312"/>
                <w:color w:val="auto"/>
                <w:sz w:val="20"/>
                <w:szCs w:val="20"/>
                <w:highlight w:val="none"/>
                <w:lang w:eastAsia="zh-CN"/>
              </w:rPr>
            </w:pPr>
            <w:r>
              <w:rPr>
                <w:rFonts w:hint="default" w:ascii="仿宋_GB2312" w:hAnsi="仿宋_GB2312" w:eastAsia="仿宋_GB2312" w:cs="仿宋_GB2312"/>
                <w:sz w:val="20"/>
                <w:szCs w:val="20"/>
                <w:highlight w:val="none"/>
                <w:lang w:val="en"/>
              </w:rPr>
              <w:t>56.34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AA2F425">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28.90</w:t>
            </w:r>
          </w:p>
        </w:tc>
        <w:tc>
          <w:tcPr>
            <w:tcW w:w="2041" w:type="dxa"/>
            <w:gridSpan w:val="2"/>
            <w:tcBorders>
              <w:top w:val="single" w:color="auto" w:sz="4" w:space="0"/>
              <w:left w:val="nil"/>
              <w:bottom w:val="single" w:color="auto" w:sz="4" w:space="0"/>
              <w:right w:val="single" w:color="000000" w:sz="4" w:space="0"/>
            </w:tcBorders>
            <w:noWrap w:val="0"/>
            <w:vAlign w:val="center"/>
          </w:tcPr>
          <w:p w14:paraId="6D04B49A">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5.87</w:t>
            </w:r>
          </w:p>
        </w:tc>
      </w:tr>
      <w:tr w14:paraId="3CA160B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B9DCF6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077FF4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422.64</w:t>
            </w:r>
          </w:p>
        </w:tc>
        <w:tc>
          <w:tcPr>
            <w:tcW w:w="2240" w:type="dxa"/>
            <w:gridSpan w:val="2"/>
            <w:tcBorders>
              <w:top w:val="single" w:color="auto" w:sz="4" w:space="0"/>
              <w:left w:val="nil"/>
              <w:bottom w:val="single" w:color="auto" w:sz="4" w:space="0"/>
              <w:right w:val="single" w:color="000000" w:sz="4" w:space="0"/>
            </w:tcBorders>
            <w:noWrap w:val="0"/>
            <w:vAlign w:val="center"/>
          </w:tcPr>
          <w:p w14:paraId="4DBD38C3">
            <w:pPr>
              <w:widowControl/>
              <w:spacing w:line="360" w:lineRule="exact"/>
              <w:jc w:val="center"/>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483.37</w:t>
            </w:r>
          </w:p>
        </w:tc>
        <w:tc>
          <w:tcPr>
            <w:tcW w:w="2041" w:type="dxa"/>
            <w:gridSpan w:val="2"/>
            <w:tcBorders>
              <w:top w:val="single" w:color="auto" w:sz="4" w:space="0"/>
              <w:left w:val="nil"/>
              <w:bottom w:val="single" w:color="auto" w:sz="4" w:space="0"/>
              <w:right w:val="single" w:color="000000" w:sz="4" w:space="0"/>
            </w:tcBorders>
            <w:noWrap w:val="0"/>
            <w:vAlign w:val="center"/>
          </w:tcPr>
          <w:p w14:paraId="1CDA1755">
            <w:pPr>
              <w:widowControl/>
              <w:spacing w:line="360" w:lineRule="exact"/>
              <w:jc w:val="center"/>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471.59</w:t>
            </w:r>
          </w:p>
        </w:tc>
      </w:tr>
      <w:tr w14:paraId="2BFB2712">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0CF6947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default" w:ascii="仿宋_GB2312" w:hAnsi="仿宋_GB2312" w:eastAsia="仿宋_GB2312" w:cs="仿宋_GB2312"/>
                <w:sz w:val="20"/>
                <w:szCs w:val="20"/>
                <w:highlight w:val="none"/>
                <w:lang w:val="e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14C90A4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2DCE233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0C761BC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76B3A8C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5B9DEA8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2BF5EA26">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11A958B0">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4209E760">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108B293B">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6DBD6B4E">
            <w:pPr>
              <w:widowControl/>
              <w:spacing w:line="360" w:lineRule="exact"/>
              <w:jc w:val="left"/>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1129" w:type="dxa"/>
            <w:tcBorders>
              <w:top w:val="nil"/>
              <w:left w:val="nil"/>
              <w:bottom w:val="single" w:color="auto" w:sz="4" w:space="0"/>
              <w:right w:val="single" w:color="auto" w:sz="4" w:space="0"/>
            </w:tcBorders>
            <w:noWrap w:val="0"/>
            <w:vAlign w:val="center"/>
          </w:tcPr>
          <w:p w14:paraId="52F95321">
            <w:pPr>
              <w:widowControl/>
              <w:spacing w:line="360" w:lineRule="exact"/>
              <w:jc w:val="left"/>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1111" w:type="dxa"/>
            <w:tcBorders>
              <w:top w:val="nil"/>
              <w:left w:val="nil"/>
              <w:bottom w:val="single" w:color="auto" w:sz="4" w:space="0"/>
              <w:right w:val="single" w:color="auto" w:sz="4" w:space="0"/>
            </w:tcBorders>
            <w:noWrap w:val="0"/>
            <w:vAlign w:val="center"/>
          </w:tcPr>
          <w:p w14:paraId="6F21E6E9">
            <w:pPr>
              <w:widowControl/>
              <w:spacing w:line="360" w:lineRule="exact"/>
              <w:jc w:val="left"/>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1081" w:type="dxa"/>
            <w:tcBorders>
              <w:top w:val="nil"/>
              <w:left w:val="nil"/>
              <w:bottom w:val="single" w:color="auto" w:sz="4" w:space="0"/>
              <w:right w:val="single" w:color="auto" w:sz="4" w:space="0"/>
            </w:tcBorders>
            <w:noWrap w:val="0"/>
            <w:vAlign w:val="center"/>
          </w:tcPr>
          <w:p w14:paraId="14A33F6A">
            <w:pPr>
              <w:widowControl/>
              <w:spacing w:line="360" w:lineRule="exact"/>
              <w:jc w:val="left"/>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960" w:type="dxa"/>
            <w:tcBorders>
              <w:top w:val="nil"/>
              <w:left w:val="nil"/>
              <w:bottom w:val="single" w:color="auto" w:sz="4" w:space="0"/>
              <w:right w:val="single" w:color="auto" w:sz="4" w:space="0"/>
            </w:tcBorders>
            <w:noWrap w:val="0"/>
            <w:vAlign w:val="center"/>
          </w:tcPr>
          <w:p w14:paraId="3719A7D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E821F4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E5B62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0956E06F">
            <w:pPr>
              <w:widowControl/>
              <w:spacing w:line="360" w:lineRule="exact"/>
              <w:jc w:val="left"/>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lang w:val="en" w:eastAsia="zh-CN"/>
              </w:rPr>
              <w:t xml:space="preserve">    </w:t>
            </w:r>
            <w:r>
              <w:rPr>
                <w:rFonts w:hint="eastAsia" w:ascii="仿宋_GB2312" w:hAnsi="仿宋_GB2312" w:eastAsia="仿宋_GB2312" w:cs="仿宋_GB2312"/>
                <w:sz w:val="20"/>
                <w:szCs w:val="20"/>
                <w:lang w:val="en-US" w:eastAsia="zh-CN"/>
              </w:rPr>
              <w:t>进一步完善了单位财务管理和内控管理制度，</w:t>
            </w:r>
            <w:r>
              <w:rPr>
                <w:rFonts w:hint="eastAsia" w:ascii="仿宋_GB2312" w:hAnsi="仿宋_GB2312" w:eastAsia="仿宋_GB2312" w:cs="仿宋_GB2312"/>
                <w:bCs/>
                <w:sz w:val="20"/>
                <w:szCs w:val="20"/>
                <w:lang w:val="en-US" w:eastAsia="zh-CN"/>
              </w:rPr>
              <w:t>各部门严格遵守制订的《财务管理制度》、《内控管理制度》等规章制度。</w:t>
            </w:r>
            <w:r>
              <w:rPr>
                <w:rFonts w:hint="eastAsia" w:ascii="仿宋_GB2312" w:hAnsi="仿宋_GB2312" w:eastAsia="仿宋_GB2312" w:cs="仿宋_GB2312"/>
                <w:bCs/>
                <w:sz w:val="20"/>
                <w:szCs w:val="20"/>
                <w:highlight w:val="none"/>
                <w:lang w:val="en-US" w:eastAsia="zh-CN"/>
              </w:rPr>
              <w:t>加强了事前绩效评估管理，坚持先定事，再确定资金支出规模原则，压减一般性支出，进一步提升预算资金支出效益。定期开展资产清查工作，按照厉行节约、物尽其用的原则，闲置资产由办公室统一调整，合理流动，发挥其效益。</w:t>
            </w: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bCs/>
                <w:sz w:val="20"/>
                <w:szCs w:val="20"/>
                <w:highlight w:val="none"/>
                <w:lang w:val="en-US" w:eastAsia="zh-CN"/>
              </w:rPr>
              <w:t>资产管理采取统一建帐核算管理，每件固定资产使用明确保管职责，及时进行设备、用具的维护保养，保持良好的使用性能和功能，延长固定资产使用寿命，提升资产资源使用效益。</w:t>
            </w:r>
          </w:p>
        </w:tc>
      </w:tr>
    </w:tbl>
    <w:p w14:paraId="26728818">
      <w:pPr>
        <w:widowControl/>
        <w:spacing w:afterLines="0" w:line="400" w:lineRule="exact"/>
        <w:jc w:val="left"/>
        <w:rPr>
          <w:rFonts w:hint="default" w:ascii="Times New Roman" w:hAnsi="Times New Roman" w:eastAsia="仿宋_GB2312" w:cs="Times New Roman"/>
          <w:sz w:val="22"/>
          <w:highlight w:val="none"/>
        </w:rPr>
      </w:pPr>
    </w:p>
    <w:p w14:paraId="1B4D3958">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李翠</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w:t>
      </w:r>
      <w:r>
        <w:rPr>
          <w:rFonts w:hint="default" w:ascii="CESI仿宋-GB2312" w:hAnsi="CESI仿宋-GB2312" w:eastAsia="CESI仿宋-GB2312" w:cs="CESI仿宋-GB2312"/>
          <w:sz w:val="22"/>
          <w:highlight w:val="none"/>
          <w:lang w:val="en" w:eastAsia="zh-CN"/>
        </w:rPr>
        <w:t>5</w:t>
      </w:r>
      <w:r>
        <w:rPr>
          <w:rFonts w:hint="eastAsia" w:ascii="CESI仿宋-GB2312" w:hAnsi="CESI仿宋-GB2312" w:eastAsia="CESI仿宋-GB2312" w:cs="CESI仿宋-GB2312"/>
          <w:sz w:val="22"/>
          <w:highlight w:val="none"/>
          <w:lang w:val="en-US" w:eastAsia="zh-CN"/>
        </w:rPr>
        <w:t>.6.2</w:t>
      </w:r>
      <w:r>
        <w:rPr>
          <w:rFonts w:hint="default" w:ascii="CESI仿宋-GB2312" w:hAnsi="CESI仿宋-GB2312" w:eastAsia="CESI仿宋-GB2312" w:cs="CESI仿宋-GB2312"/>
          <w:sz w:val="22"/>
          <w:highlight w:val="none"/>
          <w:lang w:val="en" w:eastAsia="zh-CN"/>
        </w:rPr>
        <w:t>3</w:t>
      </w:r>
      <w:r>
        <w:rPr>
          <w:rFonts w:hint="eastAsia" w:ascii="CESI仿宋-GB2312" w:hAnsi="CESI仿宋-GB2312" w:eastAsia="CESI仿宋-GB2312" w:cs="CESI仿宋-GB2312"/>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CESI仿宋-GB2312" w:hAnsi="CESI仿宋-GB2312" w:eastAsia="CESI仿宋-GB2312" w:cs="CESI仿宋-GB2312"/>
          <w:sz w:val="22"/>
          <w:lang w:val="en-US" w:eastAsia="zh-CN"/>
        </w:rPr>
        <w:t>0730-3050775</w:t>
      </w:r>
      <w:r>
        <w:rPr>
          <w:rFonts w:hint="eastAsia" w:ascii="CESI仿宋-GB2312" w:hAnsi="CESI仿宋-GB2312" w:eastAsia="CESI仿宋-GB2312" w:cs="CESI仿宋-GB2312"/>
          <w:sz w:val="22"/>
          <w:highlight w:val="none"/>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罗明飞</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03F70B60">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p w14:paraId="28C786A7">
      <w:pPr>
        <w:pStyle w:val="2"/>
        <w:rPr>
          <w:rFonts w:hint="eastAsia"/>
        </w:rPr>
      </w:pPr>
    </w:p>
    <w:tbl>
      <w:tblPr>
        <w:tblStyle w:val="8"/>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17A495E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D0C64E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6ADD3B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color w:val="000000"/>
                <w:sz w:val="24"/>
                <w:szCs w:val="24"/>
              </w:rPr>
              <w:t>岳阳市城市管理和综合执法局湖南城陵矶新港区分局</w:t>
            </w:r>
            <w:r>
              <w:rPr>
                <w:rFonts w:hint="eastAsia" w:ascii="仿宋_GB2312" w:hAnsi="仿宋_GB2312" w:eastAsia="仿宋_GB2312" w:cs="仿宋_GB2312"/>
                <w:color w:val="000000"/>
                <w:sz w:val="20"/>
                <w:szCs w:val="20"/>
                <w:highlight w:val="none"/>
              </w:rPr>
              <w:t>　</w:t>
            </w:r>
          </w:p>
        </w:tc>
      </w:tr>
      <w:tr w14:paraId="003C6885">
        <w:tblPrEx>
          <w:tblCellMar>
            <w:top w:w="0" w:type="dxa"/>
            <w:left w:w="108" w:type="dxa"/>
            <w:bottom w:w="0" w:type="dxa"/>
            <w:right w:w="108" w:type="dxa"/>
          </w:tblCellMar>
        </w:tblPrEx>
        <w:trPr>
          <w:trHeight w:val="452" w:hRule="atLeast"/>
          <w:jc w:val="center"/>
        </w:trPr>
        <w:tc>
          <w:tcPr>
            <w:tcW w:w="1080" w:type="dxa"/>
            <w:vMerge w:val="restart"/>
            <w:tcBorders>
              <w:top w:val="nil"/>
              <w:left w:val="single" w:color="auto" w:sz="4" w:space="0"/>
              <w:right w:val="single" w:color="auto" w:sz="4" w:space="0"/>
            </w:tcBorders>
            <w:noWrap w:val="0"/>
            <w:vAlign w:val="center"/>
          </w:tcPr>
          <w:p w14:paraId="177004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102283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7724B73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3E427C5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68F8D99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0B41B9D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14B2651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47DF83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7CDE883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91E2E11">
        <w:tblPrEx>
          <w:tblCellMar>
            <w:top w:w="0" w:type="dxa"/>
            <w:left w:w="108" w:type="dxa"/>
            <w:bottom w:w="0" w:type="dxa"/>
            <w:right w:w="108" w:type="dxa"/>
          </w:tblCellMar>
        </w:tblPrEx>
        <w:trPr>
          <w:trHeight w:val="428" w:hRule="atLeast"/>
          <w:jc w:val="center"/>
        </w:trPr>
        <w:tc>
          <w:tcPr>
            <w:tcW w:w="1080" w:type="dxa"/>
            <w:vMerge w:val="continue"/>
            <w:tcBorders>
              <w:top w:val="nil"/>
              <w:left w:val="single" w:color="auto" w:sz="4" w:space="0"/>
              <w:right w:val="single" w:color="auto" w:sz="4" w:space="0"/>
            </w:tcBorders>
            <w:noWrap w:val="0"/>
            <w:vAlign w:val="center"/>
          </w:tcPr>
          <w:p w14:paraId="686CBD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0C8F66D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11AB3E4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350.66</w:t>
            </w:r>
          </w:p>
        </w:tc>
        <w:tc>
          <w:tcPr>
            <w:tcW w:w="1311" w:type="dxa"/>
            <w:tcBorders>
              <w:top w:val="nil"/>
              <w:left w:val="nil"/>
              <w:bottom w:val="single" w:color="auto" w:sz="4" w:space="0"/>
              <w:right w:val="single" w:color="auto" w:sz="4" w:space="0"/>
            </w:tcBorders>
            <w:noWrap w:val="0"/>
            <w:vAlign w:val="center"/>
          </w:tcPr>
          <w:p w14:paraId="38132AB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483.37</w:t>
            </w:r>
          </w:p>
        </w:tc>
        <w:tc>
          <w:tcPr>
            <w:tcW w:w="1269" w:type="dxa"/>
            <w:tcBorders>
              <w:top w:val="nil"/>
              <w:left w:val="nil"/>
              <w:bottom w:val="single" w:color="auto" w:sz="4" w:space="0"/>
              <w:right w:val="single" w:color="auto" w:sz="4" w:space="0"/>
            </w:tcBorders>
            <w:noWrap w:val="0"/>
            <w:vAlign w:val="center"/>
          </w:tcPr>
          <w:p w14:paraId="2524F20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rPr>
              <w:t>471.59</w:t>
            </w:r>
          </w:p>
        </w:tc>
        <w:tc>
          <w:tcPr>
            <w:tcW w:w="716" w:type="dxa"/>
            <w:tcBorders>
              <w:top w:val="nil"/>
              <w:left w:val="nil"/>
              <w:bottom w:val="single" w:color="auto" w:sz="4" w:space="0"/>
              <w:right w:val="single" w:color="auto" w:sz="4" w:space="0"/>
            </w:tcBorders>
            <w:noWrap w:val="0"/>
            <w:vAlign w:val="center"/>
          </w:tcPr>
          <w:p w14:paraId="5359068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7B9F3C4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w:t>
            </w:r>
            <w:r>
              <w:rPr>
                <w:rFonts w:hint="default" w:ascii="仿宋_GB2312" w:hAnsi="仿宋_GB2312" w:eastAsia="仿宋_GB2312" w:cs="仿宋_GB2312"/>
                <w:sz w:val="20"/>
                <w:szCs w:val="20"/>
                <w:highlight w:val="none"/>
                <w:lang w:val="en" w:eastAsia="zh-CN"/>
              </w:rPr>
              <w:t>7.56</w:t>
            </w:r>
            <w:r>
              <w:rPr>
                <w:rFonts w:hint="eastAsia" w:ascii="仿宋_GB2312" w:hAnsi="仿宋_GB2312" w:eastAsia="仿宋_GB2312" w:cs="仿宋_GB2312"/>
                <w:sz w:val="20"/>
                <w:szCs w:val="20"/>
                <w:highlight w:val="none"/>
                <w:lang w:val="en-US" w:eastAsia="zh-CN"/>
              </w:rPr>
              <w:t>%</w:t>
            </w:r>
          </w:p>
        </w:tc>
        <w:tc>
          <w:tcPr>
            <w:tcW w:w="1446" w:type="dxa"/>
            <w:tcBorders>
              <w:top w:val="nil"/>
              <w:left w:val="nil"/>
              <w:bottom w:val="single" w:color="auto" w:sz="4" w:space="0"/>
              <w:right w:val="single" w:color="auto" w:sz="4" w:space="0"/>
            </w:tcBorders>
            <w:noWrap w:val="0"/>
            <w:vAlign w:val="center"/>
          </w:tcPr>
          <w:p w14:paraId="525A7F2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 w:eastAsia="zh-CN"/>
              </w:rPr>
            </w:pPr>
            <w:r>
              <w:rPr>
                <w:rFonts w:hint="eastAsia" w:ascii="仿宋_GB2312" w:hAnsi="仿宋_GB2312" w:eastAsia="仿宋_GB2312" w:cs="仿宋_GB2312"/>
                <w:sz w:val="20"/>
                <w:szCs w:val="20"/>
                <w:highlight w:val="none"/>
                <w:lang w:val="en-US" w:eastAsia="zh-CN"/>
              </w:rPr>
              <w:t>9.</w:t>
            </w:r>
            <w:r>
              <w:rPr>
                <w:rFonts w:hint="default" w:ascii="仿宋_GB2312" w:hAnsi="仿宋_GB2312" w:eastAsia="仿宋_GB2312" w:cs="仿宋_GB2312"/>
                <w:sz w:val="20"/>
                <w:szCs w:val="20"/>
                <w:highlight w:val="none"/>
                <w:lang w:val="en" w:eastAsia="zh-CN"/>
              </w:rPr>
              <w:t>76</w:t>
            </w:r>
          </w:p>
        </w:tc>
      </w:tr>
      <w:tr w14:paraId="5FC3130C">
        <w:tblPrEx>
          <w:tblCellMar>
            <w:top w:w="0" w:type="dxa"/>
            <w:left w:w="108" w:type="dxa"/>
            <w:bottom w:w="0" w:type="dxa"/>
            <w:right w:w="108" w:type="dxa"/>
          </w:tblCellMar>
        </w:tblPrEx>
        <w:trPr>
          <w:trHeight w:val="370" w:hRule="atLeast"/>
          <w:jc w:val="center"/>
        </w:trPr>
        <w:tc>
          <w:tcPr>
            <w:tcW w:w="1080" w:type="dxa"/>
            <w:vMerge w:val="continue"/>
            <w:tcBorders>
              <w:left w:val="single" w:color="auto" w:sz="4" w:space="0"/>
              <w:right w:val="single" w:color="auto" w:sz="4" w:space="0"/>
            </w:tcBorders>
            <w:noWrap w:val="0"/>
            <w:vAlign w:val="center"/>
          </w:tcPr>
          <w:p w14:paraId="7A78C3A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E9F6D2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42CC6ED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720CAB4B">
        <w:tblPrEx>
          <w:tblCellMar>
            <w:top w:w="0" w:type="dxa"/>
            <w:left w:w="108" w:type="dxa"/>
            <w:bottom w:w="0" w:type="dxa"/>
            <w:right w:w="108" w:type="dxa"/>
          </w:tblCellMar>
        </w:tblPrEx>
        <w:trPr>
          <w:trHeight w:val="370" w:hRule="atLeast"/>
          <w:jc w:val="center"/>
        </w:trPr>
        <w:tc>
          <w:tcPr>
            <w:tcW w:w="1080" w:type="dxa"/>
            <w:vMerge w:val="continue"/>
            <w:tcBorders>
              <w:left w:val="single" w:color="auto" w:sz="4" w:space="0"/>
              <w:right w:val="single" w:color="auto" w:sz="4" w:space="0"/>
            </w:tcBorders>
            <w:noWrap w:val="0"/>
            <w:vAlign w:val="center"/>
          </w:tcPr>
          <w:p w14:paraId="7F1A473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602BC2F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xml:space="preserve">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其中：  一般公共预算：</w:t>
            </w:r>
            <w:r>
              <w:rPr>
                <w:rFonts w:hint="default" w:ascii="仿宋_GB2312" w:hAnsi="仿宋_GB2312" w:eastAsia="仿宋_GB2312" w:cs="仿宋_GB2312"/>
                <w:color w:val="000000"/>
                <w:sz w:val="20"/>
                <w:szCs w:val="20"/>
                <w:highlight w:val="none"/>
                <w:lang w:val="en"/>
              </w:rPr>
              <w:t>366.18</w:t>
            </w:r>
          </w:p>
        </w:tc>
        <w:tc>
          <w:tcPr>
            <w:tcW w:w="4304" w:type="dxa"/>
            <w:gridSpan w:val="4"/>
            <w:tcBorders>
              <w:top w:val="nil"/>
              <w:left w:val="nil"/>
              <w:bottom w:val="single" w:color="auto" w:sz="4" w:space="0"/>
              <w:right w:val="single" w:color="auto" w:sz="4" w:space="0"/>
            </w:tcBorders>
            <w:noWrap w:val="0"/>
            <w:vAlign w:val="center"/>
          </w:tcPr>
          <w:p w14:paraId="38F2673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eastAsia="zh-CN"/>
              </w:rPr>
              <w:t>：</w:t>
            </w:r>
            <w:r>
              <w:rPr>
                <w:rFonts w:hint="default" w:ascii="仿宋_GB2312" w:hAnsi="仿宋_GB2312" w:eastAsia="仿宋_GB2312" w:cs="仿宋_GB2312"/>
                <w:sz w:val="20"/>
                <w:szCs w:val="20"/>
                <w:highlight w:val="none"/>
                <w:lang w:val="en"/>
              </w:rPr>
              <w:t>471.59</w:t>
            </w:r>
          </w:p>
        </w:tc>
      </w:tr>
      <w:tr w14:paraId="5F657B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128DC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5AD44BB1">
            <w:pPr>
              <w:keepNext w:val="0"/>
              <w:keepLines w:val="0"/>
              <w:pageBreakBefore w:val="0"/>
              <w:widowControl/>
              <w:kinsoku/>
              <w:wordWrap/>
              <w:overflowPunct/>
              <w:topLinePunct w:val="0"/>
              <w:autoSpaceDE/>
              <w:autoSpaceDN/>
              <w:bidi w:val="0"/>
              <w:adjustRightInd/>
              <w:snapToGrid/>
              <w:spacing w:line="300" w:lineRule="exact"/>
              <w:ind w:firstLine="1200" w:firstLineChars="6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68DAD447">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p>
        </w:tc>
      </w:tr>
      <w:tr w14:paraId="2544820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585BE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159B71F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4C1517E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14:paraId="6E4080A6">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7667893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082D02E">
            <w:pPr>
              <w:keepNext w:val="0"/>
              <w:keepLines w:val="0"/>
              <w:pageBreakBefore w:val="0"/>
              <w:widowControl/>
              <w:kinsoku/>
              <w:wordWrap/>
              <w:overflowPunct/>
              <w:topLinePunct w:val="0"/>
              <w:autoSpaceDE/>
              <w:autoSpaceDN/>
              <w:bidi w:val="0"/>
              <w:adjustRightInd/>
              <w:snapToGrid/>
              <w:spacing w:line="300" w:lineRule="exact"/>
              <w:ind w:firstLine="1800" w:firstLineChars="900"/>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其他资金：</w:t>
            </w:r>
            <w:r>
              <w:rPr>
                <w:rFonts w:hint="default" w:ascii="仿宋_GB2312" w:hAnsi="仿宋_GB2312" w:eastAsia="仿宋_GB2312" w:cs="仿宋_GB2312"/>
                <w:color w:val="000000"/>
                <w:sz w:val="20"/>
                <w:szCs w:val="20"/>
                <w:highlight w:val="none"/>
                <w:lang w:val="en"/>
              </w:rPr>
              <w:t>117.19</w:t>
            </w:r>
          </w:p>
        </w:tc>
        <w:tc>
          <w:tcPr>
            <w:tcW w:w="4304" w:type="dxa"/>
            <w:gridSpan w:val="4"/>
            <w:tcBorders>
              <w:top w:val="nil"/>
              <w:left w:val="nil"/>
              <w:bottom w:val="single" w:color="auto" w:sz="4" w:space="0"/>
              <w:right w:val="single" w:color="auto" w:sz="4" w:space="0"/>
            </w:tcBorders>
            <w:noWrap w:val="0"/>
            <w:vAlign w:val="center"/>
          </w:tcPr>
          <w:p w14:paraId="3DAFF4A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14:paraId="69215E6F">
        <w:tblPrEx>
          <w:tblCellMar>
            <w:top w:w="0" w:type="dxa"/>
            <w:left w:w="108" w:type="dxa"/>
            <w:bottom w:w="0" w:type="dxa"/>
            <w:right w:w="108" w:type="dxa"/>
          </w:tblCellMar>
        </w:tblPrEx>
        <w:trPr>
          <w:trHeight w:val="49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A9EC2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533AD3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02EB92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C48323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39FFAB8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1EA40F81">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提升维护管理工作，加大考评力度、提升维护质量、创新工作机制</w:t>
            </w:r>
            <w:r>
              <w:rPr>
                <w:rFonts w:hint="eastAsia" w:ascii="仿宋_GB2312" w:hAnsi="仿宋_GB2312" w:eastAsia="仿宋_GB2312" w:cs="仿宋_GB2312"/>
                <w:color w:val="000000"/>
                <w:sz w:val="20"/>
                <w:szCs w:val="20"/>
                <w:highlight w:val="none"/>
                <w:lang w:eastAsia="zh-CN"/>
              </w:rPr>
              <w:t>；</w:t>
            </w:r>
          </w:p>
          <w:p w14:paraId="194363FC">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单位负责的行政审批工作提效</w:t>
            </w:r>
            <w:r>
              <w:rPr>
                <w:rFonts w:hint="eastAsia" w:ascii="仿宋_GB2312" w:hAnsi="仿宋_GB2312" w:eastAsia="仿宋_GB2312" w:cs="仿宋_GB2312"/>
                <w:color w:val="000000"/>
                <w:sz w:val="20"/>
                <w:szCs w:val="20"/>
                <w:highlight w:val="none"/>
                <w:lang w:eastAsia="zh-CN"/>
              </w:rPr>
              <w:t>；</w:t>
            </w:r>
          </w:p>
          <w:p w14:paraId="224673B4">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大力推进环保和垃圾分类工作</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高效完成接待任务</w:t>
            </w:r>
            <w:r>
              <w:rPr>
                <w:rFonts w:hint="eastAsia" w:ascii="仿宋_GB2312" w:hAnsi="仿宋_GB2312" w:eastAsia="仿宋_GB2312" w:cs="仿宋_GB2312"/>
                <w:color w:val="000000"/>
                <w:sz w:val="20"/>
                <w:szCs w:val="20"/>
                <w:highlight w:val="none"/>
                <w:lang w:eastAsia="zh-CN"/>
              </w:rPr>
              <w:t>；</w:t>
            </w:r>
          </w:p>
          <w:p w14:paraId="569934DF">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不断完善执法程序，持续开展综合整治，坚决抓好扬尘管控和禁燃禁放工作</w:t>
            </w:r>
            <w:r>
              <w:rPr>
                <w:rFonts w:hint="eastAsia" w:ascii="仿宋_GB2312" w:hAnsi="仿宋_GB2312" w:eastAsia="仿宋_GB2312" w:cs="仿宋_GB2312"/>
                <w:color w:val="000000"/>
                <w:sz w:val="20"/>
                <w:szCs w:val="20"/>
                <w:highlight w:val="none"/>
                <w:lang w:eastAsia="zh-CN"/>
              </w:rPr>
              <w:t>；</w:t>
            </w:r>
          </w:p>
          <w:p w14:paraId="2DF0BE7B">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及时受理信访投诉。　　</w:t>
            </w:r>
          </w:p>
        </w:tc>
        <w:tc>
          <w:tcPr>
            <w:tcW w:w="4304" w:type="dxa"/>
            <w:gridSpan w:val="4"/>
            <w:tcBorders>
              <w:top w:val="single" w:color="auto" w:sz="4" w:space="0"/>
              <w:left w:val="nil"/>
              <w:bottom w:val="single" w:color="auto" w:sz="4" w:space="0"/>
              <w:right w:val="single" w:color="auto" w:sz="4" w:space="0"/>
            </w:tcBorders>
            <w:noWrap w:val="0"/>
            <w:vAlign w:val="center"/>
          </w:tcPr>
          <w:p w14:paraId="155968B6">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提升</w:t>
            </w:r>
            <w:r>
              <w:rPr>
                <w:rFonts w:hint="eastAsia" w:ascii="仿宋_GB2312" w:hAnsi="仿宋_GB2312" w:eastAsia="仿宋_GB2312" w:cs="仿宋_GB2312"/>
                <w:sz w:val="20"/>
                <w:szCs w:val="20"/>
                <w:lang w:eastAsia="zh-CN"/>
              </w:rPr>
              <w:t>了</w:t>
            </w:r>
            <w:r>
              <w:rPr>
                <w:rFonts w:hint="eastAsia" w:ascii="仿宋_GB2312" w:hAnsi="仿宋_GB2312" w:eastAsia="仿宋_GB2312" w:cs="仿宋_GB2312"/>
                <w:sz w:val="20"/>
                <w:szCs w:val="20"/>
              </w:rPr>
              <w:t>维护管理工作</w:t>
            </w:r>
            <w:r>
              <w:rPr>
                <w:rFonts w:hint="eastAsia" w:ascii="仿宋_GB2312" w:hAnsi="仿宋_GB2312" w:eastAsia="仿宋_GB2312" w:cs="仿宋_GB2312"/>
                <w:sz w:val="20"/>
                <w:szCs w:val="20"/>
                <w:lang w:eastAsia="zh-CN"/>
              </w:rPr>
              <w:t>标准</w:t>
            </w:r>
            <w:r>
              <w:rPr>
                <w:rFonts w:hint="eastAsia" w:ascii="仿宋_GB2312" w:hAnsi="仿宋_GB2312" w:eastAsia="仿宋_GB2312" w:cs="仿宋_GB2312"/>
                <w:sz w:val="20"/>
                <w:szCs w:val="20"/>
              </w:rPr>
              <w:t>，加大</w:t>
            </w:r>
            <w:r>
              <w:rPr>
                <w:rFonts w:hint="eastAsia" w:ascii="仿宋_GB2312" w:hAnsi="仿宋_GB2312" w:eastAsia="仿宋_GB2312" w:cs="仿宋_GB2312"/>
                <w:sz w:val="20"/>
                <w:szCs w:val="20"/>
                <w:lang w:eastAsia="zh-CN"/>
              </w:rPr>
              <w:t>了</w:t>
            </w:r>
            <w:r>
              <w:rPr>
                <w:rFonts w:hint="eastAsia" w:ascii="仿宋_GB2312" w:hAnsi="仿宋_GB2312" w:eastAsia="仿宋_GB2312" w:cs="仿宋_GB2312"/>
                <w:sz w:val="20"/>
                <w:szCs w:val="20"/>
              </w:rPr>
              <w:t>考评力</w:t>
            </w:r>
            <w:r>
              <w:rPr>
                <w:rFonts w:hint="eastAsia" w:ascii="仿宋_GB2312" w:hAnsi="仿宋_GB2312" w:eastAsia="仿宋_GB2312" w:cs="仿宋_GB2312"/>
                <w:sz w:val="20"/>
                <w:szCs w:val="20"/>
                <w:lang w:eastAsia="zh-CN"/>
              </w:rPr>
              <w:t>度和</w:t>
            </w:r>
            <w:r>
              <w:rPr>
                <w:rFonts w:hint="eastAsia" w:ascii="仿宋_GB2312" w:hAnsi="仿宋_GB2312" w:eastAsia="仿宋_GB2312" w:cs="仿宋_GB2312"/>
                <w:sz w:val="20"/>
                <w:szCs w:val="20"/>
              </w:rPr>
              <w:t>创新工作机制</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维护质量</w:t>
            </w:r>
            <w:r>
              <w:rPr>
                <w:rFonts w:hint="eastAsia" w:ascii="仿宋_GB2312" w:hAnsi="仿宋_GB2312" w:eastAsia="仿宋_GB2312" w:cs="仿宋_GB2312"/>
                <w:sz w:val="20"/>
                <w:szCs w:val="20"/>
                <w:lang w:eastAsia="zh-CN"/>
              </w:rPr>
              <w:t>得到明显提升；</w:t>
            </w:r>
            <w:r>
              <w:rPr>
                <w:rFonts w:hint="eastAsia" w:ascii="仿宋_GB2312" w:hAnsi="仿宋_GB2312" w:eastAsia="仿宋_GB2312" w:cs="仿宋_GB2312"/>
                <w:sz w:val="20"/>
                <w:szCs w:val="20"/>
                <w:lang w:val="en-US" w:eastAsia="zh-CN"/>
              </w:rPr>
              <w:t xml:space="preserve">                                 </w:t>
            </w:r>
          </w:p>
          <w:p w14:paraId="09F9ADA4">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int="eastAsia" w:ascii="仿宋_GB2312" w:hAnsi="仿宋_GB2312" w:eastAsia="仿宋_GB2312" w:cs="仿宋_GB2312"/>
                <w:sz w:val="20"/>
                <w:szCs w:val="20"/>
                <w:lang w:eastAsia="zh-CN"/>
              </w:rPr>
            </w:pPr>
            <w:r>
              <w:rPr>
                <w:rFonts w:hint="default" w:ascii="仿宋_GB2312" w:hAnsi="仿宋_GB2312" w:eastAsia="仿宋_GB2312" w:cs="仿宋_GB2312"/>
                <w:sz w:val="20"/>
                <w:szCs w:val="20"/>
                <w:lang w:val="en" w:eastAsia="zh-CN"/>
              </w:rPr>
              <w:t>2</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单位负责的行政审批工作效</w:t>
            </w:r>
            <w:r>
              <w:rPr>
                <w:rFonts w:hint="eastAsia" w:ascii="仿宋_GB2312" w:hAnsi="仿宋_GB2312" w:eastAsia="仿宋_GB2312" w:cs="仿宋_GB2312"/>
                <w:sz w:val="20"/>
                <w:szCs w:val="20"/>
                <w:lang w:eastAsia="zh-CN"/>
              </w:rPr>
              <w:t>率明显提升；</w:t>
            </w:r>
          </w:p>
          <w:p w14:paraId="4DF380AC">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大力</w:t>
            </w:r>
            <w:r>
              <w:rPr>
                <w:rFonts w:hint="eastAsia" w:ascii="仿宋_GB2312" w:hAnsi="仿宋_GB2312" w:eastAsia="仿宋_GB2312" w:cs="仿宋_GB2312"/>
                <w:sz w:val="20"/>
                <w:szCs w:val="20"/>
                <w:lang w:eastAsia="zh-CN"/>
              </w:rPr>
              <w:t>了</w:t>
            </w:r>
            <w:r>
              <w:rPr>
                <w:rFonts w:hint="eastAsia" w:ascii="仿宋_GB2312" w:hAnsi="仿宋_GB2312" w:eastAsia="仿宋_GB2312" w:cs="仿宋_GB2312"/>
                <w:sz w:val="20"/>
                <w:szCs w:val="20"/>
              </w:rPr>
              <w:t>推进环保和垃圾分类工作</w:t>
            </w:r>
            <w:r>
              <w:rPr>
                <w:rFonts w:hint="eastAsia" w:ascii="仿宋_GB2312" w:hAnsi="仿宋_GB2312" w:eastAsia="仿宋_GB2312" w:cs="仿宋_GB2312"/>
                <w:sz w:val="20"/>
                <w:szCs w:val="20"/>
                <w:lang w:eastAsia="zh-CN"/>
              </w:rPr>
              <w:t>，港区城市环境明显改善，</w:t>
            </w:r>
            <w:r>
              <w:rPr>
                <w:rFonts w:hint="eastAsia" w:ascii="仿宋_GB2312" w:hAnsi="仿宋_GB2312" w:eastAsia="仿宋_GB2312" w:cs="仿宋_GB2312"/>
                <w:sz w:val="20"/>
                <w:szCs w:val="20"/>
              </w:rPr>
              <w:t>高效完成</w:t>
            </w:r>
            <w:r>
              <w:rPr>
                <w:rFonts w:hint="eastAsia" w:ascii="仿宋_GB2312" w:hAnsi="仿宋_GB2312" w:eastAsia="仿宋_GB2312" w:cs="仿宋_GB2312"/>
                <w:sz w:val="20"/>
                <w:szCs w:val="20"/>
                <w:lang w:eastAsia="zh-CN"/>
              </w:rPr>
              <w:t>了各项</w:t>
            </w:r>
            <w:r>
              <w:rPr>
                <w:rFonts w:hint="eastAsia" w:ascii="仿宋_GB2312" w:hAnsi="仿宋_GB2312" w:eastAsia="仿宋_GB2312" w:cs="仿宋_GB2312"/>
                <w:sz w:val="20"/>
                <w:szCs w:val="20"/>
              </w:rPr>
              <w:t>接待任务</w:t>
            </w:r>
            <w:r>
              <w:rPr>
                <w:rFonts w:hint="eastAsia" w:ascii="仿宋_GB2312" w:hAnsi="仿宋_GB2312" w:eastAsia="仿宋_GB2312" w:cs="仿宋_GB2312"/>
                <w:sz w:val="20"/>
                <w:szCs w:val="20"/>
                <w:lang w:eastAsia="zh-CN"/>
              </w:rPr>
              <w:t>；</w:t>
            </w:r>
          </w:p>
          <w:p w14:paraId="25EFEB3A">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rPr>
              <w:t>执法程序</w:t>
            </w:r>
            <w:r>
              <w:rPr>
                <w:rFonts w:hint="eastAsia" w:ascii="仿宋_GB2312" w:hAnsi="仿宋_GB2312" w:eastAsia="仿宋_GB2312" w:cs="仿宋_GB2312"/>
                <w:sz w:val="20"/>
                <w:szCs w:val="20"/>
                <w:lang w:eastAsia="zh-CN"/>
              </w:rPr>
              <w:t>得到了</w:t>
            </w:r>
            <w:r>
              <w:rPr>
                <w:rFonts w:hint="eastAsia" w:ascii="仿宋_GB2312" w:hAnsi="仿宋_GB2312" w:eastAsia="仿宋_GB2312" w:cs="仿宋_GB2312"/>
                <w:sz w:val="20"/>
                <w:szCs w:val="20"/>
                <w:lang w:val="en-US" w:eastAsia="zh-CN"/>
              </w:rPr>
              <w:t>进一步</w:t>
            </w:r>
            <w:r>
              <w:rPr>
                <w:rFonts w:hint="eastAsia" w:ascii="仿宋_GB2312" w:hAnsi="仿宋_GB2312" w:eastAsia="仿宋_GB2312" w:cs="仿宋_GB2312"/>
                <w:sz w:val="20"/>
                <w:szCs w:val="20"/>
                <w:lang w:eastAsia="zh-CN"/>
              </w:rPr>
              <w:t>优化</w:t>
            </w:r>
            <w:r>
              <w:rPr>
                <w:rFonts w:hint="eastAsia" w:ascii="仿宋_GB2312" w:hAnsi="仿宋_GB2312" w:eastAsia="仿宋_GB2312" w:cs="仿宋_GB2312"/>
                <w:sz w:val="20"/>
                <w:szCs w:val="20"/>
              </w:rPr>
              <w:t>，持续开展综合整治</w:t>
            </w:r>
            <w:r>
              <w:rPr>
                <w:rFonts w:hint="eastAsia" w:ascii="仿宋_GB2312" w:hAnsi="仿宋_GB2312" w:eastAsia="仿宋_GB2312" w:cs="仿宋_GB2312"/>
                <w:sz w:val="20"/>
                <w:szCs w:val="20"/>
                <w:lang w:eastAsia="zh-CN"/>
              </w:rPr>
              <w:t>工作</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eastAsia="zh-CN"/>
              </w:rPr>
              <w:t>港区</w:t>
            </w:r>
            <w:r>
              <w:rPr>
                <w:rFonts w:hint="eastAsia" w:ascii="仿宋_GB2312" w:hAnsi="仿宋_GB2312" w:eastAsia="仿宋_GB2312" w:cs="仿宋_GB2312"/>
                <w:sz w:val="20"/>
                <w:szCs w:val="20"/>
              </w:rPr>
              <w:t>扬尘管控和禁燃禁放工作</w:t>
            </w:r>
            <w:r>
              <w:rPr>
                <w:rFonts w:hint="eastAsia" w:ascii="仿宋_GB2312" w:hAnsi="仿宋_GB2312" w:eastAsia="仿宋_GB2312" w:cs="仿宋_GB2312"/>
                <w:sz w:val="20"/>
                <w:szCs w:val="20"/>
                <w:lang w:eastAsia="zh-CN"/>
              </w:rPr>
              <w:t>成交明显；</w:t>
            </w:r>
          </w:p>
          <w:p w14:paraId="7EB0A3A9">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int="eastAsia" w:ascii="CESI仿宋-GB2312" w:hAnsi="CESI仿宋-GB2312" w:eastAsia="CESI仿宋-GB2312" w:cs="CESI仿宋-GB2312"/>
                <w:sz w:val="20"/>
                <w:szCs w:val="20"/>
                <w:lang w:val="en-US" w:eastAsia="zh-CN"/>
              </w:rPr>
            </w:pPr>
            <w:r>
              <w:rPr>
                <w:rFonts w:hint="eastAsia" w:ascii="仿宋_GB2312" w:hAnsi="仿宋_GB2312" w:eastAsia="仿宋_GB2312" w:cs="仿宋_GB2312"/>
                <w:sz w:val="20"/>
                <w:szCs w:val="20"/>
              </w:rPr>
              <w:t>5</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及时受理</w:t>
            </w:r>
            <w:r>
              <w:rPr>
                <w:rFonts w:hint="eastAsia" w:ascii="仿宋_GB2312" w:hAnsi="仿宋_GB2312" w:eastAsia="仿宋_GB2312" w:cs="仿宋_GB2312"/>
                <w:sz w:val="20"/>
                <w:szCs w:val="20"/>
                <w:lang w:eastAsia="zh-CN"/>
              </w:rPr>
              <w:t>，并妥善处置了</w:t>
            </w:r>
            <w:r>
              <w:rPr>
                <w:rFonts w:hint="eastAsia" w:ascii="仿宋_GB2312" w:hAnsi="仿宋_GB2312" w:eastAsia="仿宋_GB2312" w:cs="仿宋_GB2312"/>
                <w:sz w:val="20"/>
                <w:szCs w:val="20"/>
              </w:rPr>
              <w:t>信访投诉</w:t>
            </w:r>
            <w:r>
              <w:rPr>
                <w:rFonts w:hint="eastAsia" w:ascii="仿宋_GB2312" w:hAnsi="仿宋_GB2312" w:eastAsia="仿宋_GB2312" w:cs="仿宋_GB2312"/>
                <w:sz w:val="20"/>
                <w:szCs w:val="20"/>
                <w:lang w:eastAsia="zh-CN"/>
              </w:rPr>
              <w:t>事件</w:t>
            </w:r>
            <w:r>
              <w:rPr>
                <w:rFonts w:hint="eastAsia" w:ascii="仿宋_GB2312" w:hAnsi="仿宋_GB2312" w:eastAsia="仿宋_GB2312" w:cs="仿宋_GB2312"/>
                <w:sz w:val="20"/>
                <w:szCs w:val="20"/>
              </w:rPr>
              <w:t>。</w:t>
            </w:r>
            <w:r>
              <w:rPr>
                <w:rFonts w:hint="eastAsia" w:ascii="CESI仿宋-GB2312" w:hAnsi="CESI仿宋-GB2312" w:eastAsia="CESI仿宋-GB2312" w:cs="CESI仿宋-GB2312"/>
                <w:sz w:val="20"/>
                <w:szCs w:val="20"/>
              </w:rPr>
              <w:t>　　</w:t>
            </w:r>
          </w:p>
        </w:tc>
      </w:tr>
      <w:tr w14:paraId="3579EE33">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4B7E7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89B21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0BF147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44753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2B6AD0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BDF6B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1DBACB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5641D4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ACA1E9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8D2BCF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83E717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8F82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297E28E">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6BB448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38EADE">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71258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BBC73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14:paraId="027D5E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4859A0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46FF34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加强执法力度，落实"721"工作法，依法及时行政执法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45E48A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365天</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6ADB93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365天</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958986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5B6C8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7ECB3E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0F67F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F7AA3AD">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7B9D4E5">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0FC758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DC9740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依法及时办理行政审批事项</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AF22BE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eastAsia="zh-CN"/>
              </w:rPr>
              <w:t>及时</w:t>
            </w:r>
            <w:r>
              <w:rPr>
                <w:rFonts w:hint="eastAsia" w:ascii="仿宋_GB2312" w:hAnsi="仿宋_GB2312" w:eastAsia="仿宋_GB2312" w:cs="仿宋_GB2312"/>
                <w:color w:val="000000"/>
                <w:sz w:val="20"/>
                <w:szCs w:val="20"/>
                <w:lang w:val="en-US" w:eastAsia="zh-CN"/>
              </w:rPr>
              <w:t>依法依规办理审批事项</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C872A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27件</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8DF4D6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6FB086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EE30F7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46A38A">
        <w:tblPrEx>
          <w:tblCellMar>
            <w:top w:w="0" w:type="dxa"/>
            <w:left w:w="108" w:type="dxa"/>
            <w:bottom w:w="0" w:type="dxa"/>
            <w:right w:w="108" w:type="dxa"/>
          </w:tblCellMar>
        </w:tblPrEx>
        <w:trPr>
          <w:trHeight w:val="21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4A1620">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814FBA">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9D8BE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A39DA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bCs/>
                <w:sz w:val="20"/>
                <w:szCs w:val="20"/>
                <w:lang w:val="en-US" w:eastAsia="zh-CN"/>
              </w:rPr>
              <w:t>对各类养护单位开展日常考核、错时考核、专项考核和定期考核</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111AB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48次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E405F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112次</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4D576F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5509F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6F755F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14:paraId="5C4C03E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721A4B">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465386">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15FA9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F440E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及时受理信访投诉</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8819E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及时受理信访投诉</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D2B2FC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kern w:val="2"/>
                <w:sz w:val="20"/>
                <w:szCs w:val="20"/>
                <w:lang w:val="en-US" w:eastAsia="zh-CN" w:bidi="ar-SA"/>
              </w:rPr>
              <w:t>办理智慧平台交办案件13481件，市长信箱案件4件，12345案件125件。</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CE0A4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2CB92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BD9C8F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92473D6">
        <w:tblPrEx>
          <w:tblCellMar>
            <w:top w:w="0" w:type="dxa"/>
            <w:left w:w="108" w:type="dxa"/>
            <w:bottom w:w="0" w:type="dxa"/>
            <w:right w:w="108" w:type="dxa"/>
          </w:tblCellMar>
        </w:tblPrEx>
        <w:trPr>
          <w:trHeight w:val="21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DB6146">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1335C7">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79242F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902F3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达到国家园林城市相关标准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A7394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sz w:val="20"/>
                <w:szCs w:val="20"/>
                <w:lang w:val="en-US" w:eastAsia="zh-CN"/>
              </w:rPr>
              <w:t>达到</w:t>
            </w:r>
            <w:r>
              <w:rPr>
                <w:rFonts w:hint="eastAsia" w:ascii="仿宋_GB2312" w:hAnsi="仿宋_GB2312" w:eastAsia="仿宋_GB2312" w:cs="仿宋_GB2312"/>
                <w:color w:val="000000"/>
                <w:sz w:val="20"/>
                <w:szCs w:val="20"/>
                <w:lang w:val="en-US" w:eastAsia="zh-CN"/>
              </w:rPr>
              <w:t>国家园林城市</w:t>
            </w:r>
            <w:r>
              <w:rPr>
                <w:rFonts w:hint="default" w:ascii="仿宋_GB2312" w:hAnsi="仿宋_GB2312" w:eastAsia="仿宋_GB2312" w:cs="仿宋_GB2312"/>
                <w:color w:val="000000"/>
                <w:sz w:val="20"/>
                <w:szCs w:val="20"/>
                <w:lang w:val="en-US" w:eastAsia="zh-CN"/>
              </w:rPr>
              <w:t>相关标准</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1DC25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符合相关标准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9148B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7A8D16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4CE6EB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4383C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8D7E84">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822FAB5">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584A117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E04EA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达到建设全国文明城市标准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3505E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达到建设全国文明城市标准</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F496F9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为建设全国文明城市奠定了基础</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2BE47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14F6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6C2C81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部分管理还有待加强，下一步加大管理力度，提升城市整体形象。</w:t>
            </w:r>
          </w:p>
        </w:tc>
      </w:tr>
      <w:tr w14:paraId="75C3D1F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53CA7F">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8544B8">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A1B32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56D9E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达到国家卫生城市</w:t>
            </w:r>
            <w:r>
              <w:rPr>
                <w:rFonts w:hint="eastAsia" w:ascii="仿宋_GB2312" w:hAnsi="仿宋_GB2312" w:eastAsia="仿宋_GB2312" w:cs="仿宋_GB2312"/>
                <w:color w:val="000000"/>
                <w:sz w:val="20"/>
                <w:szCs w:val="20"/>
                <w:lang w:eastAsia="zh-CN"/>
              </w:rPr>
              <w:t>标准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1ABDA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达到国家卫生城市</w:t>
            </w:r>
            <w:r>
              <w:rPr>
                <w:rFonts w:hint="eastAsia" w:ascii="仿宋_GB2312" w:hAnsi="仿宋_GB2312" w:eastAsia="仿宋_GB2312" w:cs="仿宋_GB2312"/>
                <w:color w:val="000000"/>
                <w:sz w:val="20"/>
                <w:szCs w:val="20"/>
                <w:lang w:eastAsia="zh-CN"/>
              </w:rPr>
              <w:t>考核标准，</w:t>
            </w:r>
            <w:r>
              <w:rPr>
                <w:rFonts w:hint="eastAsia" w:ascii="仿宋_GB2312" w:hAnsi="仿宋_GB2312" w:eastAsia="仿宋_GB2312" w:cs="仿宋_GB2312"/>
                <w:color w:val="000000"/>
                <w:sz w:val="20"/>
                <w:szCs w:val="20"/>
              </w:rPr>
              <w:t>确保卫生整洁</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A203D7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符合相关标准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F8319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2429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785577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p>
        </w:tc>
      </w:tr>
      <w:tr w14:paraId="32B1C11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BF2243">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493324">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5D2ABC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257A5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工作完成情况</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1132B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各项工作按年初计划如期完成</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BFA0B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均如期完成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3AC8F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9F4A6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D5EE12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601CB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B1ADBB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F79A20">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7349A72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ED2E9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信访投诉处置时限</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018FCC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规定时间内完成</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1E3FE8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均在规定时间内办结</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D88EF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0AAB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B70A2F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EF178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E3BFCB">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80579D">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2FB2F2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F167F8B">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城管信息平台案件处置时限</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1C1F94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及时有效处置</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86266C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均及时有效处置</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36FEF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7C07D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35F7F2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07DC66">
        <w:tblPrEx>
          <w:tblCellMar>
            <w:top w:w="0" w:type="dxa"/>
            <w:left w:w="108" w:type="dxa"/>
            <w:bottom w:w="0" w:type="dxa"/>
            <w:right w:w="108" w:type="dxa"/>
          </w:tblCellMar>
        </w:tblPrEx>
        <w:trPr>
          <w:trHeight w:val="7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8CD0E84">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76E353">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1B77595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AB2E3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单位履职工作成本</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7BC22C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控制在年度预算483.37万元内</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4205F7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未出现超预算现象</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0D52E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DD87E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1CC533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7A54FD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B2D3D8">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6700CE">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688DE883">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FC362C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对社会环境产生负面影响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2539C5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6E9724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DC66C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686EF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803EF0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ADBF02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41803A">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09275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22CC97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C22D2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对生态环境产生负面影响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9352BA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5FBE10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96430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1D5BE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3630F3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030D7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44DCE3">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B1CB23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319570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14:paraId="5CC3F20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0720B7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1F64C0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4EBE3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D232C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城市维护成本管控</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4182C1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有效管控，降低维护成本。</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3D0CCE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得到有效管控</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C1548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C746D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02F48B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1CEDD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3E93B3">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F04913">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6F6170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A1B1A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产生一定的间接经济效益</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7093A8A">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eastAsia="仿宋_GB2312"/>
                <w:kern w:val="0"/>
                <w:sz w:val="20"/>
                <w:szCs w:val="20"/>
              </w:rPr>
              <w:t>优化港区营商环境</w:t>
            </w:r>
            <w:r>
              <w:rPr>
                <w:rFonts w:hint="eastAsia" w:eastAsia="仿宋_GB2312"/>
                <w:kern w:val="0"/>
                <w:sz w:val="20"/>
                <w:szCs w:val="20"/>
                <w:lang w:eastAsia="zh-CN"/>
              </w:rPr>
              <w:t>，助力经济发展。</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504AC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eastAsia="仿宋_GB2312"/>
                <w:kern w:val="0"/>
                <w:sz w:val="20"/>
                <w:szCs w:val="20"/>
              </w:rPr>
              <w:t>优化了港区营商环境</w:t>
            </w:r>
            <w:r>
              <w:rPr>
                <w:rFonts w:hint="eastAsia" w:eastAsia="仿宋_GB2312"/>
                <w:kern w:val="0"/>
                <w:sz w:val="20"/>
                <w:szCs w:val="20"/>
                <w:lang w:eastAsia="zh-CN"/>
              </w:rPr>
              <w:t>，有效</w:t>
            </w:r>
            <w:r>
              <w:rPr>
                <w:rFonts w:hint="eastAsia" w:eastAsia="仿宋_GB2312"/>
                <w:kern w:val="0"/>
                <w:sz w:val="20"/>
                <w:szCs w:val="20"/>
                <w:lang w:val="en-US" w:eastAsia="zh-CN"/>
              </w:rPr>
              <w:t>助力经济发展。</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8A452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E6DE5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7802D3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998C3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C50755">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E45377">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118D2A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3AF93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F8D31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改善市民居住环境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E65477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改善市民居住环境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EC48D6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有效改善</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0A4E4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277376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74BAB0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19190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3A4A9F">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906EE0">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1288A1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59A09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提升港区城市形象</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B90085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提升港区城市形象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30C866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港区城市整体形象不断提升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3E7BE3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CFFB75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BE8580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标准还有待进一步提高，下一步加大管理力度，提升城市综合管理水平。</w:t>
            </w:r>
          </w:p>
        </w:tc>
      </w:tr>
      <w:tr w14:paraId="5F83455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44D65C">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FC36171">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3C060E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0110F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14:paraId="29DA37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改善城区居住环境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B48E76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提升扬尘整治水平</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BD1F24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扬尘污染源得到有效管控</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5AE0DE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D0E11C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E78F28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A8A77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0C9820">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B51F71">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880DAA5">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14:paraId="1C820A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621E9A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有效管控桔杆燃烧</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0E0ECB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得到有效管控，空气质量好。</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784BD7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45716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3E5B96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7DE256">
        <w:tblPrEx>
          <w:tblCellMar>
            <w:top w:w="0" w:type="dxa"/>
            <w:left w:w="108" w:type="dxa"/>
            <w:bottom w:w="0" w:type="dxa"/>
            <w:right w:w="108" w:type="dxa"/>
          </w:tblCellMar>
        </w:tblPrEx>
        <w:trPr>
          <w:trHeight w:val="2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D85E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B522C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7E5CDA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774C68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推进港区城市管理规范化、精细化、常态化、制度化、法制</w:t>
            </w:r>
            <w:r>
              <w:rPr>
                <w:rFonts w:hint="eastAsia" w:ascii="仿宋_GB2312" w:hAnsi="仿宋_GB2312" w:eastAsia="仿宋_GB2312" w:cs="仿宋_GB2312"/>
                <w:color w:val="000000"/>
                <w:sz w:val="20"/>
                <w:szCs w:val="20"/>
                <w:lang w:eastAsia="zh-CN"/>
              </w:rPr>
              <w:t>化</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71CDE1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sz w:val="20"/>
                <w:szCs w:val="20"/>
                <w:lang w:val="en-US" w:eastAsia="zh-CN"/>
              </w:rPr>
              <w:t>推进港区城市管理规范化、精细化、常态化、制度化、法制</w:t>
            </w:r>
            <w:r>
              <w:rPr>
                <w:rFonts w:hint="eastAsia" w:ascii="仿宋_GB2312" w:hAnsi="仿宋_GB2312" w:eastAsia="仿宋_GB2312" w:cs="仿宋_GB2312"/>
                <w:color w:val="000000"/>
                <w:sz w:val="20"/>
                <w:szCs w:val="20"/>
                <w:lang w:val="en-US" w:eastAsia="zh-CN"/>
              </w:rPr>
              <w:t>化</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47BB6B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sz w:val="20"/>
                <w:szCs w:val="20"/>
                <w:lang w:val="en-US" w:eastAsia="zh-CN"/>
              </w:rPr>
              <w:t>港区城市</w:t>
            </w:r>
            <w:r>
              <w:rPr>
                <w:rFonts w:hint="eastAsia" w:ascii="仿宋_GB2312" w:hAnsi="仿宋_GB2312" w:eastAsia="仿宋_GB2312" w:cs="仿宋_GB2312"/>
                <w:color w:val="000000"/>
                <w:sz w:val="20"/>
                <w:szCs w:val="20"/>
                <w:lang w:val="en-US" w:eastAsia="zh-CN"/>
              </w:rPr>
              <w:t>管理水平不断提升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7831FF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268586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4EF236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39A7F2">
        <w:tblPrEx>
          <w:tblCellMar>
            <w:top w:w="0" w:type="dxa"/>
            <w:left w:w="108" w:type="dxa"/>
            <w:bottom w:w="0" w:type="dxa"/>
            <w:right w:w="108" w:type="dxa"/>
          </w:tblCellMar>
        </w:tblPrEx>
        <w:trPr>
          <w:trHeight w:val="27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99123A">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7667407">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1CA47818">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11D56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改善城区环境，优化营商环境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D1631E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不断改善城区环境，吸引企业投资</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B317A4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城区环境得到不断改善，创造了良好的营商环境。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A1E3D4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780C18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67D90A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15FEDD">
        <w:tblPrEx>
          <w:tblCellMar>
            <w:top w:w="0" w:type="dxa"/>
            <w:left w:w="108" w:type="dxa"/>
            <w:bottom w:w="0" w:type="dxa"/>
            <w:right w:w="108" w:type="dxa"/>
          </w:tblCellMar>
        </w:tblPrEx>
        <w:trPr>
          <w:trHeight w:val="3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AB59CC">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A027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FE3AD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A3096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67515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8BCE9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8FD626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8931D8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96.5%</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76D186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C705E2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EFEB8B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C3C011">
        <w:tblPrEx>
          <w:tblCellMar>
            <w:top w:w="0" w:type="dxa"/>
            <w:left w:w="108" w:type="dxa"/>
            <w:bottom w:w="0" w:type="dxa"/>
            <w:right w:w="108" w:type="dxa"/>
          </w:tblCellMar>
        </w:tblPrEx>
        <w:trPr>
          <w:trHeight w:val="420"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14:paraId="6F943B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968D1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F6092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97.76</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8CF6B6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4D35B5C">
      <w:pPr>
        <w:keepNext w:val="0"/>
        <w:keepLines w:val="0"/>
        <w:pageBreakBefore w:val="0"/>
        <w:widowControl w:val="0"/>
        <w:kinsoku/>
        <w:wordWrap/>
        <w:overflowPunct/>
        <w:topLinePunct w:val="0"/>
        <w:autoSpaceDE/>
        <w:autoSpaceDN/>
        <w:bidi w:val="0"/>
        <w:adjustRightInd/>
        <w:snapToGrid/>
        <w:spacing w:afterLines="0" w:line="300" w:lineRule="exact"/>
        <w:ind w:right="0" w:rightChars="0"/>
        <w:jc w:val="both"/>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李翠</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w:t>
      </w:r>
      <w:r>
        <w:rPr>
          <w:rFonts w:hint="default" w:ascii="CESI仿宋-GB2312" w:hAnsi="CESI仿宋-GB2312" w:eastAsia="CESI仿宋-GB2312" w:cs="CESI仿宋-GB2312"/>
          <w:sz w:val="22"/>
          <w:highlight w:val="none"/>
          <w:lang w:val="en" w:eastAsia="zh-CN"/>
        </w:rPr>
        <w:t>5</w:t>
      </w:r>
      <w:r>
        <w:rPr>
          <w:rFonts w:hint="eastAsia" w:ascii="CESI仿宋-GB2312" w:hAnsi="CESI仿宋-GB2312" w:eastAsia="CESI仿宋-GB2312" w:cs="CESI仿宋-GB2312"/>
          <w:sz w:val="22"/>
          <w:highlight w:val="none"/>
          <w:lang w:val="en-US" w:eastAsia="zh-CN"/>
        </w:rPr>
        <w:t>.6.2</w:t>
      </w:r>
      <w:r>
        <w:rPr>
          <w:rFonts w:hint="default" w:ascii="CESI仿宋-GB2312" w:hAnsi="CESI仿宋-GB2312" w:eastAsia="CESI仿宋-GB2312" w:cs="CESI仿宋-GB2312"/>
          <w:sz w:val="22"/>
          <w:highlight w:val="none"/>
          <w:lang w:val="en" w:eastAsia="zh-CN"/>
        </w:rPr>
        <w:t>3</w:t>
      </w:r>
      <w:r>
        <w:rPr>
          <w:rFonts w:hint="eastAsia" w:ascii="CESI仿宋-GB2312" w:hAnsi="CESI仿宋-GB2312" w:eastAsia="CESI仿宋-GB2312" w:cs="CESI仿宋-GB2312"/>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CESI仿宋-GB2312" w:hAnsi="CESI仿宋-GB2312" w:eastAsia="CESI仿宋-GB2312" w:cs="CESI仿宋-GB2312"/>
          <w:sz w:val="22"/>
          <w:lang w:val="en-US" w:eastAsia="zh-CN"/>
        </w:rPr>
        <w:t>0730-3050775</w:t>
      </w:r>
      <w:r>
        <w:rPr>
          <w:rFonts w:hint="eastAsia" w:ascii="CESI仿宋-GB2312" w:hAnsi="CESI仿宋-GB2312" w:eastAsia="CESI仿宋-GB2312" w:cs="CESI仿宋-GB2312"/>
          <w:sz w:val="22"/>
          <w:highlight w:val="none"/>
        </w:rPr>
        <w:t xml:space="preserve"> </w:t>
      </w:r>
      <w:r>
        <w:rPr>
          <w:rFonts w:hint="eastAsia" w:ascii="CESI仿宋-GB2312" w:hAnsi="CESI仿宋-GB2312" w:eastAsia="CESI仿宋-GB2312" w:cs="CESI仿宋-GB2312"/>
          <w:sz w:val="22"/>
          <w:highlight w:val="none"/>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罗明飞</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8FE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FD6C0">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0FD6C0">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D64ED"/>
    <w:multiLevelType w:val="singleLevel"/>
    <w:tmpl w:val="8CAD64ED"/>
    <w:lvl w:ilvl="0" w:tentative="0">
      <w:start w:val="2"/>
      <w:numFmt w:val="chineseCounting"/>
      <w:suff w:val="nothing"/>
      <w:lvlText w:val="（%1）"/>
      <w:lvlJc w:val="left"/>
      <w:pPr>
        <w:ind w:left="-83"/>
      </w:pPr>
      <w:rPr>
        <w:rFonts w:hint="eastAsia"/>
      </w:rPr>
    </w:lvl>
  </w:abstractNum>
  <w:abstractNum w:abstractNumId="1">
    <w:nsid w:val="8EB9B3EC"/>
    <w:multiLevelType w:val="singleLevel"/>
    <w:tmpl w:val="8EB9B3EC"/>
    <w:lvl w:ilvl="0" w:tentative="0">
      <w:start w:val="1"/>
      <w:numFmt w:val="chineseCounting"/>
      <w:suff w:val="nothing"/>
      <w:lvlText w:val="%1、"/>
      <w:lvlJc w:val="left"/>
      <w:rPr>
        <w:rFonts w:hint="eastAsia"/>
      </w:rPr>
    </w:lvl>
  </w:abstractNum>
  <w:abstractNum w:abstractNumId="2">
    <w:nsid w:val="CE135C99"/>
    <w:multiLevelType w:val="singleLevel"/>
    <w:tmpl w:val="CE135C99"/>
    <w:lvl w:ilvl="0" w:tentative="0">
      <w:start w:val="4"/>
      <w:numFmt w:val="chineseCounting"/>
      <w:suff w:val="nothing"/>
      <w:lvlText w:val="%1、"/>
      <w:lvlJc w:val="left"/>
      <w:rPr>
        <w:rFonts w:hint="eastAsia" w:ascii="黑体" w:hAnsi="黑体" w:eastAsia="黑体" w:cs="黑体"/>
        <w:b/>
        <w:bCs/>
      </w:rPr>
    </w:lvl>
  </w:abstractNum>
  <w:abstractNum w:abstractNumId="3">
    <w:nsid w:val="DD7CC189"/>
    <w:multiLevelType w:val="singleLevel"/>
    <w:tmpl w:val="DD7CC189"/>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BlMjkxOGJkZTY2YWVjYTkxNWZjODEzNjkwZDcifQ=="/>
  </w:docVars>
  <w:rsids>
    <w:rsidRoot w:val="59886344"/>
    <w:rsid w:val="012B4701"/>
    <w:rsid w:val="0264611C"/>
    <w:rsid w:val="02901FCC"/>
    <w:rsid w:val="037979A5"/>
    <w:rsid w:val="052E47BF"/>
    <w:rsid w:val="062545CC"/>
    <w:rsid w:val="06BF28E5"/>
    <w:rsid w:val="08234384"/>
    <w:rsid w:val="08C16076"/>
    <w:rsid w:val="09630EDC"/>
    <w:rsid w:val="0AE53B72"/>
    <w:rsid w:val="0BD22C7A"/>
    <w:rsid w:val="0BEF1743"/>
    <w:rsid w:val="0C807FF6"/>
    <w:rsid w:val="0CEE4F60"/>
    <w:rsid w:val="0CF75BDD"/>
    <w:rsid w:val="0DD5E01B"/>
    <w:rsid w:val="0E794CFD"/>
    <w:rsid w:val="0FADFF6C"/>
    <w:rsid w:val="10C574E3"/>
    <w:rsid w:val="12C32367"/>
    <w:rsid w:val="13743CE5"/>
    <w:rsid w:val="13F05194"/>
    <w:rsid w:val="15CD96DC"/>
    <w:rsid w:val="15DC29EE"/>
    <w:rsid w:val="17D7B887"/>
    <w:rsid w:val="17E64CBE"/>
    <w:rsid w:val="17FFBF07"/>
    <w:rsid w:val="187B1EDD"/>
    <w:rsid w:val="19BE3F0C"/>
    <w:rsid w:val="19DF2514"/>
    <w:rsid w:val="1BAF3E80"/>
    <w:rsid w:val="1BF9BE6F"/>
    <w:rsid w:val="1CFF2DD1"/>
    <w:rsid w:val="1E9A1B16"/>
    <w:rsid w:val="1EB06519"/>
    <w:rsid w:val="1F7755BE"/>
    <w:rsid w:val="1FBF5E94"/>
    <w:rsid w:val="1FF7FC17"/>
    <w:rsid w:val="21274A8D"/>
    <w:rsid w:val="215D225D"/>
    <w:rsid w:val="219F9AC1"/>
    <w:rsid w:val="21A97250"/>
    <w:rsid w:val="22C36FD0"/>
    <w:rsid w:val="2556149D"/>
    <w:rsid w:val="25E12AFC"/>
    <w:rsid w:val="27C7136D"/>
    <w:rsid w:val="29EC56D7"/>
    <w:rsid w:val="2B2A7E7C"/>
    <w:rsid w:val="2BFA84C4"/>
    <w:rsid w:val="2CC3566A"/>
    <w:rsid w:val="2CE81574"/>
    <w:rsid w:val="2DDF768F"/>
    <w:rsid w:val="2EF7B2DE"/>
    <w:rsid w:val="2F2E9119"/>
    <w:rsid w:val="2FBF7CD0"/>
    <w:rsid w:val="30A9726C"/>
    <w:rsid w:val="31BF7CF9"/>
    <w:rsid w:val="32122865"/>
    <w:rsid w:val="335E1421"/>
    <w:rsid w:val="344C6EAD"/>
    <w:rsid w:val="344D6161"/>
    <w:rsid w:val="357BA9D3"/>
    <w:rsid w:val="35D61478"/>
    <w:rsid w:val="367B939B"/>
    <w:rsid w:val="36FC9F49"/>
    <w:rsid w:val="37957ECC"/>
    <w:rsid w:val="379FCFAB"/>
    <w:rsid w:val="37E1E070"/>
    <w:rsid w:val="37EB7DE5"/>
    <w:rsid w:val="37F76218"/>
    <w:rsid w:val="37FDA7BF"/>
    <w:rsid w:val="37FEF7B4"/>
    <w:rsid w:val="38DF7DF4"/>
    <w:rsid w:val="3950297B"/>
    <w:rsid w:val="39FF85D8"/>
    <w:rsid w:val="3A03179B"/>
    <w:rsid w:val="3A7D9288"/>
    <w:rsid w:val="3AFDA944"/>
    <w:rsid w:val="3B7D732B"/>
    <w:rsid w:val="3B97D99F"/>
    <w:rsid w:val="3BBE89CC"/>
    <w:rsid w:val="3BCF3072"/>
    <w:rsid w:val="3CDE4D1A"/>
    <w:rsid w:val="3D6F3B95"/>
    <w:rsid w:val="3D876E0F"/>
    <w:rsid w:val="3DBFF112"/>
    <w:rsid w:val="3E737064"/>
    <w:rsid w:val="3ED961EA"/>
    <w:rsid w:val="3EFF351B"/>
    <w:rsid w:val="3F8F0888"/>
    <w:rsid w:val="3F9AD62A"/>
    <w:rsid w:val="3FBB24D4"/>
    <w:rsid w:val="3FD977CB"/>
    <w:rsid w:val="3FFF4EF2"/>
    <w:rsid w:val="3FFFE6F3"/>
    <w:rsid w:val="418238EE"/>
    <w:rsid w:val="42AE24C0"/>
    <w:rsid w:val="44F248E6"/>
    <w:rsid w:val="471072A6"/>
    <w:rsid w:val="475F2681"/>
    <w:rsid w:val="47BFC2FF"/>
    <w:rsid w:val="49F35390"/>
    <w:rsid w:val="4ABD7744"/>
    <w:rsid w:val="4BDFD373"/>
    <w:rsid w:val="4C407B15"/>
    <w:rsid w:val="4C5E0AB3"/>
    <w:rsid w:val="4D75C3BE"/>
    <w:rsid w:val="4EE5726A"/>
    <w:rsid w:val="4EFEE9D1"/>
    <w:rsid w:val="4F6F2888"/>
    <w:rsid w:val="4F7B482C"/>
    <w:rsid w:val="4F7E07B7"/>
    <w:rsid w:val="4FAD422B"/>
    <w:rsid w:val="4FDF9329"/>
    <w:rsid w:val="4FEFE88E"/>
    <w:rsid w:val="4FFD5EB6"/>
    <w:rsid w:val="4FFF74C3"/>
    <w:rsid w:val="51BC6CB3"/>
    <w:rsid w:val="52263E21"/>
    <w:rsid w:val="52293911"/>
    <w:rsid w:val="523F42B2"/>
    <w:rsid w:val="524E5126"/>
    <w:rsid w:val="53441F5F"/>
    <w:rsid w:val="53FB649C"/>
    <w:rsid w:val="56F53FAD"/>
    <w:rsid w:val="571F56B4"/>
    <w:rsid w:val="57394B76"/>
    <w:rsid w:val="573F8125"/>
    <w:rsid w:val="575FABE5"/>
    <w:rsid w:val="577FA651"/>
    <w:rsid w:val="57F681D6"/>
    <w:rsid w:val="57FEFF87"/>
    <w:rsid w:val="5837470D"/>
    <w:rsid w:val="585A4825"/>
    <w:rsid w:val="58EC1714"/>
    <w:rsid w:val="59886344"/>
    <w:rsid w:val="5AFC6111"/>
    <w:rsid w:val="5AFF102F"/>
    <w:rsid w:val="5AFFFF6E"/>
    <w:rsid w:val="5B7BC79C"/>
    <w:rsid w:val="5BDFBD95"/>
    <w:rsid w:val="5BEB1803"/>
    <w:rsid w:val="5BF5BB01"/>
    <w:rsid w:val="5BF7FF83"/>
    <w:rsid w:val="5CF8285E"/>
    <w:rsid w:val="5CFFDFB4"/>
    <w:rsid w:val="5D33DD87"/>
    <w:rsid w:val="5D666870"/>
    <w:rsid w:val="5D7EE8D1"/>
    <w:rsid w:val="5DB66136"/>
    <w:rsid w:val="5DF2AD1B"/>
    <w:rsid w:val="5DFB3351"/>
    <w:rsid w:val="5E8B3FBC"/>
    <w:rsid w:val="5EBB32CB"/>
    <w:rsid w:val="5EBFED6A"/>
    <w:rsid w:val="5EDD4761"/>
    <w:rsid w:val="5EE69FFC"/>
    <w:rsid w:val="5EED5A2B"/>
    <w:rsid w:val="5EFF1D30"/>
    <w:rsid w:val="5F66DB43"/>
    <w:rsid w:val="5F6F2CA1"/>
    <w:rsid w:val="5FB13B0B"/>
    <w:rsid w:val="5FCE1F2B"/>
    <w:rsid w:val="5FCE84B5"/>
    <w:rsid w:val="5FDF122B"/>
    <w:rsid w:val="5FEE505F"/>
    <w:rsid w:val="5FF7F31E"/>
    <w:rsid w:val="5FFE17A3"/>
    <w:rsid w:val="5FFF2ED9"/>
    <w:rsid w:val="5FFF3909"/>
    <w:rsid w:val="5FFF3949"/>
    <w:rsid w:val="63741DF5"/>
    <w:rsid w:val="63AF31C8"/>
    <w:rsid w:val="63FF2C9F"/>
    <w:rsid w:val="64F68DC4"/>
    <w:rsid w:val="650224CC"/>
    <w:rsid w:val="65FD5C32"/>
    <w:rsid w:val="66B662A3"/>
    <w:rsid w:val="66F12C7F"/>
    <w:rsid w:val="6773320D"/>
    <w:rsid w:val="677FE972"/>
    <w:rsid w:val="683C550B"/>
    <w:rsid w:val="6A5176B7"/>
    <w:rsid w:val="6A5F109F"/>
    <w:rsid w:val="6AAFB618"/>
    <w:rsid w:val="6AFBCDB6"/>
    <w:rsid w:val="6B3EFC0B"/>
    <w:rsid w:val="6B7C286C"/>
    <w:rsid w:val="6B7FAB9B"/>
    <w:rsid w:val="6BCFC473"/>
    <w:rsid w:val="6BF97ACA"/>
    <w:rsid w:val="6BFF9BA6"/>
    <w:rsid w:val="6C24541E"/>
    <w:rsid w:val="6C4EA942"/>
    <w:rsid w:val="6C5FCAD0"/>
    <w:rsid w:val="6CC14A1B"/>
    <w:rsid w:val="6CFEE888"/>
    <w:rsid w:val="6DDF66CB"/>
    <w:rsid w:val="6DDFA73A"/>
    <w:rsid w:val="6E1E62D2"/>
    <w:rsid w:val="6E594A8A"/>
    <w:rsid w:val="6EFD3622"/>
    <w:rsid w:val="6F3F50F7"/>
    <w:rsid w:val="6F7F06D0"/>
    <w:rsid w:val="6F8A1A3C"/>
    <w:rsid w:val="6F8E952F"/>
    <w:rsid w:val="6F9E908B"/>
    <w:rsid w:val="6FB7E0D4"/>
    <w:rsid w:val="6FBB27DC"/>
    <w:rsid w:val="6FBF0F83"/>
    <w:rsid w:val="6FD5E902"/>
    <w:rsid w:val="6FDD14A4"/>
    <w:rsid w:val="6FE900B9"/>
    <w:rsid w:val="6FEF301D"/>
    <w:rsid w:val="6FF9F9FA"/>
    <w:rsid w:val="6FFBB12E"/>
    <w:rsid w:val="6FFD7B47"/>
    <w:rsid w:val="71AFE6C8"/>
    <w:rsid w:val="71BF6F4E"/>
    <w:rsid w:val="71E833A0"/>
    <w:rsid w:val="724759C2"/>
    <w:rsid w:val="72AAE7CC"/>
    <w:rsid w:val="72DDC416"/>
    <w:rsid w:val="72F07E08"/>
    <w:rsid w:val="72F7A3D1"/>
    <w:rsid w:val="73041B05"/>
    <w:rsid w:val="736507F6"/>
    <w:rsid w:val="739CEE60"/>
    <w:rsid w:val="73B3EA29"/>
    <w:rsid w:val="73DD2D51"/>
    <w:rsid w:val="73DFC3F7"/>
    <w:rsid w:val="73E8A3D7"/>
    <w:rsid w:val="73F609B7"/>
    <w:rsid w:val="73F63D6C"/>
    <w:rsid w:val="73F79A32"/>
    <w:rsid w:val="753F7156"/>
    <w:rsid w:val="7551B50D"/>
    <w:rsid w:val="75C7E259"/>
    <w:rsid w:val="75D76132"/>
    <w:rsid w:val="75F2ADCD"/>
    <w:rsid w:val="75F8C4B5"/>
    <w:rsid w:val="75FF5BA7"/>
    <w:rsid w:val="766EB5ED"/>
    <w:rsid w:val="768CA81A"/>
    <w:rsid w:val="76D7B5DF"/>
    <w:rsid w:val="76F2BF5E"/>
    <w:rsid w:val="76FB9C52"/>
    <w:rsid w:val="7753C699"/>
    <w:rsid w:val="776A28F2"/>
    <w:rsid w:val="7777F50A"/>
    <w:rsid w:val="777FB96C"/>
    <w:rsid w:val="777FBD0D"/>
    <w:rsid w:val="7796C32C"/>
    <w:rsid w:val="77D7F185"/>
    <w:rsid w:val="77DFA765"/>
    <w:rsid w:val="77E369EE"/>
    <w:rsid w:val="77F7190E"/>
    <w:rsid w:val="77FBEA76"/>
    <w:rsid w:val="77FDAF63"/>
    <w:rsid w:val="795E5BF6"/>
    <w:rsid w:val="7979DB33"/>
    <w:rsid w:val="799A93D4"/>
    <w:rsid w:val="79E723E6"/>
    <w:rsid w:val="79FA931E"/>
    <w:rsid w:val="79FC6938"/>
    <w:rsid w:val="79FDF8EC"/>
    <w:rsid w:val="7ACF47A6"/>
    <w:rsid w:val="7AFB813E"/>
    <w:rsid w:val="7B1C4FA1"/>
    <w:rsid w:val="7B6EA5AA"/>
    <w:rsid w:val="7B6FE18E"/>
    <w:rsid w:val="7BEF49F7"/>
    <w:rsid w:val="7BEF58FB"/>
    <w:rsid w:val="7BEFB47B"/>
    <w:rsid w:val="7BEFC903"/>
    <w:rsid w:val="7BF1DA02"/>
    <w:rsid w:val="7BFEF98D"/>
    <w:rsid w:val="7BFF09AD"/>
    <w:rsid w:val="7CBD482E"/>
    <w:rsid w:val="7CCFB2A8"/>
    <w:rsid w:val="7CF38447"/>
    <w:rsid w:val="7CFEE03A"/>
    <w:rsid w:val="7D79788A"/>
    <w:rsid w:val="7D7F9CFB"/>
    <w:rsid w:val="7DAE54DE"/>
    <w:rsid w:val="7DDE14E0"/>
    <w:rsid w:val="7DEA90DC"/>
    <w:rsid w:val="7DFAD6BB"/>
    <w:rsid w:val="7DFBE253"/>
    <w:rsid w:val="7DFF939C"/>
    <w:rsid w:val="7E2B6198"/>
    <w:rsid w:val="7E7F2D4C"/>
    <w:rsid w:val="7E94260F"/>
    <w:rsid w:val="7E9FA5BB"/>
    <w:rsid w:val="7EDFAFDA"/>
    <w:rsid w:val="7EDFC6D9"/>
    <w:rsid w:val="7EFBD3A8"/>
    <w:rsid w:val="7EFE94C5"/>
    <w:rsid w:val="7F0D7D81"/>
    <w:rsid w:val="7F33E183"/>
    <w:rsid w:val="7F354D05"/>
    <w:rsid w:val="7F4EF610"/>
    <w:rsid w:val="7F5BE0D1"/>
    <w:rsid w:val="7F6EEB99"/>
    <w:rsid w:val="7F759A77"/>
    <w:rsid w:val="7F7C8143"/>
    <w:rsid w:val="7F9D8FF7"/>
    <w:rsid w:val="7FBF6A64"/>
    <w:rsid w:val="7FC44C6A"/>
    <w:rsid w:val="7FD6D891"/>
    <w:rsid w:val="7FDD7747"/>
    <w:rsid w:val="7FDE5867"/>
    <w:rsid w:val="7FEE796A"/>
    <w:rsid w:val="7FF3DAD8"/>
    <w:rsid w:val="7FF45D66"/>
    <w:rsid w:val="7FF5C296"/>
    <w:rsid w:val="7FF71610"/>
    <w:rsid w:val="7FF76416"/>
    <w:rsid w:val="7FF7DAAC"/>
    <w:rsid w:val="7FFABDC1"/>
    <w:rsid w:val="7FFCAFF8"/>
    <w:rsid w:val="7FFD64F5"/>
    <w:rsid w:val="7FFD95AD"/>
    <w:rsid w:val="7FFF4750"/>
    <w:rsid w:val="7FFF77CD"/>
    <w:rsid w:val="7FFF882C"/>
    <w:rsid w:val="85BDE94F"/>
    <w:rsid w:val="877E9725"/>
    <w:rsid w:val="87CF84D4"/>
    <w:rsid w:val="88FD2BB8"/>
    <w:rsid w:val="8F3BBF99"/>
    <w:rsid w:val="8F67F40A"/>
    <w:rsid w:val="8FBBDA8C"/>
    <w:rsid w:val="96BE6674"/>
    <w:rsid w:val="96F70F1C"/>
    <w:rsid w:val="97BB2E08"/>
    <w:rsid w:val="9C39FF20"/>
    <w:rsid w:val="9DF6A23D"/>
    <w:rsid w:val="9E7FBC30"/>
    <w:rsid w:val="9F377167"/>
    <w:rsid w:val="9FDE5B2D"/>
    <w:rsid w:val="9FFE1052"/>
    <w:rsid w:val="9FFF75F3"/>
    <w:rsid w:val="9FFF7A61"/>
    <w:rsid w:val="9FFFF0D6"/>
    <w:rsid w:val="A70FE2D3"/>
    <w:rsid w:val="AB9A1EE1"/>
    <w:rsid w:val="AC7BA3EC"/>
    <w:rsid w:val="AD6E288A"/>
    <w:rsid w:val="ADFF50ED"/>
    <w:rsid w:val="AEFF164C"/>
    <w:rsid w:val="AF1F477E"/>
    <w:rsid w:val="AF97306D"/>
    <w:rsid w:val="AFB52316"/>
    <w:rsid w:val="B37F3644"/>
    <w:rsid w:val="B5BD14DA"/>
    <w:rsid w:val="B5D78030"/>
    <w:rsid w:val="B5F7AC47"/>
    <w:rsid w:val="B5FDCFF6"/>
    <w:rsid w:val="B7F5319D"/>
    <w:rsid w:val="B7F7C8A8"/>
    <w:rsid w:val="B8B52547"/>
    <w:rsid w:val="B9DF3149"/>
    <w:rsid w:val="BAF70F69"/>
    <w:rsid w:val="BAFD45DF"/>
    <w:rsid w:val="BB679D58"/>
    <w:rsid w:val="BCCE59B0"/>
    <w:rsid w:val="BD89677B"/>
    <w:rsid w:val="BDB9AA29"/>
    <w:rsid w:val="BDBD2FB8"/>
    <w:rsid w:val="BDFA4E65"/>
    <w:rsid w:val="BDFFA76E"/>
    <w:rsid w:val="BDFFD3AE"/>
    <w:rsid w:val="BE7F0D42"/>
    <w:rsid w:val="BEABDFE5"/>
    <w:rsid w:val="BF2E53C6"/>
    <w:rsid w:val="BF5FC8C1"/>
    <w:rsid w:val="BF7B3D08"/>
    <w:rsid w:val="BF7F26E8"/>
    <w:rsid w:val="BFBD9944"/>
    <w:rsid w:val="BFBF6899"/>
    <w:rsid w:val="BFEF2291"/>
    <w:rsid w:val="BFEF9F98"/>
    <w:rsid w:val="BFF64B4C"/>
    <w:rsid w:val="BFFE68F3"/>
    <w:rsid w:val="BFFF0E60"/>
    <w:rsid w:val="BFFF336B"/>
    <w:rsid w:val="C2FF451E"/>
    <w:rsid w:val="C366975F"/>
    <w:rsid w:val="C73704C7"/>
    <w:rsid w:val="C7EF037B"/>
    <w:rsid w:val="CA53C418"/>
    <w:rsid w:val="CCBF2F76"/>
    <w:rsid w:val="CD66BBDF"/>
    <w:rsid w:val="CD7C1B49"/>
    <w:rsid w:val="CD91D88D"/>
    <w:rsid w:val="CDDD8810"/>
    <w:rsid w:val="CDEF9598"/>
    <w:rsid w:val="CDFD5392"/>
    <w:rsid w:val="CEFF37FC"/>
    <w:rsid w:val="CFBBCE7B"/>
    <w:rsid w:val="CFDCD1A6"/>
    <w:rsid w:val="CFDE1AAB"/>
    <w:rsid w:val="D1575C97"/>
    <w:rsid w:val="D38F4627"/>
    <w:rsid w:val="D3ED5B76"/>
    <w:rsid w:val="D4B72793"/>
    <w:rsid w:val="D5A593B6"/>
    <w:rsid w:val="D5D7A006"/>
    <w:rsid w:val="D5F371A8"/>
    <w:rsid w:val="D65FE6E1"/>
    <w:rsid w:val="D776D0CF"/>
    <w:rsid w:val="D8FC9199"/>
    <w:rsid w:val="DBD7BCE2"/>
    <w:rsid w:val="DCFF2E5D"/>
    <w:rsid w:val="DD2F0375"/>
    <w:rsid w:val="DD5559C1"/>
    <w:rsid w:val="DDD5A6E0"/>
    <w:rsid w:val="DDDFFA4B"/>
    <w:rsid w:val="DDE5B5A0"/>
    <w:rsid w:val="DDFBDDBA"/>
    <w:rsid w:val="DDFF012E"/>
    <w:rsid w:val="DED68C1F"/>
    <w:rsid w:val="DEEDE89B"/>
    <w:rsid w:val="DEEDFFD8"/>
    <w:rsid w:val="DEF7E7C8"/>
    <w:rsid w:val="DEF9FBE0"/>
    <w:rsid w:val="DF7FD9BA"/>
    <w:rsid w:val="DF7FF227"/>
    <w:rsid w:val="DF9B2822"/>
    <w:rsid w:val="DFA5B5A6"/>
    <w:rsid w:val="DFBC0B0E"/>
    <w:rsid w:val="DFDE3E74"/>
    <w:rsid w:val="DFDF275E"/>
    <w:rsid w:val="DFE705F1"/>
    <w:rsid w:val="DFEF23A6"/>
    <w:rsid w:val="DFEF884A"/>
    <w:rsid w:val="DFFDDB05"/>
    <w:rsid w:val="E3CF7F8C"/>
    <w:rsid w:val="E3F73EC7"/>
    <w:rsid w:val="E3FBD0D9"/>
    <w:rsid w:val="E57F5768"/>
    <w:rsid w:val="E5FB53A3"/>
    <w:rsid w:val="E61F50F2"/>
    <w:rsid w:val="E6F2FD75"/>
    <w:rsid w:val="E71F9C77"/>
    <w:rsid w:val="E7F30BC9"/>
    <w:rsid w:val="E7FF0C79"/>
    <w:rsid w:val="E9CD835A"/>
    <w:rsid w:val="EB4F8CA6"/>
    <w:rsid w:val="EBDD7012"/>
    <w:rsid w:val="EBDFB487"/>
    <w:rsid w:val="EBFFD50C"/>
    <w:rsid w:val="ECF6D5F7"/>
    <w:rsid w:val="ED611329"/>
    <w:rsid w:val="ED96AA62"/>
    <w:rsid w:val="EDB75AFA"/>
    <w:rsid w:val="EDCD52D0"/>
    <w:rsid w:val="EDEF28E6"/>
    <w:rsid w:val="EE9B9943"/>
    <w:rsid w:val="EEFB0A6C"/>
    <w:rsid w:val="EEFF95DB"/>
    <w:rsid w:val="EF4F68F4"/>
    <w:rsid w:val="EF4FF1F7"/>
    <w:rsid w:val="EF52C3EB"/>
    <w:rsid w:val="EF7F551C"/>
    <w:rsid w:val="EF8DB107"/>
    <w:rsid w:val="EFB284BE"/>
    <w:rsid w:val="EFB3D8D3"/>
    <w:rsid w:val="EFB78BB2"/>
    <w:rsid w:val="EFCDC209"/>
    <w:rsid w:val="EFD1F543"/>
    <w:rsid w:val="EFDA29D4"/>
    <w:rsid w:val="EFF55482"/>
    <w:rsid w:val="EFF74C40"/>
    <w:rsid w:val="EFF7BA06"/>
    <w:rsid w:val="F1BF3A54"/>
    <w:rsid w:val="F1E5CF9C"/>
    <w:rsid w:val="F1EF9395"/>
    <w:rsid w:val="F1F50771"/>
    <w:rsid w:val="F3AEC42B"/>
    <w:rsid w:val="F3E762DD"/>
    <w:rsid w:val="F3FBE5CC"/>
    <w:rsid w:val="F4277D70"/>
    <w:rsid w:val="F65E5C14"/>
    <w:rsid w:val="F66FE6FC"/>
    <w:rsid w:val="F6962669"/>
    <w:rsid w:val="F6A69DDF"/>
    <w:rsid w:val="F6DE2C54"/>
    <w:rsid w:val="F7739FCC"/>
    <w:rsid w:val="F77C6298"/>
    <w:rsid w:val="F77D6377"/>
    <w:rsid w:val="F7B0EBE4"/>
    <w:rsid w:val="F7C55921"/>
    <w:rsid w:val="F7E1DA20"/>
    <w:rsid w:val="F8FD76C5"/>
    <w:rsid w:val="F8FDAB50"/>
    <w:rsid w:val="F8FDAEF3"/>
    <w:rsid w:val="F9408281"/>
    <w:rsid w:val="F97933EC"/>
    <w:rsid w:val="F97F01FB"/>
    <w:rsid w:val="F9BB5C91"/>
    <w:rsid w:val="F9F768CE"/>
    <w:rsid w:val="FA393F93"/>
    <w:rsid w:val="FA6DC6ED"/>
    <w:rsid w:val="FA7DBD51"/>
    <w:rsid w:val="FAFE8CFE"/>
    <w:rsid w:val="FB3438E8"/>
    <w:rsid w:val="FB3B6B1D"/>
    <w:rsid w:val="FB5DFD0F"/>
    <w:rsid w:val="FB957910"/>
    <w:rsid w:val="FBBD119B"/>
    <w:rsid w:val="FBD4E69A"/>
    <w:rsid w:val="FBDDA4DE"/>
    <w:rsid w:val="FBEB8995"/>
    <w:rsid w:val="FBEBCE6B"/>
    <w:rsid w:val="FBFACC12"/>
    <w:rsid w:val="FBFBBBA0"/>
    <w:rsid w:val="FC456B75"/>
    <w:rsid w:val="FC7FFA77"/>
    <w:rsid w:val="FCADDD5E"/>
    <w:rsid w:val="FCBA4E64"/>
    <w:rsid w:val="FCBFD8F8"/>
    <w:rsid w:val="FCFD933F"/>
    <w:rsid w:val="FCFFD267"/>
    <w:rsid w:val="FD9B05DC"/>
    <w:rsid w:val="FDDE0C11"/>
    <w:rsid w:val="FDDE8A0B"/>
    <w:rsid w:val="FDEFF7D9"/>
    <w:rsid w:val="FDF60E22"/>
    <w:rsid w:val="FDFE71D4"/>
    <w:rsid w:val="FE6F845D"/>
    <w:rsid w:val="FE9B61EB"/>
    <w:rsid w:val="FE9E6DEB"/>
    <w:rsid w:val="FEB33343"/>
    <w:rsid w:val="FEBB395A"/>
    <w:rsid w:val="FEFB15B0"/>
    <w:rsid w:val="FEFF069E"/>
    <w:rsid w:val="FEFF0840"/>
    <w:rsid w:val="FEFF33CD"/>
    <w:rsid w:val="FEFF5B12"/>
    <w:rsid w:val="FEFF6659"/>
    <w:rsid w:val="FF371711"/>
    <w:rsid w:val="FF3DDBD7"/>
    <w:rsid w:val="FF570A18"/>
    <w:rsid w:val="FF5C97E8"/>
    <w:rsid w:val="FF72A878"/>
    <w:rsid w:val="FF774B4C"/>
    <w:rsid w:val="FF7ADB9C"/>
    <w:rsid w:val="FF7B4F81"/>
    <w:rsid w:val="FF96A225"/>
    <w:rsid w:val="FF9FDAD3"/>
    <w:rsid w:val="FFA7F6B1"/>
    <w:rsid w:val="FFADE8C1"/>
    <w:rsid w:val="FFAE1F5B"/>
    <w:rsid w:val="FFB9EB05"/>
    <w:rsid w:val="FFBFB6DC"/>
    <w:rsid w:val="FFCDB120"/>
    <w:rsid w:val="FFD64C7E"/>
    <w:rsid w:val="FFD9B916"/>
    <w:rsid w:val="FFDDDB77"/>
    <w:rsid w:val="FFEDDFB9"/>
    <w:rsid w:val="FFEF5216"/>
    <w:rsid w:val="FFF31979"/>
    <w:rsid w:val="FFF52DD0"/>
    <w:rsid w:val="FFF5D70D"/>
    <w:rsid w:val="FFF73ED9"/>
    <w:rsid w:val="FFFA6F35"/>
    <w:rsid w:val="FFFE9A56"/>
    <w:rsid w:val="FFFF103B"/>
    <w:rsid w:val="FFFF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annotation text"/>
    <w:basedOn w:val="1"/>
    <w:qFormat/>
    <w:uiPriority w:val="0"/>
    <w:pPr>
      <w:jc w:val="left"/>
    </w:pPr>
  </w:style>
  <w:style w:type="paragraph" w:styleId="5">
    <w:name w:val="Body Text Indent 2"/>
    <w:basedOn w:val="1"/>
    <w:unhideWhenUsed/>
    <w:qFormat/>
    <w:uiPriority w:val="0"/>
    <w:pPr>
      <w:spacing w:beforeLines="0" w:after="120" w:afterLines="0" w:line="480" w:lineRule="auto"/>
      <w:ind w:left="420" w:leftChars="200"/>
    </w:pPr>
    <w:rPr>
      <w:rFonts w:hint="default"/>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7292</Words>
  <Characters>7638</Characters>
  <Lines>0</Lines>
  <Paragraphs>0</Paragraphs>
  <TotalTime>33</TotalTime>
  <ScaleCrop>false</ScaleCrop>
  <LinksUpToDate>false</LinksUpToDate>
  <CharactersWithSpaces>7819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2024-03-25T00:36:00Z</dcterms:created>
  <dc:creator>Administrator</dc:creator>
  <cp:lastModifiedBy>翠大宝</cp:lastModifiedBy>
  <cp:lastPrinted>2025-06-16T02:54:55Z</cp:lastPrinted>
  <dcterms:modified xsi:type="dcterms:W3CDTF">2025-06-16T02:58:17Z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A140D98825A34163903B43176D1D3A3D_13</vt:lpwstr>
  </property>
  <property fmtid="{D5CDD505-2E9C-101B-9397-08002B2CF9AE}" pid="4" name="KSOTemplateDocerSaveRecord">
    <vt:lpwstr>eyJoZGlkIjoiZjUzMjg5MWNkMDM4Yzc2MTE0ZjNkOWVmNzg0YWM2ODciLCJ1c2VySWQiOiIyNTI2OTUxNjkifQ==</vt:lpwstr>
  </property>
</Properties>
</file>