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岳阳市发展和改革委员会</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岳阳市发展和改革委员会</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岳阳市发展和改革委员会</w:t>
      </w: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numPr>
          <w:ilvl w:val="0"/>
          <w:numId w:val="0"/>
        </w:numPr>
        <w:ind w:firstLine="640" w:firstLineChars="200"/>
        <w:rPr>
          <w:rFonts w:hint="eastAsia" w:ascii="仿宋_GB2312" w:hAnsi="仿宋_GB2312" w:eastAsia="仿宋_GB2312" w:cs="仿宋_GB2312"/>
          <w:color w:val="000000"/>
          <w:kern w:val="0"/>
          <w:sz w:val="28"/>
          <w:szCs w:val="28"/>
          <w:lang w:val="en-US" w:eastAsia="zh-CN" w:bidi="ar-SA"/>
        </w:rPr>
      </w:pPr>
      <w:r>
        <w:rPr>
          <w:rFonts w:hint="eastAsia" w:ascii="Times New Roman" w:hAnsi="Times New Roman" w:eastAsia="仿宋_GB2312" w:cs="仿宋_GB2312"/>
          <w:sz w:val="32"/>
          <w:szCs w:val="32"/>
        </w:rPr>
        <w:t>（</w:t>
      </w:r>
      <w:r>
        <w:rPr>
          <w:rFonts w:hint="eastAsia" w:ascii="仿宋_GB2312" w:hAnsi="仿宋_GB2312" w:eastAsia="仿宋_GB2312" w:cs="仿宋_GB2312"/>
          <w:color w:val="000000"/>
          <w:kern w:val="0"/>
          <w:sz w:val="28"/>
          <w:szCs w:val="28"/>
          <w:lang w:val="en-US" w:eastAsia="zh-CN" w:bidi="ar-SA"/>
        </w:rPr>
        <w:t>1、拟订并组织实施全市国民经济和社会发展战略、中长期规划和年度计划。拟定全市能源发展战略、规划、计划和政策。牵头组织统一规划体系建设。负责市级专项规划、区域规划、空间规划与全市发展规划的统筹衔接。研究拟订全市国民经济和社会发展、经济体制改革和对外开放的有关规章制度，协调解决有关重大问题。受市人民政府委托向市人民代表大会提交国民经济和社会发展计划的报告。</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2、研究提出加快建设现代化经济体系、推动高质量发展的总体目标、重大任务以及相关政策。组织开展重大战略规划、重大政策、重大工程等评估督导，提出相关调整建议。</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3、研究提出全市国民经济和社会发展主要目标，监测预测预警宏观经济和社会发展态势趋势，提出宏观调控政策建议，综合协调宏观经济政策，牵头研究宏观经济应对措施。调节经济运行，协调解决经济运行中的重大问题。拟订并组织实施有关价费政策。参与拟订财政、金融和土地等政策措施。</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4、研究提出和综合协调全市经济体制改革有关工作，提出相关改革建议。牵头推进供给侧结构性改革。协调推进产权制度和要素市场化配置改革，推动完善基本经济制度和现代市场体系建设，会同相关部门组织实施市场准入负面清单制度。组织拟订综合性经济体制改革方案，协调有关专项改革方案。负责推进能源体制改革，协调能源发展和改革中的重大问题。</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5、研究提出全市利用外资和境外投资的战略、规划、总量平衡和结构优化的政策。牵头推进实施“一带一区”建设。统筹协调“走出去”有关工作。负责全市全口径外债的总量控制、结构优化和监测工作。</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6、负责投资综合管理，拟订全市全社会固定资产投资总规模和投资结构的调控目标、政策及措施。统筹安排市级财政性建设资金和投资项目，编制下达政府投资年度计划。规划全市重大建设项目和生产力布局，按权限审批、核准、审核、备案重大项目，审批、管理政府投资项目初步设计概算。拟订并推动落实鼓励民间投资政策措施。研究提出市重点建设项目计划，负责政府投资项目代建制实施的指导、协调和监督管理。指导工程咨询业发展。</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7、推进落实区域协调发展战略、新型城镇化战略和重大政策，组织拟订相关区域规划和政策。贯彻落实国家西部开发、中部崛起、长江经济带开发建设的政策措施，牵头落实“一带一区”发展战略。组织编制区域规划并协调实施。研究制订并统筹促进市内区域协调发展的战略、规划和重大政策。协调两型社会建设。拟订并组织实施全市易地扶贫搬迁、以工代赈规划和计划。参与研究拟订全市新型城镇化发展战略和重大政策措施。制定开发区发展规划和政策。统筹协调区域合作和对口支援工作。</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8、组织拟订综合性产业政策，负责协调一二三产业发展的重大问题并统筹衔接相关发展规划和重大政策。协调推进重大基础设施建设。协调农业农村经济发展有关重大问题。统筹全市服务业发展与改革，组织拟订并推动实施服务业发展规划及现代物流业发展规划和重大政策。综合研判消费变动趋势，研究协调解决扩大居民消费中的重大问题，拟订实施促进消费的综合性政策措施。</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9、推动实施创新驱动发展战略。会同相关部门拟订推进创新创业的规划和政策，提出创新发展和培育经济发展新动能的政策措施。组织拟订战略性新兴产业发展规划政策；会同有关部门组织拟订实施高技术产业发展、产业技术进步规划政策；研究提出新型工业化和产业集群发展的政策措施；实施高新技术产业发展的宏观指导，协调产业升级、重大技术装备推广应用等方面的重大问题。</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10、跟踪研判涉及经济安全、生态安全、资源安全、科技安全、社会安全等各类风险隐患，提出相关工作建议。承担经济、生态、资源等重点领域国家安全工作协调机制相关工作。承担重要商品总量平衡和宏观调控，提出重要工业品、原材料和重要农产品进出口调控意见。根据经济运行情况对计划进行调整。研究提出全市战略物资储备规划、全市储备品种目录的建议。根据全市储备总体发展规划和品种目录，组织实施全市战略和应急储备物资的收储、轮换和日常管理，落实有关动用计划和指令。</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11、负责社会发展与国民经济发展的政策衔接，组织拟订社会发展战略、总体规划。协调社会领域事业和产业发展政策及改革重大问题。统筹推进基本公共服务体系建设和收入分配制度改革，研究提出推进就业、完善社会保障与经济协调发展的政策建议。</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12、推进可持续发展战略，推动生态文明建设和改革，协调生态环境保护与修复、能源资源节约和综合利用等工作。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负责能源行业统计、预测预警；拟订煤炭、电力、石油、天然气、新能源、可再生能源和分布式能源发展规划、计划和政策并组织实施。</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13、拟订全市价格改革方案和年度计划，研究提出价格调控目标和政策建议，组织实施价格总水平调控。组织起草有关价格收费法规草案和政策。承担问政府管理的重要商品和服务价格管理工作。承担行政事业性收费管理工作。承担价格监测、市场价格形势分析和涉案物价格鉴证工作。负责价格成本调查和监审。</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14、指导和协调全市公共资源交易平台建设，牵头组织监督公共资源交易活动。牵头开展社会信用体系建设，研究拟订推进社会信用体系建设的规划和政策措施，统筹推进统一的信用信息平台建设，协调有关重大问题。</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15、会同有关部门拟订推进全市经济建设与国防建设协调发展的战略和规划，协调有关重大问题。推动实施军民融合发展战略，组织编制全市国民经济动员规划，协调和组织实施全市国民经济动员有关工作。</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16、承担市国防动员委员会、市推动长江经济带发展领导小组、洞庭湖生态经济区建设等有关具体工作。</w:t>
      </w:r>
    </w:p>
    <w:p>
      <w:pPr>
        <w:numPr>
          <w:ilvl w:val="0"/>
          <w:numId w:val="0"/>
        </w:numPr>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17、完成市委、市政府交办的其他任务。</w:t>
      </w:r>
    </w:p>
    <w:p>
      <w:pPr>
        <w:keepNext/>
        <w:keepLines/>
        <w:shd w:val="clear" w:color="auto" w:fill="FFFFFF"/>
        <w:spacing w:beforeLines="0" w:afterLines="0"/>
        <w:ind w:firstLine="640"/>
        <w:jc w:val="left"/>
        <w:rPr>
          <w:rFonts w:hint="eastAsia" w:ascii="Times New Roman" w:hAnsi="Times New Roman" w:eastAsia="仿宋_GB2312" w:cs="仿宋_GB2312"/>
          <w:sz w:val="32"/>
          <w:szCs w:val="32"/>
        </w:rPr>
      </w:pP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仿宋_GB2312" w:hAnsi="仿宋_GB2312" w:eastAsia="仿宋_GB2312" w:cs="仿宋_GB2312"/>
          <w:color w:val="000000"/>
          <w:kern w:val="0"/>
          <w:sz w:val="28"/>
          <w:szCs w:val="28"/>
          <w:lang w:val="en-US" w:eastAsia="zh-CN" w:bidi="ar-SA"/>
        </w:rPr>
      </w:pPr>
      <w:r>
        <w:rPr>
          <w:rFonts w:hint="eastAsia" w:ascii="Times New Roman" w:hAnsi="Times New Roman" w:eastAsia="仿宋_GB2312" w:cs="仿宋_GB2312"/>
          <w:bCs/>
          <w:kern w:val="0"/>
          <w:sz w:val="32"/>
          <w:szCs w:val="32"/>
        </w:rPr>
        <w:t>（一）内设机构设置。</w:t>
      </w:r>
    </w:p>
    <w:p>
      <w:pPr>
        <w:pStyle w:val="12"/>
        <w:numPr>
          <w:ilvl w:val="0"/>
          <w:numId w:val="0"/>
        </w:numPr>
        <w:spacing w:line="500"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岳阳市发展和改革委内设科室分别包括 ：办公室、国民经济综合和规划科、法规科、固定资产投资科、地区经济科、农村经济科和对口支援科、工业交通外经科、财贸服务和信用建设科、资源节约环境保护和两型社会建设科、社会发展科、服务价格和收费管理科、商品价格和调控管理科、行政审批科、长江经济带和洞庭湖发展办公室、能源科、评估督导科、成本调查监审科、粮食产业发展科、粮食调控与储备科、物资储备科、财经科、人事科、机关党委、机关纪委、离退休人员管理科、财务科、工会。 </w:t>
      </w:r>
    </w:p>
    <w:p>
      <w:pPr>
        <w:pStyle w:val="12"/>
        <w:numPr>
          <w:ilvl w:val="0"/>
          <w:numId w:val="0"/>
        </w:numPr>
        <w:spacing w:line="500" w:lineRule="exact"/>
        <w:ind w:firstLine="560" w:firstLineChars="20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所属事业单位分别是 ：岳阳市重点项目事务中心、岳阳市发展改革事务中心、军粮供应中心。</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pPr>
        <w:ind w:firstLine="560" w:firstLineChars="200"/>
        <w:jc w:val="left"/>
        <w:rPr>
          <w:rFonts w:ascii="仿宋_GB2312" w:eastAsia="仿宋_GB2312" w:hAnsiTheme="minorEastAsia"/>
          <w:sz w:val="28"/>
          <w:szCs w:val="32"/>
        </w:rPr>
      </w:pPr>
      <w:r>
        <w:rPr>
          <w:rFonts w:hint="eastAsia" w:ascii="仿宋_GB2312" w:hAnsi="仿宋_GB2312" w:eastAsia="仿宋_GB2312" w:cs="仿宋_GB2312"/>
          <w:color w:val="000000"/>
          <w:kern w:val="0"/>
          <w:sz w:val="28"/>
          <w:szCs w:val="28"/>
          <w:lang w:val="en-US" w:eastAsia="zh-CN" w:bidi="ar-SA"/>
        </w:rPr>
        <w:t>本单位无独立核算的下属单位，2024年度部门决算汇总公开单位仅包括岳阳市发展和改革委单位本级。</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仿宋_GB2312" w:hAnsi="仿宋_GB2312" w:eastAsia="仿宋_GB2312" w:cs="仿宋_GB2312"/>
          <w:b w:val="0"/>
          <w:bCs w:val="0"/>
          <w:sz w:val="72"/>
          <w:szCs w:val="72"/>
          <w:lang w:eastAsia="zh-CN"/>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4245.01</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413.18</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10.78</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我委人员变化大，且部分项目于</w:t>
      </w:r>
      <w:r>
        <w:rPr>
          <w:rFonts w:hint="eastAsia" w:ascii="仿宋_GB2312" w:hAnsi="仿宋_GB2312" w:eastAsia="仿宋_GB2312" w:cs="仿宋_GB2312"/>
          <w:sz w:val="32"/>
          <w:szCs w:val="32"/>
          <w:lang w:val="en-US" w:eastAsia="zh-CN"/>
        </w:rPr>
        <w:t>24年完成目标，项目支出增加。</w:t>
      </w:r>
    </w:p>
    <w:p>
      <w:pPr>
        <w:widowControl w:val="0"/>
        <w:autoSpaceDE w:val="0"/>
        <w:autoSpaceDN w:val="0"/>
        <w:adjustRightInd w:val="0"/>
        <w:ind w:firstLine="640" w:firstLineChars="200"/>
        <w:rPr>
          <w:rFonts w:hint="eastAsia" w:ascii="仿宋_GB2312" w:hAnsi="仿宋_GB2312" w:eastAsia="仿宋_GB2312" w:cs="仿宋_GB2312"/>
          <w:i/>
          <w:iCs/>
          <w:color w:val="000000"/>
          <w:kern w:val="0"/>
          <w:sz w:val="32"/>
          <w:szCs w:val="32"/>
          <w:lang w:val="en-US" w:eastAsia="zh-CN" w:bidi="ar-SA"/>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4245.01</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4159.82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97.99</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85.19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bookmarkStart w:id="0" w:name="_GoBack"/>
      <w:bookmarkEnd w:id="0"/>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4245.01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3245.3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76.45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999.71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23.55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4159.82</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472.86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97.99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我委人员变化大，且于</w:t>
      </w:r>
      <w:r>
        <w:rPr>
          <w:rFonts w:hint="eastAsia" w:ascii="仿宋_GB2312" w:hAnsi="仿宋_GB2312" w:eastAsia="仿宋_GB2312" w:cs="仿宋_GB2312"/>
          <w:sz w:val="32"/>
          <w:szCs w:val="32"/>
          <w:lang w:val="en-US" w:eastAsia="zh-CN"/>
        </w:rPr>
        <w:t>24年完成</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目标，导致项目支出增加。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4159.82</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97.99</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472.86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12.82</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我委人员变化大，且部分项目于</w:t>
      </w:r>
      <w:r>
        <w:rPr>
          <w:rFonts w:hint="eastAsia" w:ascii="仿宋_GB2312" w:hAnsi="仿宋_GB2312" w:eastAsia="仿宋_GB2312" w:cs="仿宋_GB2312"/>
          <w:sz w:val="32"/>
          <w:szCs w:val="32"/>
          <w:lang w:val="en-US" w:eastAsia="zh-CN"/>
        </w:rPr>
        <w:t>24年完成目标，项目支出增加。</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4159.82</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3261.73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78.41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社会保障和就业（类）支出</w:t>
      </w:r>
      <w:r>
        <w:rPr>
          <w:rFonts w:hint="eastAsia" w:ascii="仿宋_GB2312" w:hAnsi="仿宋_GB2312" w:eastAsia="仿宋_GB2312" w:cs="仿宋_GB2312"/>
          <w:sz w:val="32"/>
          <w:szCs w:val="32"/>
          <w:lang w:val="en-US" w:eastAsia="zh-CN"/>
        </w:rPr>
        <w:t>422.18万元，占10.14%；卫生健康（类）支出157.46万元，占3.78%；农林水（类）支出16.12万元，占0.38%；住房保障（类）支出150.09万元，占3.6%；粮油物资储备（类）支出65.12万元，占1.56%；其他支出82.28万元，占2.13%。</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2769.56</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4159.82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150.19</w:t>
      </w:r>
      <w:r>
        <w:rPr>
          <w:rFonts w:hint="eastAsia" w:ascii="仿宋_GB2312" w:hAnsi="仿宋_GB2312" w:eastAsia="仿宋_GB2312" w:cs="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w:t>
      </w:r>
      <w:r>
        <w:rPr>
          <w:rFonts w:hint="eastAsia" w:ascii="仿宋_GB2312" w:hAnsi="仿宋_GB2312" w:eastAsia="仿宋_GB2312" w:cs="仿宋_GB2312"/>
          <w:sz w:val="32"/>
          <w:szCs w:val="32"/>
          <w:lang w:eastAsia="zh-CN"/>
        </w:rPr>
        <w:t>发展与改革事务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2160.46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2268.06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104.98</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24年人员补差部分资金未纳入预算。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w:t>
      </w:r>
      <w:r>
        <w:rPr>
          <w:rFonts w:hint="eastAsia" w:ascii="仿宋_GB2312" w:hAnsi="仿宋_GB2312" w:eastAsia="仿宋_GB2312" w:cs="仿宋_GB2312"/>
          <w:sz w:val="32"/>
          <w:szCs w:val="32"/>
          <w:lang w:eastAsia="zh-CN"/>
        </w:rPr>
        <w:t>发展与改革事务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一般行政管理事物</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391.52</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由于预算数为0，无法计算百分比</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lang w:eastAsia="zh-CN"/>
        </w:rPr>
        <w:t>为促进我委各项目的发展，完成各项目标，下达各个重大项目经费。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发展与改革事务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物业管理</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0.53</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由于预算数为0，无法计算百分比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该资金为上年结转经费。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发展与改革事务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其他发展与改革事务支出</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601.62</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由于预算数为0，无法计算百分比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主要为未纳入预算的重点项目资金支出。</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行政单位离退休</w:t>
      </w:r>
      <w:r>
        <w:rPr>
          <w:rFonts w:hint="eastAsia" w:ascii="仿宋_GB2312" w:hAnsi="仿宋_GB2312" w:eastAsia="仿宋_GB2312" w:cs="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65.2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按要求完成</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行政事业单位养老支出</w:t>
      </w:r>
      <w:r>
        <w:rPr>
          <w:rFonts w:hint="eastAsia" w:ascii="仿宋_GB2312" w:hAnsi="仿宋_GB2312" w:eastAsia="仿宋_GB2312" w:cs="仿宋_GB2312"/>
          <w:sz w:val="32"/>
          <w:szCs w:val="32"/>
        </w:rPr>
        <w:t>（款）机关事业单位基本养老保险缴费支出</w:t>
      </w:r>
      <w:r>
        <w:rPr>
          <w:rFonts w:hint="eastAsia" w:ascii="仿宋_GB2312" w:hAnsi="仿宋_GB2312" w:eastAsia="仿宋_GB2312" w:cs="仿宋_GB2312"/>
          <w:sz w:val="32"/>
          <w:szCs w:val="32"/>
          <w:lang w:eastAsia="zh-CN"/>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201.56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197.42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97.94</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24年我委过世5名退休干部。</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抚恤</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其他优抚支出（项）。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133.74</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由于预算数为0，无法计算百分比</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24年我委过世5名退休干部。</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退役安置</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军队转业干部安置（项）。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11.16</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由于预算数为0，无法计算百分比</w:t>
      </w:r>
      <w:r>
        <w:rPr>
          <w:rFonts w:hint="eastAsia" w:ascii="仿宋_GB2312" w:hAnsi="仿宋_GB2312" w:eastAsia="仿宋_GB2312" w:cs="仿宋_GB2312"/>
          <w:sz w:val="32"/>
          <w:szCs w:val="32"/>
        </w:rPr>
        <w:t>，决算数大于年初预算数的主要原因是：</w:t>
      </w:r>
      <w:r>
        <w:rPr>
          <w:rFonts w:hint="eastAsia" w:ascii="Times New Roman" w:hAnsi="Times New Roman" w:eastAsia="仿宋_GB2312"/>
          <w:sz w:val="32"/>
          <w:szCs w:val="32"/>
          <w:lang w:val="en-US" w:eastAsia="zh-CN"/>
        </w:rPr>
        <w:t>粮食部门转隶，划转企业军转干部费用。</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9、</w:t>
      </w:r>
      <w:r>
        <w:rPr>
          <w:rFonts w:hint="eastAsia" w:ascii="Times New Roman" w:hAnsi="Times New Roman" w:eastAsia="仿宋_GB2312"/>
          <w:sz w:val="32"/>
          <w:szCs w:val="32"/>
        </w:rPr>
        <w:t>社会保障和就业支出（类）</w:t>
      </w:r>
      <w:r>
        <w:rPr>
          <w:rFonts w:hint="eastAsia" w:ascii="Times New Roman" w:hAnsi="Times New Roman" w:eastAsia="仿宋_GB2312"/>
          <w:sz w:val="32"/>
          <w:szCs w:val="32"/>
          <w:lang w:eastAsia="zh-CN"/>
        </w:rPr>
        <w:t>残疾人事业</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其他残疾人事业支出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14.66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14.66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按要求完成。</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行政单位医疗</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157.99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157.46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99.66</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我委人员浮动大，导致社保支出浮动</w:t>
      </w:r>
      <w:r>
        <w:rPr>
          <w:rFonts w:hint="eastAsia" w:ascii="Times New Roman" w:hAnsi="Times New Roman" w:eastAsia="仿宋_GB2312"/>
          <w:sz w:val="32"/>
          <w:szCs w:val="32"/>
          <w:lang w:val="en-US"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节能环保支出（类）</w:t>
      </w:r>
      <w:r>
        <w:rPr>
          <w:rFonts w:hint="eastAsia" w:ascii="Times New Roman" w:hAnsi="Times New Roman" w:eastAsia="仿宋_GB2312"/>
          <w:sz w:val="32"/>
          <w:szCs w:val="32"/>
          <w:lang w:eastAsia="zh-CN"/>
        </w:rPr>
        <w:t>节能环保支出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其他环境保护管理事务支出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3.85</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该经费为我委项目工作经费，</w:t>
      </w:r>
      <w:r>
        <w:rPr>
          <w:rFonts w:hint="eastAsia" w:ascii="仿宋_GB2312" w:hAnsi="宋体" w:eastAsia="仿宋_GB2312" w:cs="仿宋_GB2312"/>
          <w:i w:val="0"/>
          <w:iCs w:val="0"/>
          <w:caps w:val="0"/>
          <w:color w:val="454545"/>
          <w:spacing w:val="0"/>
          <w:sz w:val="31"/>
          <w:szCs w:val="31"/>
          <w:shd w:val="clear" w:fill="FFFFFF"/>
          <w:lang w:eastAsia="zh-CN"/>
        </w:rPr>
        <w:t>该</w:t>
      </w:r>
      <w:r>
        <w:rPr>
          <w:rFonts w:ascii="仿宋_GB2312" w:hAnsi="宋体" w:eastAsia="仿宋_GB2312" w:cs="仿宋_GB2312"/>
          <w:i w:val="0"/>
          <w:iCs w:val="0"/>
          <w:caps w:val="0"/>
          <w:color w:val="454545"/>
          <w:spacing w:val="0"/>
          <w:sz w:val="31"/>
          <w:szCs w:val="31"/>
          <w:shd w:val="clear" w:fill="FFFFFF"/>
        </w:rPr>
        <w:t>资金未纳入年初预算</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农林水支出（类）</w:t>
      </w:r>
      <w:r>
        <w:rPr>
          <w:rFonts w:hint="eastAsia" w:ascii="Times New Roman" w:hAnsi="Times New Roman" w:eastAsia="仿宋_GB2312"/>
          <w:sz w:val="32"/>
          <w:szCs w:val="32"/>
          <w:lang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农产品质量安全</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16.12</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粮食储备监管经费，未纳入预算。</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 xml:space="preserve"> 住房公积金</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145.22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150.09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103.35</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我委人员变动大，且纳入公积金缴存基数大。</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lang w:eastAsia="zh-CN"/>
        </w:rPr>
        <w:t>粮油物资储备支出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粮油物资事务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其他粮油物资事务支出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65.12</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该费用为</w:t>
      </w:r>
      <w:r>
        <w:rPr>
          <w:rFonts w:hint="eastAsia" w:ascii="Times New Roman" w:hAnsi="Times New Roman" w:eastAsia="仿宋_GB2312"/>
          <w:sz w:val="32"/>
          <w:szCs w:val="32"/>
          <w:lang w:val="en-US" w:eastAsia="zh-CN"/>
        </w:rPr>
        <w:t>商品粮大省奖励资金。</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其他支出（类）其他支出（款）其他支出（项）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83.28</w:t>
      </w:r>
      <w:r>
        <w:rPr>
          <w:rFonts w:hint="eastAsia" w:ascii="Times New Roman" w:hAnsi="Times New Roman" w:eastAsia="仿宋_GB2312"/>
          <w:sz w:val="32"/>
          <w:szCs w:val="32"/>
        </w:rPr>
        <w:t>万元，由于预算数为0，无法计算百分比，决算数大于年初预算数的主要原因是：</w:t>
      </w:r>
      <w:r>
        <w:rPr>
          <w:rFonts w:hint="eastAsia" w:ascii="Times New Roman" w:hAnsi="Times New Roman" w:eastAsia="仿宋_GB2312"/>
          <w:sz w:val="32"/>
          <w:szCs w:val="32"/>
          <w:lang w:eastAsia="zh-CN"/>
        </w:rPr>
        <w:t>该费用为</w:t>
      </w:r>
      <w:r>
        <w:rPr>
          <w:rFonts w:hint="eastAsia" w:ascii="Times New Roman" w:hAnsi="Times New Roman" w:eastAsia="仿宋_GB2312"/>
          <w:sz w:val="32"/>
          <w:szCs w:val="32"/>
          <w:lang w:val="en-US" w:eastAsia="zh-CN"/>
        </w:rPr>
        <w:t>其他资金收入支出。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3160.66</w:t>
      </w:r>
      <w:r>
        <w:rPr>
          <w:rFonts w:hint="eastAsia" w:ascii="仿宋_GB2312" w:hAnsi="仿宋_GB2312" w:eastAsia="仿宋_GB2312" w:cs="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2771.9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87.7</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、绩效工资、</w:t>
      </w:r>
      <w:r>
        <w:rPr>
          <w:rFonts w:hint="eastAsia" w:ascii="Times New Roman" w:hAnsi="Times New Roman" w:eastAsia="仿宋_GB2312"/>
          <w:sz w:val="32"/>
          <w:szCs w:val="32"/>
          <w:lang w:eastAsia="zh-CN"/>
        </w:rPr>
        <w:t>机关事业单位基本养老保险缴费、职工基本医疗保险缴费、其他社会保障缴费；对个人和家庭的补助，其中包括退休费、抚恤金、生活补助、医疗费补助、奖励金、其他对个人和家庭的补助。</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388.76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办公费、印刷费、</w:t>
      </w:r>
      <w:r>
        <w:rPr>
          <w:rFonts w:hint="eastAsia" w:ascii="Times New Roman" w:hAnsi="Times New Roman" w:eastAsia="仿宋_GB2312"/>
          <w:sz w:val="32"/>
          <w:szCs w:val="32"/>
          <w:highlight w:val="none"/>
          <w:lang w:eastAsia="zh-CN"/>
        </w:rPr>
        <w:t>水费、电费、邮电费、物业管理费、差旅费、维修（护）费、租赁费、会议费、培训费、公务接待费、专用材料费、劳务费、委托业务费、工会经费、福利费、公务车运行维护费、其他交通费用、其他商品和服务支出</w:t>
      </w:r>
      <w:r>
        <w:rPr>
          <w:rFonts w:hint="eastAsia" w:ascii="Times New Roman" w:hAnsi="Times New Roman" w:eastAsia="仿宋_GB2312"/>
          <w:sz w:val="32"/>
          <w:szCs w:val="32"/>
          <w:highlight w:val="none"/>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kern w:val="0"/>
          <w:sz w:val="32"/>
          <w:szCs w:val="32"/>
          <w:highlight w:val="none"/>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color w:val="000000"/>
          <w:kern w:val="0"/>
          <w:sz w:val="32"/>
          <w:szCs w:val="32"/>
          <w:lang w:val="en-US" w:eastAsia="zh-CN" w:bidi="ar-SA"/>
        </w:rPr>
        <w:t>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2024</w:t>
      </w:r>
      <w:r>
        <w:rPr>
          <w:rFonts w:hint="eastAsia" w:ascii="仿宋_GB2312" w:hAnsi="仿宋_GB2312" w:eastAsia="仿宋_GB2312" w:cs="仿宋_GB2312"/>
          <w:color w:val="000000"/>
          <w:kern w:val="0"/>
          <w:sz w:val="32"/>
          <w:szCs w:val="32"/>
          <w:lang w:val="en-US" w:eastAsia="zh-CN" w:bidi="ar-SA"/>
        </w:rPr>
        <w:t>度国有资本经营预算财政拨款收入0万元；年初结转和结余0万；支出0万元，其中：基本支出0万元，项目支出0万元；年末结转和结余0万元。</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21.45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67.36</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增加</w:t>
      </w:r>
      <w:r>
        <w:rPr>
          <w:rFonts w:hint="eastAsia" w:ascii="Times New Roman" w:hAnsi="Times New Roman" w:eastAsia="仿宋_GB2312" w:cs="Times New Roman"/>
          <w:sz w:val="32"/>
          <w:szCs w:val="32"/>
          <w:lang w:val="en-US" w:eastAsia="zh-CN"/>
        </w:rPr>
        <w:t>0.45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厉行节约，严格控制三公经费支出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完成市委市政府交办的接待任务</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1.因公出国（境）费支出预算为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决算数等于预算数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，主要原因是我单位严格按预算执行决算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与上年一致，无增减变动，主要原因是未安排因公出国（境）活动。</w:t>
      </w:r>
      <w:r>
        <w:rPr>
          <w:rFonts w:ascii="Times New Roman" w:hAnsi="Times New Roman" w:eastAsia="仿宋_GB2312" w:cs="Times New Roman"/>
          <w:color w:val="000000" w:themeColor="text1"/>
          <w:sz w:val="32"/>
          <w:szCs w:val="32"/>
          <w14:textFill>
            <w14:solidFill>
              <w14:schemeClr w14:val="tx1"/>
            </w14:solidFill>
          </w14:textFill>
        </w:rPr>
        <w:t>2024年度安排因公出国（境）团组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个，累计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人次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8.49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56.6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4.15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95.6</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公务用车购置费支出预算为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决算数等于预算数，主要原因是我单位严格按预算执行决算</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与上年一致，无增减变动，主要原因是两年均未购置公务用车。本单位</w:t>
      </w:r>
      <w:r>
        <w:rPr>
          <w:rFonts w:ascii="Times New Roman" w:hAnsi="Times New Roman" w:eastAsia="仿宋_GB2312" w:cs="Times New Roman"/>
          <w:color w:val="000000" w:themeColor="text1"/>
          <w:sz w:val="32"/>
          <w:szCs w:val="32"/>
          <w14:textFill>
            <w14:solidFill>
              <w14:schemeClr w14:val="tx1"/>
            </w14:solidFill>
          </w14:textFill>
        </w:rPr>
        <w:t>更新公务用车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2"/>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8.49</w:t>
      </w:r>
      <w:r>
        <w:rPr>
          <w:rFonts w:ascii="Times New Roman" w:hAnsi="Times New Roman" w:eastAsia="仿宋_GB2312" w:cs="Times New Roman"/>
          <w:sz w:val="32"/>
          <w:szCs w:val="32"/>
        </w:rPr>
        <w:t>万元，主要是</w:t>
      </w:r>
      <w:r>
        <w:rPr>
          <w:rFonts w:hint="eastAsia" w:ascii="Times New Roman" w:hAnsi="Times New Roman" w:eastAsia="仿宋_GB2312"/>
          <w:sz w:val="32"/>
          <w:szCs w:val="32"/>
          <w:lang w:eastAsia="zh-CN"/>
        </w:rPr>
        <w:t>洗车费</w:t>
      </w:r>
      <w:r>
        <w:rPr>
          <w:rFonts w:hint="eastAsia" w:ascii="Times New Roman" w:hAnsi="Times New Roman" w:eastAsia="仿宋_GB2312"/>
          <w:sz w:val="32"/>
          <w:szCs w:val="32"/>
          <w:lang w:val="en-US" w:eastAsia="zh-CN"/>
        </w:rPr>
        <w:t>、ETC费用、维修维护费（车辆保险、油料费）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56.6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4.15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95.6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由于</w:t>
      </w:r>
      <w:r>
        <w:rPr>
          <w:rFonts w:hint="eastAsia" w:ascii="Times New Roman" w:hAnsi="Times New Roman" w:eastAsia="仿宋_GB2312" w:cs="Times New Roman"/>
          <w:sz w:val="32"/>
          <w:szCs w:val="32"/>
          <w:lang w:val="en-US" w:eastAsia="zh-CN"/>
        </w:rPr>
        <w:t>24年终财政系统提前关账，未及时支付</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23年车辆年限较长故障多，或改为自驾或租车</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辆。</w:t>
      </w:r>
    </w:p>
    <w:p>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6.45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92.4</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63.73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厉行节约，进一步压缩三公经费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我委完成市委市政府交办的接待任务</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人次，主要是</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w:t>
      </w:r>
      <w:r>
        <w:rPr>
          <w:rFonts w:hint="eastAsia" w:ascii="Times New Roman" w:hAnsi="Times New Roman" w:eastAsia="仿宋_GB2312"/>
          <w:color w:val="000000" w:themeColor="text1"/>
          <w:sz w:val="32"/>
          <w:szCs w:val="32"/>
          <w:lang w:eastAsia="zh-CN"/>
          <w14:textFill>
            <w14:solidFill>
              <w14:schemeClr w14:val="tx1"/>
            </w14:solidFill>
          </w14:textFill>
        </w:rPr>
        <w:t>省委省政府及相关部门赴岳调研督导检查</w:t>
      </w:r>
      <w:r>
        <w:rPr>
          <w:rFonts w:hint="eastAsia" w:ascii="Times New Roman" w:hAnsi="Times New Roman" w:eastAsia="仿宋_GB2312"/>
          <w:color w:val="000000" w:themeColor="text1"/>
          <w:sz w:val="32"/>
          <w:szCs w:val="32"/>
          <w14:textFill>
            <w14:solidFill>
              <w14:schemeClr w14:val="tx1"/>
            </w14:solidFill>
          </w14:textFill>
        </w:rPr>
        <w:t>发生的接待支出。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2"/>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388.76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比年初预算数（或者上年决算数）减少</w:t>
      </w:r>
      <w:r>
        <w:rPr>
          <w:rFonts w:hint="eastAsia" w:ascii="仿宋_GB2312" w:hAnsi="仿宋_GB2312" w:eastAsia="仿宋_GB2312" w:cs="仿宋_GB2312"/>
          <w:sz w:val="32"/>
          <w:szCs w:val="32"/>
          <w:highlight w:val="none"/>
          <w:lang w:val="en-US" w:eastAsia="zh-CN"/>
        </w:rPr>
        <w:t>10.94</w:t>
      </w:r>
      <w:r>
        <w:rPr>
          <w:rFonts w:hint="eastAsia" w:ascii="仿宋_GB2312" w:hAnsi="仿宋_GB2312" w:eastAsia="仿宋_GB2312" w:cs="仿宋_GB2312"/>
          <w:sz w:val="32"/>
          <w:szCs w:val="32"/>
          <w:highlight w:val="none"/>
        </w:rPr>
        <w:t>万元，降低</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人员变动大，且严格控制预算支出</w:t>
      </w:r>
      <w:r>
        <w:rPr>
          <w:rFonts w:hint="eastAsia" w:ascii="楷体" w:hAnsi="楷体" w:eastAsia="楷体" w:cs="楷体"/>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年度，会议费年初预算1万元，支出决算为0万元，完成年初预算的0%。本单位机关未产生会议费用</w:t>
      </w:r>
      <w:r>
        <w:rPr>
          <w:rFonts w:hint="eastAsia" w:ascii="仿宋_GB2312" w:hAnsi="仿宋_GB2312" w:eastAsia="仿宋_GB2312" w:cs="仿宋_GB2312"/>
          <w:sz w:val="32"/>
          <w:szCs w:val="32"/>
          <w:lang w:eastAsia="zh-CN"/>
        </w:rPr>
        <w:t>。</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培训费年初预算1万元，支出决算为4.64万元，完成年初预算的464%。用于开展各类业务培训，人数236人，内容为</w:t>
      </w:r>
      <w:r>
        <w:rPr>
          <w:rFonts w:hint="eastAsia" w:ascii="Times New Roman" w:hAnsi="Times New Roman" w:eastAsia="仿宋_GB2312"/>
          <w:sz w:val="32"/>
          <w:szCs w:val="32"/>
          <w:lang w:eastAsia="zh-CN"/>
        </w:rPr>
        <w:t>根据市委组织部安排的党校培训，自行组织的相关业务培训</w:t>
      </w:r>
      <w:r>
        <w:rPr>
          <w:rFonts w:hint="eastAsia" w:ascii="仿宋_GB2312" w:hAnsi="仿宋_GB2312" w:eastAsia="仿宋_GB2312" w:cs="仿宋_GB2312"/>
          <w:color w:val="000000"/>
          <w:kern w:val="0"/>
          <w:sz w:val="32"/>
          <w:szCs w:val="32"/>
          <w:lang w:val="en-US" w:eastAsia="zh-CN" w:bidi="ar-SA"/>
        </w:rPr>
        <w:t>。</w:t>
      </w:r>
    </w:p>
    <w:p>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举办节庆、晚会、论坛、赛事活动年初预算0万元，支出决算为0万元，本单位无举办节庆、晚会、论坛、赛事等活动的预算和支出决算数。</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606.79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150.7</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456.09</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606.79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606.79</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0辆</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p>
    <w:p>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999.71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999.71</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pPr>
        <w:overflowPunct w:val="0"/>
        <w:spacing w:line="600" w:lineRule="exact"/>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重大项目前期工作经费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财经办经费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“粮食监督应急保障经费”、“十五五规划编制工作经费”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999.71</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999.71</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999.71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999.71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b w:val="0"/>
          <w:bCs w:val="0"/>
          <w:color w:val="000000"/>
          <w:kern w:val="0"/>
          <w:sz w:val="32"/>
          <w:szCs w:val="32"/>
          <w:lang w:val="en-US" w:eastAsia="zh-CN" w:bidi="ar-SA"/>
        </w:rPr>
        <w:t>一是开展成本监审工作的数量超过20个，开展重点项目超过300个；二是高质量完成各项项目，为政府提供有效决策。三是按时完成各项项目目标；四是节约资金未超出项目预算；五是社会效益、经济效益、生态效益指标平稳发展，无负面影响；六是服务对象满意度有所提升</w:t>
      </w:r>
      <w:r>
        <w:rPr>
          <w:rFonts w:ascii="Times New Roman" w:hAnsi="Times New Roman" w:eastAsia="仿宋_GB2312" w:cs="Times New Roman"/>
          <w:sz w:val="32"/>
          <w:szCs w:val="32"/>
        </w:rPr>
        <w:t>。发现的主要问题及原因：</w:t>
      </w:r>
      <w:r>
        <w:rPr>
          <w:rFonts w:hint="eastAsia" w:ascii="Times New Roman" w:hAnsi="Times New Roman" w:eastAsia="仿宋_GB2312"/>
          <w:sz w:val="32"/>
          <w:szCs w:val="32"/>
        </w:rPr>
        <w:t>一是预算编制有待严格执行。预算编制与实际支出项目有一定差距。二是预算拨付资金滞后。有的项目资金和公用经费都是在年末才拨付到位，以至年终资金结存较大</w:t>
      </w:r>
      <w:r>
        <w:rPr>
          <w:rFonts w:ascii="Times New Roman" w:hAnsi="Times New Roman" w:eastAsia="仿宋_GB2312" w:cs="Times New Roman"/>
          <w:sz w:val="32"/>
          <w:szCs w:val="32"/>
        </w:rPr>
        <w:t>。下一步改进措施：</w:t>
      </w:r>
      <w:r>
        <w:rPr>
          <w:rFonts w:hint="eastAsia" w:ascii="仿宋_GB2312" w:hAnsi="仿宋_GB2312" w:eastAsia="仿宋_GB2312" w:cs="仿宋_GB2312"/>
          <w:b w:val="0"/>
          <w:bCs w:val="0"/>
          <w:color w:val="000000"/>
          <w:kern w:val="0"/>
          <w:sz w:val="32"/>
          <w:szCs w:val="32"/>
          <w:lang w:val="en-US" w:eastAsia="zh-CN" w:bidi="ar-SA"/>
        </w:rPr>
        <w:t>一是加强部门工作对接；二是严格按预算编制执行</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999.71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999.71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sz w:val="32"/>
          <w:szCs w:val="32"/>
        </w:rPr>
        <w:t>一是预算编制有待严格执行。预算编制与实际支出项目有一定差距。二是预算拨付资金滞后。有的项目资金和公用经费都是在年末才拨付到位，以至年终资金结存较大</w:t>
      </w:r>
      <w:r>
        <w:rPr>
          <w:rFonts w:ascii="Times New Roman" w:hAnsi="Times New Roman" w:eastAsia="仿宋_GB2312" w:cs="Times New Roman"/>
          <w:sz w:val="32"/>
          <w:szCs w:val="32"/>
        </w:rPr>
        <w:t>。下一步改进措施：</w:t>
      </w:r>
      <w:r>
        <w:rPr>
          <w:rFonts w:hint="eastAsia" w:ascii="仿宋_GB2312" w:hAnsi="仿宋_GB2312" w:eastAsia="仿宋_GB2312" w:cs="仿宋_GB2312"/>
          <w:b w:val="0"/>
          <w:bCs w:val="0"/>
          <w:color w:val="000000"/>
          <w:kern w:val="0"/>
          <w:sz w:val="32"/>
          <w:szCs w:val="32"/>
          <w:lang w:val="en-US" w:eastAsia="zh-CN" w:bidi="ar-SA"/>
        </w:rPr>
        <w:t>一是加强部门工作对接；二是严格按预算编制执行</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ascii="Times New Roman" w:hAnsi="Times New Roman" w:eastAsia="仿宋_GB2312" w:cs="Times New Roman"/>
          <w:kern w:val="0"/>
          <w:sz w:val="32"/>
          <w:szCs w:val="32"/>
          <w:highlight w:val="none"/>
        </w:rPr>
        <w:t>2024年度</w:t>
      </w:r>
      <w:r>
        <w:rPr>
          <w:rFonts w:hint="eastAsia" w:ascii="Times New Roman" w:hAnsi="Times New Roman" w:eastAsia="仿宋_GB2312" w:cs="Times New Roman"/>
          <w:sz w:val="32"/>
          <w:szCs w:val="32"/>
          <w:highlight w:val="none"/>
          <w:lang w:val="en-US" w:eastAsia="zh-CN"/>
        </w:rPr>
        <w:t>14</w:t>
      </w:r>
      <w:r>
        <w:rPr>
          <w:rFonts w:ascii="Times New Roman" w:hAnsi="Times New Roman" w:eastAsia="仿宋_GB2312" w:cs="Times New Roman"/>
          <w:kern w:val="0"/>
          <w:sz w:val="32"/>
          <w:szCs w:val="32"/>
          <w:highlight w:val="none"/>
        </w:rPr>
        <w:t>个重大项目事前绩效评估，其中，</w:t>
      </w:r>
      <w:r>
        <w:rPr>
          <w:rFonts w:hint="eastAsia" w:ascii="Times New Roman" w:hAnsi="Times New Roman" w:eastAsia="仿宋_GB2312" w:cs="Times New Roman"/>
          <w:sz w:val="32"/>
          <w:szCs w:val="32"/>
          <w:highlight w:val="none"/>
          <w:lang w:val="en-US" w:eastAsia="zh-CN"/>
        </w:rPr>
        <w:t>14</w:t>
      </w:r>
      <w:r>
        <w:rPr>
          <w:rFonts w:ascii="Times New Roman" w:hAnsi="Times New Roman" w:eastAsia="仿宋_GB2312" w:cs="Times New Roman"/>
          <w:kern w:val="0"/>
          <w:sz w:val="32"/>
          <w:szCs w:val="32"/>
          <w:highlight w:val="none"/>
        </w:rPr>
        <w:t>个项目评估通过，涉及资金</w:t>
      </w:r>
      <w:r>
        <w:rPr>
          <w:rFonts w:hint="eastAsia" w:ascii="Times New Roman" w:hAnsi="Times New Roman" w:eastAsia="仿宋_GB2312" w:cs="Times New Roman"/>
          <w:sz w:val="32"/>
          <w:szCs w:val="32"/>
          <w:highlight w:val="none"/>
          <w:lang w:val="en-US" w:eastAsia="zh-CN"/>
        </w:rPr>
        <w:t>999.71</w:t>
      </w:r>
      <w:r>
        <w:rPr>
          <w:rFonts w:ascii="Times New Roman" w:hAnsi="Times New Roman" w:eastAsia="仿宋_GB2312" w:cs="Times New Roman"/>
          <w:kern w:val="0"/>
          <w:sz w:val="32"/>
          <w:szCs w:val="32"/>
          <w:highlight w:val="none"/>
        </w:rPr>
        <w:t>万元，</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个项目评估不通过，涉及资金</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w:t>
      </w:r>
    </w:p>
    <w:p>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color w:val="FF0000"/>
          <w:sz w:val="32"/>
          <w:szCs w:val="32"/>
        </w:rPr>
      </w:pPr>
    </w:p>
    <w:p>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请根据2024年度绩效自评结果、部门评价结果、</w:t>
      </w:r>
      <w:r>
        <w:rPr>
          <w:rFonts w:hint="eastAsia" w:ascii="Times New Roman" w:hAnsi="Times New Roman" w:eastAsia="仿宋_GB2312" w:cs="Times New Roman"/>
          <w:color w:val="auto"/>
          <w:sz w:val="32"/>
          <w:szCs w:val="32"/>
          <w:highlight w:val="none"/>
          <w:lang w:eastAsia="zh-CN"/>
        </w:rPr>
        <w:t>事前绩效</w:t>
      </w:r>
      <w:r>
        <w:rPr>
          <w:rFonts w:ascii="Times New Roman" w:hAnsi="Times New Roman" w:eastAsia="仿宋_GB2312" w:cs="Times New Roman"/>
          <w:color w:val="auto"/>
          <w:sz w:val="32"/>
          <w:szCs w:val="32"/>
          <w:highlight w:val="none"/>
        </w:rPr>
        <w:t>评价结果对本部门2025年度预算安排，支出结构调整，资金管理，制度建设等方面结果运用进行简要说明。</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2"/>
        <w:rPr>
          <w:rFonts w:hint="eastAsia"/>
          <w:lang w:val="en-US" w:eastAsia="zh-CN"/>
        </w:rPr>
      </w:pPr>
    </w:p>
    <w:p>
      <w:pPr>
        <w:pStyle w:val="12"/>
        <w:jc w:val="both"/>
        <w:rPr>
          <w:rFonts w:hint="eastAsia" w:ascii="方正小标宋_GBK" w:hAnsi="方正小标宋_GBK" w:eastAsia="方正小标宋_GBK" w:cs="方正小标宋_GBK"/>
          <w:sz w:val="24"/>
          <w:szCs w:val="24"/>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pStyle w:val="2"/>
        <w:rPr>
          <w:rFonts w:hint="eastAsia"/>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b/>
          <w:bCs/>
          <w:i/>
          <w:color w:val="FF0000"/>
          <w:kern w:val="0"/>
          <w:sz w:val="32"/>
          <w:szCs w:val="32"/>
          <w:lang w:val="en-US" w:eastAsia="zh-CN" w:bidi="ar-SA"/>
        </w:rPr>
        <w:t>（名词解释应包含本部门专有名词，如省财政厅应有对“财政事务”科目的解释，可参考中央相关部门的名词解释）</w:t>
      </w:r>
    </w:p>
    <w:p>
      <w:pPr>
        <w:pStyle w:val="12"/>
        <w:jc w:val="center"/>
        <w:rPr>
          <w:rFonts w:hint="eastAsia" w:ascii="仿宋_GB2312" w:hAnsi="仿宋_GB2312" w:eastAsia="仿宋_GB2312" w:cs="仿宋_GB2312"/>
          <w:sz w:val="32"/>
          <w:szCs w:val="32"/>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
      <w:pPr>
        <w:pStyle w:val="2"/>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2"/>
        <w:jc w:val="both"/>
        <w:rPr>
          <w:rFonts w:hint="eastAsia" w:ascii="方正小标宋_GBK" w:hAnsi="方正小标宋_GBK" w:eastAsia="方正小标宋_GBK" w:cs="方正小标宋_GBK"/>
          <w:sz w:val="70"/>
          <w:szCs w:val="70"/>
          <w:lang w:eastAsia="zh-CN"/>
        </w:rPr>
      </w:pPr>
    </w:p>
    <w:p>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15E6F2"/>
    <w:multiLevelType w:val="singleLevel"/>
    <w:tmpl w:val="5215E6F2"/>
    <w:lvl w:ilvl="0" w:tentative="0">
      <w:start w:val="15"/>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D97DEFF"/>
    <w:rsid w:val="1DFF72E5"/>
    <w:rsid w:val="1EFC6F07"/>
    <w:rsid w:val="1F0527A6"/>
    <w:rsid w:val="22AC03C2"/>
    <w:rsid w:val="283B15FE"/>
    <w:rsid w:val="2FDF85B8"/>
    <w:rsid w:val="2FFFEE04"/>
    <w:rsid w:val="31C95635"/>
    <w:rsid w:val="34DF85B0"/>
    <w:rsid w:val="3B8F36BC"/>
    <w:rsid w:val="43EB5BA5"/>
    <w:rsid w:val="468B2617"/>
    <w:rsid w:val="491FF225"/>
    <w:rsid w:val="4EC310A1"/>
    <w:rsid w:val="4FFD214C"/>
    <w:rsid w:val="5352765A"/>
    <w:rsid w:val="5777D4F5"/>
    <w:rsid w:val="57F22B6F"/>
    <w:rsid w:val="59DD8326"/>
    <w:rsid w:val="5DEF592A"/>
    <w:rsid w:val="5FC6BB1E"/>
    <w:rsid w:val="5FF720F1"/>
    <w:rsid w:val="622964C1"/>
    <w:rsid w:val="62393C75"/>
    <w:rsid w:val="67FF5C0B"/>
    <w:rsid w:val="6BAA4A2F"/>
    <w:rsid w:val="6DDEC5C0"/>
    <w:rsid w:val="6EFC0924"/>
    <w:rsid w:val="6FB74722"/>
    <w:rsid w:val="6FEF8B7E"/>
    <w:rsid w:val="717FE77F"/>
    <w:rsid w:val="71A6591B"/>
    <w:rsid w:val="737D59BA"/>
    <w:rsid w:val="737F32B1"/>
    <w:rsid w:val="73BD3FCA"/>
    <w:rsid w:val="776BDA01"/>
    <w:rsid w:val="77C37683"/>
    <w:rsid w:val="79FF515B"/>
    <w:rsid w:val="7D3D2376"/>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1347</Words>
  <Characters>7679</Characters>
  <Lines>63</Lines>
  <Paragraphs>18</Paragraphs>
  <TotalTime>3</TotalTime>
  <ScaleCrop>false</ScaleCrop>
  <LinksUpToDate>false</LinksUpToDate>
  <CharactersWithSpaces>9008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Administrator</cp:lastModifiedBy>
  <cp:lastPrinted>2024-08-11T02:20:00Z</cp:lastPrinted>
  <dcterms:modified xsi:type="dcterms:W3CDTF">2025-09-18T02:54:43Z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98623D6660B449428EB8E073C6C952EA</vt:lpwstr>
  </property>
</Properties>
</file>