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岳阳市科学技术局</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岳阳市科学技术局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岳阳市科学技术局</w:t>
      </w:r>
      <w:r>
        <w:rPr>
          <w:rFonts w:hint="eastAsia" w:ascii="方正小标宋_GBK" w:hAnsi="方正小标宋_GBK" w:eastAsia="方正小标宋_GBK" w:cs="方正小标宋_GBK"/>
          <w:sz w:val="84"/>
          <w:szCs w:val="84"/>
        </w:rPr>
        <w:t>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(一)贯彻创新驱动发展战略和创新引领开放崛起战略，拟订全市科技发展、引进国外及国内智力规划和政策并组织实施。</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统筹推进创新型县市区建设。</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牵头建立统一的市级科技管理平台和科研项目资金协调、评估、监管机制。会同有关部门提出优化配置科技资源的政策措施建议，推动多元化科技投入体系建设，协调管理市级财政科技计划(专项、基金等)并监督实施。</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拟订全市基础研究规划、政策和标准并组织实施，组织协调市级重大基础研究和应用基础研究。拟订重大科技创新基地建设规划并监督实施，参与编制重大科技基础设施建设规划和监督实施，牵头组织市重点实验室等重大科技创新基地建设，推动科研条件保障建设和科技资源开放共享。</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(五)编制市级重大科技项目计划并监督实施，统筹关键共性技术、前沿引领技术、现代工程技术、颠覆性技术研发和创新，牵头组织重大技术攻关和成果应用示范。</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(六)组织拟订高新技术发展及产业化、科技促进农业农村和社会发展的规划、政策和措施。组织开展重点领域技术发展需求分析，提出重大任务并监督实施。</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(七)牵头市级技术转移体系建设，拟订科技成果转移转化和促进产学硏结合的相关政策措施并监督实施。指导科技服务业、技术市场、科技金融结合和科技中介组织发展。</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(八)统筹区域科技创新体系建设，指导区域创新发展、科技资源合理布局和协同创新能力建设，推动科技园区建设。</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(九)负责科技监督评价体系建设和相关科技评信管理，指导科技评价机制改革，统筹科研诚信建设。组织实施全市创新调查和科技报告制度，指导全市科技保密工作。</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(十)拟订科技对外交往与创新能力开放合作的规划、政策和措施，组织开展国际和区域科技合作与科技人才交流。指导相关部门和地方对外科技合作与科技人才交流工作。</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负责引进国外和国内智力工作。拟订全市重点引进外国专家总体规划、计划并组织实施，建立国外和国内顶尖科学家、团队吸引集聚机制和重点国内外专家联系服务机制。拟订出国(境)培训总体规划、政策和年度计划并监督实施。</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(十二)会同有关部门拟订科技人才队伍建设规划和政策，建立健全科技人才评价和激励机制，组织实施科技人才计划，推动高端科技创新人才队伍建设。</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(十三)负责省科学技术奖等的申报组织工作。</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负责管理岳阳市自然科学基金委员会(以下简称市自然科学基金委)，依法对市自然科学基金工作进行宏观管理、统筹协调和监督评估。市自然科学基金委依法管理市自然科学基金，相对独立运行，负责资助计划、项目设置和评审、立项、监督等组织实施工作。</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(十五)完成市委、市政府交办的其他任务。</w:t>
      </w:r>
    </w:p>
    <w:p>
      <w:pPr>
        <w:pStyle w:val="14"/>
        <w:numPr>
          <w:ilvl w:val="0"/>
          <w:numId w:val="0"/>
        </w:numPr>
        <w:ind w:leftChars="0"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职能转变。围绕贯彻实施科教兴国战略、人才强国战略、创新驱动发展战略和创新引领开放崛起战略，加强、优化、转变政府科技管理和服务职能，完善科技创新制度和组织体系，加强宏观管理、统筹协调和科研诚信建设。从研发管理向创新服务转变，深入推进科技计划管理改革，建立公开统一的市级科技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岳阳市科学技术局</w:t>
      </w:r>
      <w:r>
        <w:rPr>
          <w:rFonts w:hint="eastAsia" w:ascii="Times New Roman" w:hAnsi="Times New Roman" w:eastAsia="仿宋_GB2312" w:cs="仿宋_GB2312"/>
          <w:bCs/>
          <w:kern w:val="0"/>
          <w:sz w:val="32"/>
          <w:szCs w:val="32"/>
        </w:rPr>
        <w:t>内设机构包括：办公室、政策法规科、战略规划与资源配置科、基础研究科、高新技术发展及产业化科、农村科技科、社会发展科技科、成果转化与区域创新科、人事科(人才工作办公室) 、机关党委、机关纪委。</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下设直属单位1个，市科技事务中心。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2024年度部门决算汇总公开单位仅包括岳阳市科学技术局本级。</w:t>
      </w: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both"/>
        <w:rPr>
          <w:rFonts w:hint="eastAsia" w:ascii="方正小标宋_GBK" w:hAnsi="方正小标宋_GBK" w:eastAsia="方正小标宋_GBK" w:cs="方正小标宋_GBK"/>
          <w:sz w:val="70"/>
          <w:szCs w:val="70"/>
        </w:rPr>
      </w:pPr>
    </w:p>
    <w:p>
      <w:pPr>
        <w:pStyle w:val="13"/>
        <w:jc w:val="both"/>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widowControl w:val="0"/>
        <w:autoSpaceDE w:val="0"/>
        <w:autoSpaceDN w:val="0"/>
        <w:adjustRightInd w:val="0"/>
        <w:ind w:firstLine="640" w:firstLineChars="200"/>
        <w:rPr>
          <w:rFonts w:hint="eastAsia"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年度收、支总计1725.06万元。与上年相比，增加</w:t>
      </w:r>
      <w:r>
        <w:rPr>
          <w:rFonts w:hint="eastAsia" w:ascii="仿宋_GB2312" w:hAnsi="仿宋_GB2312" w:eastAsia="仿宋_GB2312" w:cs="仿宋_GB2312"/>
          <w:sz w:val="32"/>
          <w:szCs w:val="32"/>
          <w:lang w:val="en-US" w:eastAsia="zh-CN"/>
        </w:rPr>
        <w:t>283.13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19.64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新调入</w:t>
      </w:r>
      <w:r>
        <w:rPr>
          <w:rFonts w:hint="eastAsia" w:ascii="仿宋_GB2312" w:hAnsi="仿宋_GB2312" w:eastAsia="仿宋_GB2312" w:cs="仿宋_GB2312"/>
          <w:sz w:val="32"/>
          <w:szCs w:val="32"/>
        </w:rPr>
        <w:t>公务员及四海揽才人员增加，人员经费增加</w:t>
      </w:r>
      <w:r>
        <w:rPr>
          <w:rFonts w:hint="eastAsia" w:ascii="仿宋_GB2312" w:hAnsi="仿宋_GB2312" w:eastAsia="仿宋_GB2312" w:cs="仿宋_GB2312"/>
          <w:sz w:val="32"/>
          <w:szCs w:val="32"/>
          <w:lang w:eastAsia="zh-CN"/>
        </w:rPr>
        <w:t>；科技专项当年拨付，项目支出较上年增加。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1725.06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1700.35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98.57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24.71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1725.06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990.76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57.43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734.29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42.57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1700.35</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263.65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经开区改制，创新型省份科技专项经我单位拨付，导致项目支出较上年增加。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1700.35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98.57</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263.65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新调入</w:t>
      </w:r>
      <w:r>
        <w:rPr>
          <w:rFonts w:hint="eastAsia" w:ascii="仿宋_GB2312" w:hAnsi="仿宋_GB2312" w:eastAsia="仿宋_GB2312" w:cs="仿宋_GB2312"/>
          <w:sz w:val="32"/>
          <w:szCs w:val="32"/>
        </w:rPr>
        <w:t>公务员及四海揽才人员增加，人员经费增加</w:t>
      </w:r>
      <w:r>
        <w:rPr>
          <w:rFonts w:hint="eastAsia" w:ascii="仿宋_GB2312" w:hAnsi="仿宋_GB2312" w:eastAsia="仿宋_GB2312" w:cs="仿宋_GB2312"/>
          <w:sz w:val="32"/>
          <w:szCs w:val="32"/>
          <w:lang w:eastAsia="zh-CN"/>
        </w:rPr>
        <w:t>；科技专项当年拨付，项目支出较上年增加。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1700.35</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1444.75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84.97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文化旅游体育与传媒</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60.13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99.20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51.84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44.42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年度财政拨款支出年初预算数为994.73万元，支出决算数为</w:t>
      </w:r>
      <w:r>
        <w:rPr>
          <w:rFonts w:hint="eastAsia" w:ascii="仿宋_GB2312" w:hAnsi="仿宋_GB2312" w:eastAsia="仿宋_GB2312" w:cs="仿宋_GB2312"/>
          <w:sz w:val="32"/>
          <w:szCs w:val="32"/>
          <w:lang w:val="en-US" w:eastAsia="zh-CN"/>
        </w:rPr>
        <w:t>1700.35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170.94</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1、科学技术（类）科学技术管理事务（款）行政运行（项）。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729.23</w:t>
      </w:r>
      <w:r>
        <w:rPr>
          <w:rFonts w:hint="eastAsia" w:ascii="仿宋_GB2312" w:hAnsi="仿宋_GB2312" w:eastAsia="仿宋_GB2312" w:cs="仿宋_GB2312"/>
          <w:sz w:val="32"/>
          <w:szCs w:val="32"/>
        </w:rPr>
        <w:t>万元，支出决算为715.46万元，完成年初预算的</w:t>
      </w:r>
      <w:r>
        <w:rPr>
          <w:rFonts w:hint="eastAsia" w:ascii="仿宋_GB2312" w:hAnsi="仿宋_GB2312" w:eastAsia="仿宋_GB2312" w:cs="仿宋_GB2312"/>
          <w:sz w:val="32"/>
          <w:szCs w:val="32"/>
          <w:lang w:val="en-US" w:eastAsia="zh-CN"/>
        </w:rPr>
        <w:t>98.11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highlight w:val="none"/>
        </w:rPr>
        <w:t>数的主要原因是：</w:t>
      </w:r>
      <w:r>
        <w:rPr>
          <w:rFonts w:hint="eastAsia" w:ascii="仿宋_GB2312" w:hAnsi="仿宋_GB2312" w:eastAsia="仿宋_GB2312" w:cs="仿宋_GB2312"/>
          <w:sz w:val="32"/>
          <w:szCs w:val="32"/>
          <w:highlight w:val="none"/>
          <w:lang w:eastAsia="zh-CN"/>
        </w:rPr>
        <w:t>单位严格落实过紧日子要求，厉行节约</w:t>
      </w:r>
      <w:r>
        <w:rPr>
          <w:rFonts w:hint="eastAsia" w:ascii="仿宋_GB2312" w:hAnsi="仿宋_GB2312" w:eastAsia="仿宋_GB2312" w:cs="仿宋_GB2312"/>
          <w:sz w:val="32"/>
          <w:szCs w:val="32"/>
          <w:highlight w:val="none"/>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科学技术（类）科学技术管理事务（款） 其他科学技术管理事务支出（项）。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临时承担的工作经费没有纳入年初预算。</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科学技术（类）基础研究（款）科技人才队伍建设（项）。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科技创新专项资金为市统一代编预算，其中</w:t>
      </w:r>
      <w:r>
        <w:rPr>
          <w:rFonts w:hint="eastAsia" w:ascii="仿宋_GB2312" w:hAnsi="仿宋_GB2312" w:eastAsia="仿宋_GB2312" w:cs="仿宋_GB2312"/>
          <w:sz w:val="32"/>
          <w:szCs w:val="32"/>
          <w:lang w:eastAsia="zh-CN"/>
        </w:rPr>
        <w:t>部分基础研究类专项</w:t>
      </w:r>
      <w:r>
        <w:rPr>
          <w:rFonts w:hint="eastAsia" w:ascii="Times New Roman" w:hAnsi="Times New Roman" w:eastAsia="仿宋_GB2312"/>
          <w:sz w:val="32"/>
          <w:szCs w:val="32"/>
          <w:lang w:eastAsia="zh-CN"/>
        </w:rPr>
        <w:t>经我部门拨付，未在年初部门预算体现。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科学技术（类）技术研究与开发（款）科技成果转化与扩散（项）。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5.39</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临时承担的工作经费没有纳入年初预算。</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科学技术（类）科技条件与服务（款）其他科技条件与服务支出（项）。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81.73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96.15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单位严格落实过紧日子要求，厉行节约</w:t>
      </w:r>
      <w:r>
        <w:rPr>
          <w:rFonts w:hint="eastAsia" w:ascii="仿宋_GB2312" w:hAnsi="仿宋_GB2312" w:eastAsia="仿宋_GB2312" w:cs="仿宋_GB2312"/>
          <w:sz w:val="32"/>
          <w:szCs w:val="32"/>
          <w:highlight w:val="none"/>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科学技术（类）科技重大项目（款）重点研发计划（项）。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100万</w:t>
      </w:r>
      <w:r>
        <w:rPr>
          <w:rFonts w:hint="eastAsia" w:ascii="仿宋_GB2312" w:hAnsi="仿宋_GB2312" w:eastAsia="仿宋_GB2312" w:cs="仿宋_GB2312"/>
          <w:sz w:val="32"/>
          <w:szCs w:val="32"/>
        </w:rPr>
        <w:t>元，决算数大于年初预算数的主要原因是：</w:t>
      </w:r>
      <w:r>
        <w:rPr>
          <w:rFonts w:hint="eastAsia" w:ascii="Times New Roman" w:hAnsi="Times New Roman" w:eastAsia="仿宋_GB2312"/>
          <w:sz w:val="32"/>
          <w:szCs w:val="32"/>
          <w:lang w:eastAsia="zh-CN"/>
        </w:rPr>
        <w:t>科技创新专项资金为市统一代编预算，其中</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重点研发计划</w:t>
      </w:r>
      <w:r>
        <w:rPr>
          <w:rFonts w:hint="eastAsia" w:ascii="仿宋_GB2312" w:hAnsi="仿宋_GB2312" w:eastAsia="仿宋_GB2312" w:cs="仿宋_GB2312"/>
          <w:sz w:val="32"/>
          <w:szCs w:val="32"/>
          <w:lang w:eastAsia="zh-CN"/>
        </w:rPr>
        <w:t>专项</w:t>
      </w:r>
      <w:r>
        <w:rPr>
          <w:rFonts w:hint="eastAsia" w:ascii="Times New Roman" w:hAnsi="Times New Roman" w:eastAsia="仿宋_GB2312"/>
          <w:sz w:val="32"/>
          <w:szCs w:val="32"/>
          <w:lang w:eastAsia="zh-CN"/>
        </w:rPr>
        <w:t>经我部门拨付，未在年初部门预算体现。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科学技术（类）其他科学技术支出（款）其他科学技术支出（项）。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450.49</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科技创新专项资金为市统一代编预算，其中部分</w:t>
      </w:r>
      <w:r>
        <w:rPr>
          <w:rFonts w:hint="eastAsia" w:ascii="仿宋_GB2312" w:hAnsi="仿宋_GB2312" w:eastAsia="仿宋_GB2312" w:cs="仿宋_GB2312"/>
          <w:sz w:val="32"/>
          <w:szCs w:val="32"/>
          <w:lang w:eastAsia="zh-CN"/>
        </w:rPr>
        <w:t>专项</w:t>
      </w:r>
      <w:r>
        <w:rPr>
          <w:rFonts w:hint="eastAsia" w:ascii="Times New Roman" w:hAnsi="Times New Roman" w:eastAsia="仿宋_GB2312"/>
          <w:sz w:val="32"/>
          <w:szCs w:val="32"/>
          <w:lang w:eastAsia="zh-CN"/>
        </w:rPr>
        <w:t>经我部门拨付，未在年初部门预算体现。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文化旅游体育与传媒支出（类）文化和旅游（款） 行政运行（项）。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6.27</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临时承担的工作经费没有纳入年初预算。</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文化旅游体育与传媒支出（类）文化和旅游（款）一般行政管理事务（项）。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53.86</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临时承担的工作经费没有纳入年初预算。</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社会保障和就业支出（类）行政事业单位养老支出（款）行政单位离退休（项）。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8.21</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年初预算未精确到单位离退休项。</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66.05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48.53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73.47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highlight w:val="none"/>
        </w:rPr>
        <w:t>数的主要原因是：</w:t>
      </w:r>
      <w:r>
        <w:rPr>
          <w:rFonts w:hint="eastAsia" w:ascii="仿宋_GB2312" w:hAnsi="仿宋_GB2312" w:eastAsia="仿宋_GB2312" w:cs="仿宋_GB2312"/>
          <w:sz w:val="32"/>
          <w:szCs w:val="32"/>
          <w:highlight w:val="none"/>
          <w:lang w:eastAsia="zh-CN"/>
        </w:rPr>
        <w:t>单位新增在职转退休人员，实际养老保险缴纳小于年初预算数。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社会保障和就业支出（类）抚恤（款）其他优抚支出（项）。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34.57</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退休干部去世抚恤金为当年财政直接下达，未在年初部门预算中体现。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社会保障和就业支出（类）残疾人事业（款）其他残疾人事业支出（项）。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 w:eastAsia="zh-CN"/>
        </w:rPr>
        <w:t>主要原因是实际执行与年初预算一致。</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社会保障和就业支出（类）其他社会保障和就业支出（款）其他社会保障和就业支出（项）。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733.33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工伤保险未在年初预算体现，</w:t>
      </w:r>
      <w:r>
        <w:rPr>
          <w:rFonts w:hint="eastAsia" w:ascii="仿宋_GB2312" w:hAnsi="仿宋_GB2312" w:eastAsia="仿宋_GB2312" w:cs="仿宋_GB2312"/>
          <w:sz w:val="32"/>
          <w:szCs w:val="32"/>
        </w:rPr>
        <w:t>其他社会保障和就业支出</w:t>
      </w:r>
      <w:r>
        <w:rPr>
          <w:rFonts w:hint="eastAsia" w:ascii="仿宋_GB2312" w:hAnsi="仿宋_GB2312" w:eastAsia="仿宋_GB2312" w:cs="仿宋_GB2312"/>
          <w:sz w:val="32"/>
          <w:szCs w:val="32"/>
          <w:lang w:eastAsia="zh-CN"/>
        </w:rPr>
        <w:t>实际支出大于年初预算数。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卫生健康支出（类）行政事业单位医疗（款）行政单位医疗（项）。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35.39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81.69</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highlight w:val="none"/>
          <w:lang w:eastAsia="zh-CN"/>
        </w:rPr>
        <w:t>单位新增行政在职转退休人员，实际</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highlight w:val="none"/>
          <w:lang w:eastAsia="zh-CN"/>
        </w:rPr>
        <w:t>缴纳小于年初预算数。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卫生健康支出（类）行政事业单位医疗（款）事业单位医疗（项）。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18.32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89.79</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highlight w:val="none"/>
          <w:lang w:eastAsia="zh-CN"/>
        </w:rPr>
        <w:t>单位有调出人员，实际</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highlight w:val="none"/>
          <w:lang w:eastAsia="zh-CN"/>
        </w:rPr>
        <w:t>缴纳小于年初预算数。</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住房保障支出（类）住房改革支出（款）住房公积金（项）。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47.59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93.34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highlight w:val="none"/>
          <w:lang w:eastAsia="zh-CN"/>
        </w:rPr>
        <w:t>单位新增在职转退休人员及调出人员，实际住房公积金缴纳小于年初预算数。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971.06</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871.27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89.72</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、绩效工资、机关事业单位基本养老保险缴费、离休费、退休费。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99.79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10.28</w:t>
      </w:r>
      <w:r>
        <w:rPr>
          <w:rFonts w:hint="eastAsia" w:ascii="仿宋_GB2312" w:hAnsi="仿宋_GB2312" w:eastAsia="仿宋_GB2312" w:cs="仿宋_GB2312"/>
          <w:sz w:val="32"/>
          <w:szCs w:val="32"/>
        </w:rPr>
        <w:t>%，主要包括办公费、印刷费、水费、电费、差旅费、工会经费、其他交通费用。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仿宋_GB2312"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50.64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单位</w:t>
      </w:r>
      <w:r>
        <w:rPr>
          <w:rFonts w:hint="eastAsia" w:ascii="仿宋_GB2312" w:hAnsi="仿宋_GB2312" w:eastAsia="仿宋_GB2312" w:cs="仿宋_GB2312"/>
          <w:sz w:val="32"/>
          <w:szCs w:val="32"/>
          <w:lang w:eastAsia="zh-CN"/>
        </w:rPr>
        <w:t>落实过紧日子要求，厉行节约，从严控制三公经费支出</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eastAsia="zh-CN"/>
        </w:rPr>
        <w:t>落实过紧日子要求，严格控制三公经费只减不增</w:t>
      </w:r>
      <w:r>
        <w:rPr>
          <w:rFonts w:ascii="Times New Roman" w:hAnsi="Times New Roman" w:eastAsia="仿宋_GB2312" w:cs="Times New Roman"/>
          <w:sz w:val="32"/>
          <w:szCs w:val="32"/>
        </w:rPr>
        <w:t>。</w:t>
      </w:r>
      <w:bookmarkStart w:id="0" w:name="_GoBack"/>
      <w:bookmarkEnd w:id="0"/>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公出国（境）费支出预算为0万元，支出决算为0万元，决算数等于预算数，主要原因是我单位严格按预算执行决算；与上年一致，无增减变动，主要原因是未安排因公出国（境）活动。2024年度安排因公出国（境）团组0个，累计0人次。</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2.公务用车购置费及运行维护费支出预算为0万元，支出决算为0万元，决算数等于预算数；与上年一致，无增减变动。其中：</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公务用车加油费、维修维护费、车辆保险费、</w:t>
      </w:r>
      <w:r>
        <w:rPr>
          <w:rFonts w:hint="eastAsia" w:ascii="Times New Roman" w:hAnsi="Times New Roman" w:eastAsia="仿宋_GB2312" w:cs="Times New Roman"/>
          <w:sz w:val="32"/>
          <w:szCs w:val="32"/>
          <w:lang w:val="en-US" w:eastAsia="zh-CN"/>
        </w:rPr>
        <w:t>ETC过路费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48.89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单位</w:t>
      </w:r>
      <w:r>
        <w:rPr>
          <w:rFonts w:hint="eastAsia" w:ascii="仿宋_GB2312" w:hAnsi="仿宋_GB2312" w:eastAsia="仿宋_GB2312" w:cs="仿宋_GB2312"/>
          <w:sz w:val="32"/>
          <w:szCs w:val="32"/>
          <w:lang w:eastAsia="zh-CN"/>
        </w:rPr>
        <w:t>落实过紧日子要求，厉行节约，鼓励公共交通出行，减少公务用车出行</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eastAsia="zh-CN"/>
        </w:rPr>
        <w:t>落实过紧日子要求，严格控制三公经费只减不增</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numPr>
          <w:ilvl w:val="0"/>
          <w:numId w:val="0"/>
        </w:numPr>
        <w:ind w:firstLine="640" w:firstLineChars="200"/>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53.06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单位</w:t>
      </w:r>
      <w:r>
        <w:rPr>
          <w:rFonts w:hint="eastAsia" w:ascii="仿宋_GB2312" w:hAnsi="仿宋_GB2312" w:eastAsia="仿宋_GB2312" w:cs="仿宋_GB2312"/>
          <w:sz w:val="32"/>
          <w:szCs w:val="32"/>
          <w:lang w:eastAsia="zh-CN"/>
        </w:rPr>
        <w:t>落实过紧日子要求，厉行节约</w:t>
      </w:r>
      <w:r>
        <w:rPr>
          <w:rFonts w:ascii="Times New Roman" w:hAnsi="Times New Roman" w:eastAsia="仿宋_GB2312" w:cs="Times New Roman"/>
          <w:sz w:val="32"/>
          <w:szCs w:val="32"/>
        </w:rPr>
        <w:t>。决算数小于上年数的主要原因是</w:t>
      </w:r>
      <w:r>
        <w:rPr>
          <w:rFonts w:hint="eastAsia" w:ascii="仿宋_GB2312" w:hAnsi="仿宋_GB2312" w:eastAsia="仿宋_GB2312" w:cs="仿宋_GB2312"/>
          <w:sz w:val="32"/>
          <w:szCs w:val="32"/>
          <w:lang w:eastAsia="zh-CN"/>
        </w:rPr>
        <w:t>落实过紧日子要求，严格控制三公经费只减不增</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县市区部门汇报工作、省直部门来岳调研</w:t>
      </w:r>
      <w:r>
        <w:rPr>
          <w:rFonts w:ascii="Times New Roman" w:hAnsi="Times New Roman" w:eastAsia="仿宋_GB2312" w:cs="Times New Roman"/>
          <w:sz w:val="32"/>
          <w:szCs w:val="32"/>
        </w:rPr>
        <w:t>发生的接待支出。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99.79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比上年决算数减少</w:t>
      </w:r>
      <w:r>
        <w:rPr>
          <w:rFonts w:hint="eastAsia" w:ascii="仿宋_GB2312" w:hAnsi="仿宋_GB2312" w:eastAsia="仿宋_GB2312" w:cs="仿宋_GB2312"/>
          <w:sz w:val="32"/>
          <w:szCs w:val="32"/>
          <w:highlight w:val="none"/>
          <w:lang w:val="en-US" w:eastAsia="zh-CN"/>
        </w:rPr>
        <w:t>3.53</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3.42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单位落实过紧日子要求，厉行节约。</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年度，会议费年初预算1万元，支出决算为1.14万元，完成年初预算的114%。用于召开全市科技大会，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通报岳阳市科技创新获奖（牌）情况、介绍我市承担和实施省市科技研发项目。</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培训费年初预算0万元，支出决算为0.02万元。用于开展科技系统公文写作培训，人数45人，内容为公文写作培训。</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274.55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75.79</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12.24</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186.53</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192.19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134.53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76.32</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68.5</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科技交流与合作</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科技条件与服务</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sz w:val="32"/>
          <w:szCs w:val="32"/>
          <w:lang w:val="en-US" w:eastAsia="zh-CN"/>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1863.29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1725.06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92.58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94.26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组建科技创新平台，新增创新平台省级15个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市级40个</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开展全市科技大会，组织各县市区开展全社会研发投入培训，提升了全市科技创新能力</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预算绩效管理工作稍显薄弱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val="en-US" w:eastAsia="zh-CN" w:bidi="ar-SA"/>
        </w:rPr>
        <w:t>对预算绩效管理理解不充分，对工作重点把握不到位</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细化预算编制工作，认真做好预算的编制</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充实业务知识，提高预算绩效管理方面的理论、实务和具体操作水平</w:t>
      </w:r>
      <w:r>
        <w:rPr>
          <w:rFonts w:hint="eastAsia" w:ascii="Times New Roman" w:hAnsi="Times New Roman" w:eastAsia="仿宋_GB2312" w:cs="Times New Roman"/>
          <w:sz w:val="32"/>
          <w:szCs w:val="32"/>
          <w:lang w:eastAsia="zh-CN"/>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eastAsia="zh-CN"/>
        </w:rPr>
        <w:t>市级专项资金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专项资金跨年拨付导致项目进展缓慢</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积极对接项目资金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加强与财政部门的沟通联系，尽早取得资金的拨付，保障项目资金的投入进度，发挥资金的使用效益。</w:t>
      </w:r>
    </w:p>
    <w:p>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rPr>
        <w:t>本单位及所属单位本年度未开展事前绩效评估，所以无事前绩效评估结果。</w:t>
      </w:r>
    </w:p>
    <w:p>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b/>
          <w:bCs/>
          <w:kern w:val="0"/>
          <w:sz w:val="32"/>
          <w:szCs w:val="32"/>
          <w:highlight w:val="none"/>
        </w:rPr>
        <w:t>资金管理强化</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000000"/>
          <w:kern w:val="0"/>
          <w:sz w:val="32"/>
          <w:szCs w:val="32"/>
          <w:lang w:val="en-US" w:eastAsia="zh-CN" w:bidi="ar-SA"/>
        </w:rPr>
        <w:t>本着“勤俭节约、保障运转”的原则进行预算的编制。首先需满足固定性的、相对刚性的费用支出项目，尽量压缩变动性的、有控制空间的费用项目，进一步提高预算编制的科学性、合理性、严谨性和可控性。</w:t>
      </w:r>
      <w:r>
        <w:rPr>
          <w:rFonts w:hint="eastAsia" w:ascii="Times New Roman" w:hAnsi="Times New Roman" w:eastAsia="仿宋_GB2312" w:cs="Times New Roman"/>
          <w:color w:val="auto"/>
          <w:sz w:val="32"/>
          <w:szCs w:val="32"/>
          <w:highlight w:val="none"/>
        </w:rPr>
        <w:t>加强预算执行监控，加快支出进度，确保资金及时发挥效益。</w:t>
      </w:r>
    </w:p>
    <w:p>
      <w:pPr>
        <w:numPr>
          <w:ilvl w:val="0"/>
          <w:numId w:val="0"/>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rPr>
        <w:t>制度建设完善</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将绩效评价结果作为完善政策、改进管理的重要依据，修订内部财务与预算管理办法，强化绩效导向，建立评价结果与预算安排、政策调整的实质性挂钩机制，提升整体预算绩效管理水平。</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8"/>
        <w:rPr>
          <w:rFonts w:hint="eastAsia"/>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both"/>
        <w:rPr>
          <w:rFonts w:hint="eastAsia" w:ascii="方正小标宋_GBK" w:hAnsi="方正小标宋_GBK" w:eastAsia="方正小标宋_GBK" w:cs="方正小标宋_GBK"/>
          <w:sz w:val="24"/>
          <w:szCs w:val="24"/>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8"/>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3"/>
        <w:jc w:val="center"/>
        <w:rPr>
          <w:rFonts w:hint="eastAsia" w:ascii="仿宋_GB2312" w:hAnsi="仿宋_GB2312" w:eastAsia="仿宋_GB2312" w:cs="仿宋_GB2312"/>
          <w:sz w:val="32"/>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
      <w:pPr>
        <w:pStyle w:val="8"/>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FFBBA3B4"/>
    <w:multiLevelType w:val="singleLevel"/>
    <w:tmpl w:val="FFBBA3B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DEE84A4"/>
    <w:rsid w:val="11944E2C"/>
    <w:rsid w:val="12583BA5"/>
    <w:rsid w:val="13BA5B9C"/>
    <w:rsid w:val="145D8F38"/>
    <w:rsid w:val="1D97DEFF"/>
    <w:rsid w:val="1DFF72E5"/>
    <w:rsid w:val="1EFC6F07"/>
    <w:rsid w:val="1F0527A6"/>
    <w:rsid w:val="22AC03C2"/>
    <w:rsid w:val="283B15FE"/>
    <w:rsid w:val="2FDF85B8"/>
    <w:rsid w:val="2FFFEE04"/>
    <w:rsid w:val="31C95635"/>
    <w:rsid w:val="34DF85B0"/>
    <w:rsid w:val="3B8F36BC"/>
    <w:rsid w:val="3DFB8677"/>
    <w:rsid w:val="3F19945B"/>
    <w:rsid w:val="3FFF88CD"/>
    <w:rsid w:val="43EB5BA5"/>
    <w:rsid w:val="491FF225"/>
    <w:rsid w:val="4EC310A1"/>
    <w:rsid w:val="4FFD214C"/>
    <w:rsid w:val="5352765A"/>
    <w:rsid w:val="5777D4F5"/>
    <w:rsid w:val="57F22B6F"/>
    <w:rsid w:val="59DD8326"/>
    <w:rsid w:val="5BC7EDAA"/>
    <w:rsid w:val="5BCEDFCC"/>
    <w:rsid w:val="5DEF592A"/>
    <w:rsid w:val="5F7CE656"/>
    <w:rsid w:val="5FC6BB1E"/>
    <w:rsid w:val="5FDED1D5"/>
    <w:rsid w:val="5FF720F1"/>
    <w:rsid w:val="622964C1"/>
    <w:rsid w:val="67938AEB"/>
    <w:rsid w:val="67FF5C0B"/>
    <w:rsid w:val="6BAA4A2F"/>
    <w:rsid w:val="6DDEC5C0"/>
    <w:rsid w:val="6EFC0924"/>
    <w:rsid w:val="6F4B163A"/>
    <w:rsid w:val="6FB74722"/>
    <w:rsid w:val="6FEF8B7E"/>
    <w:rsid w:val="6FFB5C1E"/>
    <w:rsid w:val="717FE77F"/>
    <w:rsid w:val="71A6591B"/>
    <w:rsid w:val="71BE3548"/>
    <w:rsid w:val="737D59BA"/>
    <w:rsid w:val="737F32B1"/>
    <w:rsid w:val="73BD3FCA"/>
    <w:rsid w:val="73F79530"/>
    <w:rsid w:val="757A7533"/>
    <w:rsid w:val="776BDA01"/>
    <w:rsid w:val="77C37683"/>
    <w:rsid w:val="77FF73D8"/>
    <w:rsid w:val="79FF515B"/>
    <w:rsid w:val="7BDCA160"/>
    <w:rsid w:val="7BFE9676"/>
    <w:rsid w:val="7DFBFF20"/>
    <w:rsid w:val="7E9E1962"/>
    <w:rsid w:val="7E9F11B4"/>
    <w:rsid w:val="7F37EC1E"/>
    <w:rsid w:val="7F7C0DDA"/>
    <w:rsid w:val="7F7DCD9D"/>
    <w:rsid w:val="7F970A6F"/>
    <w:rsid w:val="7FBF2BB4"/>
    <w:rsid w:val="7FC1FFF3"/>
    <w:rsid w:val="7FC69637"/>
    <w:rsid w:val="7FDF8620"/>
    <w:rsid w:val="7FFB242F"/>
    <w:rsid w:val="7FFDA384"/>
    <w:rsid w:val="7FFDB408"/>
    <w:rsid w:val="7FFE4EEB"/>
    <w:rsid w:val="95FB2B98"/>
    <w:rsid w:val="9A639BC2"/>
    <w:rsid w:val="9FF7D786"/>
    <w:rsid w:val="ABBFB23D"/>
    <w:rsid w:val="B4E36C9A"/>
    <w:rsid w:val="B6BE5A03"/>
    <w:rsid w:val="B8720597"/>
    <w:rsid w:val="B8C93228"/>
    <w:rsid w:val="C3B4DA5A"/>
    <w:rsid w:val="C4FF458C"/>
    <w:rsid w:val="C7BBD038"/>
    <w:rsid w:val="CBFD7530"/>
    <w:rsid w:val="CBFF70E0"/>
    <w:rsid w:val="CFD5A156"/>
    <w:rsid w:val="CFF50B82"/>
    <w:rsid w:val="CFFFAD89"/>
    <w:rsid w:val="D3BFE2C2"/>
    <w:rsid w:val="D5B7D79B"/>
    <w:rsid w:val="D7DF72F5"/>
    <w:rsid w:val="DD6E8D06"/>
    <w:rsid w:val="DF8133E0"/>
    <w:rsid w:val="DFD4C2B4"/>
    <w:rsid w:val="DFFE359E"/>
    <w:rsid w:val="DFFE4FFD"/>
    <w:rsid w:val="DFFF5403"/>
    <w:rsid w:val="EBC3E00A"/>
    <w:rsid w:val="EBFF3BCC"/>
    <w:rsid w:val="EDFBE100"/>
    <w:rsid w:val="EE1E6F26"/>
    <w:rsid w:val="EEABED75"/>
    <w:rsid w:val="EEF96FEF"/>
    <w:rsid w:val="EEFA71F8"/>
    <w:rsid w:val="EF7E8003"/>
    <w:rsid w:val="EFB9C337"/>
    <w:rsid w:val="EFBC8E1D"/>
    <w:rsid w:val="EFFFE196"/>
    <w:rsid w:val="F56FDF51"/>
    <w:rsid w:val="F5F3EE78"/>
    <w:rsid w:val="F6B69F17"/>
    <w:rsid w:val="F6E5BB3A"/>
    <w:rsid w:val="F77F1D61"/>
    <w:rsid w:val="F7D31968"/>
    <w:rsid w:val="F7FED3A9"/>
    <w:rsid w:val="F8C9DB26"/>
    <w:rsid w:val="F97E8EAE"/>
    <w:rsid w:val="FB36E1A6"/>
    <w:rsid w:val="FB3BE134"/>
    <w:rsid w:val="FB5E63E0"/>
    <w:rsid w:val="FBEECBF1"/>
    <w:rsid w:val="FCFF4275"/>
    <w:rsid w:val="FD53BA72"/>
    <w:rsid w:val="FD7FEEEA"/>
    <w:rsid w:val="FDFFB577"/>
    <w:rsid w:val="FE3FEA54"/>
    <w:rsid w:val="FEBE5517"/>
    <w:rsid w:val="FEEA50FE"/>
    <w:rsid w:val="FF7D47A9"/>
    <w:rsid w:val="FF91DAC2"/>
    <w:rsid w:val="FFCF21CB"/>
    <w:rsid w:val="FFF94102"/>
    <w:rsid w:val="FFFF1C8B"/>
    <w:rsid w:val="FFFF7436"/>
    <w:rsid w:val="FFFFE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sz w:val="24"/>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6</TotalTime>
  <ScaleCrop>false</ScaleCrop>
  <LinksUpToDate>false</LinksUpToDate>
  <CharactersWithSpaces>9008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2020-07-12T02:32:00Z</dcterms:created>
  <dc:creator>李航 null</dc:creator>
  <cp:lastModifiedBy>xjkp</cp:lastModifiedBy>
  <cp:lastPrinted>2024-08-12T10:20:00Z</cp:lastPrinted>
  <dcterms:modified xsi:type="dcterms:W3CDTF">2025-09-24T14:51:59Z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98623D6660B449428EB8E073C6C952EA</vt:lpwstr>
  </property>
</Properties>
</file>