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center"/>
        <w:rPr>
          <w:sz w:val="56"/>
          <w:szCs w:val="56"/>
        </w:rPr>
      </w:pPr>
    </w:p>
    <w:p>
      <w:pPr>
        <w:pStyle w:val="14"/>
        <w:jc w:val="center"/>
        <w:rPr>
          <w:sz w:val="56"/>
          <w:szCs w:val="56"/>
        </w:rPr>
      </w:pPr>
    </w:p>
    <w:p>
      <w:pPr>
        <w:pStyle w:val="14"/>
        <w:jc w:val="center"/>
        <w:rPr>
          <w:sz w:val="84"/>
          <w:szCs w:val="84"/>
        </w:rPr>
      </w:pPr>
    </w:p>
    <w:p>
      <w:pPr>
        <w:pStyle w:val="14"/>
        <w:jc w:val="center"/>
        <w:rPr>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岳阳市司法局</w:t>
      </w:r>
      <w:r>
        <w:rPr>
          <w:rFonts w:hint="eastAsia" w:ascii="方正小标宋_GBK" w:hAnsi="方正小标宋_GBK" w:eastAsia="方正小标宋_GBK" w:cs="方正小标宋_GBK"/>
          <w:sz w:val="84"/>
          <w:szCs w:val="84"/>
        </w:rPr>
        <w:t>部门决算</w:t>
      </w:r>
    </w:p>
    <w:p>
      <w:pPr>
        <w:pStyle w:val="14"/>
        <w:jc w:val="center"/>
        <w:rPr>
          <w:rFonts w:hint="eastAsia" w:ascii="方正小标宋_GBK" w:hAnsi="方正小标宋_GBK" w:eastAsia="方正小标宋_GBK" w:cs="方正小标宋_GBK"/>
          <w:sz w:val="56"/>
          <w:szCs w:val="56"/>
        </w:rPr>
      </w:pPr>
    </w:p>
    <w:p>
      <w:pPr>
        <w:pStyle w:val="14"/>
        <w:jc w:val="center"/>
        <w:rPr>
          <w:sz w:val="56"/>
          <w:szCs w:val="56"/>
        </w:rPr>
      </w:pPr>
    </w:p>
    <w:p>
      <w:pPr>
        <w:pStyle w:val="14"/>
        <w:jc w:val="center"/>
        <w:rPr>
          <w:sz w:val="56"/>
          <w:szCs w:val="56"/>
        </w:rPr>
      </w:pPr>
    </w:p>
    <w:p>
      <w:pPr>
        <w:pStyle w:val="14"/>
        <w:jc w:val="center"/>
        <w:rPr>
          <w:sz w:val="56"/>
          <w:szCs w:val="56"/>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jc w:val="center"/>
        <w:rPr>
          <w:sz w:val="32"/>
          <w:szCs w:val="32"/>
        </w:rPr>
      </w:pPr>
    </w:p>
    <w:p>
      <w:pPr>
        <w:pStyle w:val="14"/>
        <w:spacing w:line="540" w:lineRule="exact"/>
        <w:jc w:val="center"/>
        <w:rPr>
          <w:sz w:val="56"/>
          <w:szCs w:val="56"/>
        </w:rPr>
      </w:pPr>
    </w:p>
    <w:p>
      <w:pPr>
        <w:pStyle w:val="14"/>
        <w:spacing w:line="500" w:lineRule="exact"/>
        <w:jc w:val="both"/>
        <w:rPr>
          <w:b/>
          <w:sz w:val="36"/>
          <w:szCs w:val="28"/>
        </w:rPr>
      </w:pPr>
    </w:p>
    <w:p>
      <w:pPr>
        <w:pStyle w:val="14"/>
        <w:spacing w:line="500" w:lineRule="exact"/>
        <w:jc w:val="center"/>
        <w:rPr>
          <w:b/>
          <w:sz w:val="36"/>
          <w:szCs w:val="28"/>
        </w:rPr>
      </w:pPr>
      <w:r>
        <w:rPr>
          <w:rFonts w:hint="eastAsia"/>
          <w:b/>
          <w:sz w:val="36"/>
          <w:szCs w:val="28"/>
        </w:rPr>
        <w:t>目录</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岳阳市司法局</w:t>
      </w:r>
      <w:r>
        <w:rPr>
          <w:rFonts w:hint="eastAsia" w:ascii="黑体" w:hAnsi="黑体" w:eastAsia="黑体" w:cs="黑体"/>
          <w:b w:val="0"/>
          <w:bCs/>
          <w:sz w:val="28"/>
          <w:szCs w:val="28"/>
        </w:rPr>
        <w:t>概况</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4"/>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4"/>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4"/>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岳阳市司法局</w:t>
      </w:r>
      <w:r>
        <w:rPr>
          <w:rFonts w:hint="eastAsia" w:ascii="方正小标宋_GBK" w:hAnsi="方正小标宋_GBK" w:eastAsia="方正小标宋_GBK" w:cs="方正小标宋_GBK"/>
          <w:sz w:val="84"/>
          <w:szCs w:val="84"/>
        </w:rPr>
        <w:t>概况</w:t>
      </w: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2"/>
        <w:rPr>
          <w:rFonts w:hint="eastAsia" w:ascii="方正小标宋_GBK" w:hAnsi="方正小标宋_GBK" w:eastAsia="方正小标宋_GBK" w:cs="方正小标宋_GBK"/>
          <w:sz w:val="84"/>
          <w:szCs w:val="84"/>
        </w:rPr>
      </w:pPr>
    </w:p>
    <w:p>
      <w:pPr>
        <w:pStyle w:val="3"/>
        <w:rPr>
          <w:rFonts w:hint="eastAsia" w:ascii="方正小标宋_GBK" w:hAnsi="方正小标宋_GBK" w:eastAsia="方正小标宋_GBK" w:cs="方正小标宋_GBK"/>
          <w:sz w:val="84"/>
          <w:szCs w:val="84"/>
        </w:rPr>
      </w:pPr>
    </w:p>
    <w:p>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pStyle w:val="9"/>
        <w:widowControl/>
        <w:numPr>
          <w:ilvl w:val="0"/>
          <w:numId w:val="2"/>
        </w:numPr>
        <w:shd w:val="clear" w:color="auto" w:fill="FFFFFF"/>
        <w:spacing w:beforeAutospacing="0" w:afterAutospacing="0" w:line="33" w:lineRule="atLeast"/>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承担全面依法治市重大问题的政策研究</w:t>
      </w:r>
    </w:p>
    <w:p>
      <w:pPr>
        <w:pStyle w:val="9"/>
        <w:widowControl/>
        <w:numPr>
          <w:ilvl w:val="0"/>
          <w:numId w:val="2"/>
        </w:numPr>
        <w:shd w:val="clear" w:color="auto" w:fill="FFFFFF"/>
        <w:spacing w:beforeAutospacing="0" w:afterAutospacing="0" w:line="33" w:lineRule="atLeast"/>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承担统筹规划立法工作</w:t>
      </w:r>
    </w:p>
    <w:p>
      <w:pPr>
        <w:pStyle w:val="9"/>
        <w:widowControl/>
        <w:numPr>
          <w:ilvl w:val="0"/>
          <w:numId w:val="2"/>
        </w:numPr>
        <w:shd w:val="clear" w:color="auto" w:fill="FFFFFF"/>
        <w:spacing w:beforeAutospacing="0" w:afterAutospacing="0" w:line="33" w:lineRule="atLeast"/>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负责起草或者组织起草有关地方性法规、规章草案</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承办市政府规章的解释、立法后评估工作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指导全市规范性文件管理有关工作，承担市政府规范性文件送审稿的合法性审查工作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承担统筹推进法治政府建设工作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负责对政府合同订立工作进行监督和指导</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承担统筹规划全市法治社会建设工作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指导、管理社区矫正工作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指导、监督本系统强制隔离戒毒执行和戒毒康复工作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拟订公共法律服务体系建设规划并指导实施</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组织全市国家统一法律职业资格考试</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负责全市法治对外合作工作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负责本系统枪支、弹药、服装和警车管理工作</w:t>
      </w:r>
    </w:p>
    <w:p>
      <w:pPr>
        <w:pStyle w:val="9"/>
        <w:widowControl/>
        <w:numPr>
          <w:ilvl w:val="0"/>
          <w:numId w:val="2"/>
        </w:numPr>
        <w:shd w:val="clear" w:color="auto" w:fill="FFFFFF"/>
        <w:spacing w:beforeAutospacing="0" w:afterAutospacing="0" w:line="33" w:lineRule="atLeast"/>
        <w:ind w:left="0" w:leftChars="0" w:firstLine="0" w:firstLineChars="0"/>
        <w:outlineLvl w:val="0"/>
        <w:rPr>
          <w:rFonts w:hint="eastAsia" w:ascii="宋体" w:hAnsi="宋体" w:cs="宋体"/>
          <w:color w:val="000000"/>
          <w:sz w:val="30"/>
          <w:szCs w:val="30"/>
          <w:shd w:val="clear" w:color="auto" w:fill="FFFFFF"/>
          <w:lang w:eastAsia="zh-CN"/>
        </w:rPr>
      </w:pPr>
      <w:r>
        <w:rPr>
          <w:rFonts w:hint="eastAsia" w:ascii="宋体" w:hAnsi="宋体" w:cs="宋体"/>
          <w:color w:val="000000"/>
          <w:sz w:val="30"/>
          <w:szCs w:val="30"/>
          <w:shd w:val="clear" w:color="auto" w:fill="FFFFFF"/>
          <w:lang w:eastAsia="zh-CN"/>
        </w:rPr>
        <w:t>规划、协调、指导法治人才队伍建设相关工作</w:t>
      </w:r>
    </w:p>
    <w:p>
      <w:pPr>
        <w:keepNext/>
        <w:keepLines/>
        <w:shd w:val="clear" w:color="auto" w:fill="FFFFFF"/>
        <w:spacing w:beforeLines="0" w:afterLines="0"/>
        <w:jc w:val="left"/>
        <w:rPr>
          <w:rFonts w:hint="eastAsia" w:ascii="Times New Roman" w:hAnsi="Times New Roman" w:eastAsia="仿宋_GB2312" w:cs="仿宋_GB2312"/>
          <w:sz w:val="32"/>
          <w:szCs w:val="32"/>
        </w:rPr>
      </w:pPr>
      <w:r>
        <w:rPr>
          <w:rFonts w:hint="eastAsia" w:ascii="宋体" w:hAnsi="宋体" w:cs="宋体"/>
          <w:color w:val="000000"/>
          <w:sz w:val="30"/>
          <w:szCs w:val="30"/>
          <w:shd w:val="clear" w:color="auto" w:fill="FFFFFF"/>
          <w:lang w:eastAsia="zh-CN"/>
        </w:rPr>
        <w:t>（</w:t>
      </w:r>
      <w:r>
        <w:rPr>
          <w:rFonts w:hint="eastAsia" w:ascii="宋体" w:hAnsi="宋体" w:cs="宋体"/>
          <w:color w:val="000000"/>
          <w:sz w:val="30"/>
          <w:szCs w:val="30"/>
          <w:shd w:val="clear" w:color="auto" w:fill="FFFFFF"/>
          <w:lang w:val="en-US" w:eastAsia="zh-CN"/>
        </w:rPr>
        <w:t>十六</w:t>
      </w:r>
      <w:r>
        <w:rPr>
          <w:rFonts w:hint="eastAsia" w:ascii="宋体" w:hAnsi="宋体" w:cs="宋体"/>
          <w:color w:val="000000"/>
          <w:sz w:val="30"/>
          <w:szCs w:val="30"/>
          <w:shd w:val="clear" w:color="auto" w:fill="FFFFFF"/>
          <w:lang w:eastAsia="zh-CN"/>
        </w:rPr>
        <w:t>）完成市委、市政府交办的其他事项</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pStyle w:val="9"/>
        <w:widowControl/>
        <w:shd w:val="clear" w:color="auto" w:fill="FFFFFF"/>
        <w:spacing w:beforeAutospacing="0" w:afterAutospacing="0" w:line="33" w:lineRule="atLeast"/>
        <w:ind w:firstLine="42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pStyle w:val="9"/>
        <w:widowControl/>
        <w:shd w:val="clear" w:color="auto" w:fill="FFFFFF"/>
        <w:spacing w:beforeAutospacing="0" w:afterAutospacing="0" w:line="33" w:lineRule="atLeast"/>
        <w:ind w:firstLine="420"/>
        <w:rPr>
          <w:rFonts w:hint="eastAsia" w:ascii="宋体" w:hAnsi="宋体" w:cs="宋体"/>
          <w:color w:val="000000"/>
          <w:sz w:val="30"/>
          <w:szCs w:val="30"/>
          <w:shd w:val="clear" w:color="auto" w:fill="FFFFFF"/>
        </w:rPr>
      </w:pPr>
      <w:r>
        <w:rPr>
          <w:rFonts w:hint="eastAsia" w:ascii="宋体" w:hAnsi="宋体" w:cs="宋体"/>
          <w:color w:val="000000"/>
          <w:sz w:val="30"/>
          <w:szCs w:val="30"/>
          <w:shd w:val="clear" w:color="auto" w:fill="FFFFFF"/>
        </w:rPr>
        <w:t>根据编委核定，我局内设</w:t>
      </w:r>
      <w:r>
        <w:rPr>
          <w:rFonts w:hint="eastAsia" w:ascii="宋体" w:hAnsi="宋体" w:cs="宋体"/>
          <w:color w:val="000000"/>
          <w:sz w:val="30"/>
          <w:szCs w:val="30"/>
          <w:shd w:val="clear" w:color="auto" w:fill="FFFFFF"/>
          <w:lang w:val="en-US" w:eastAsia="zh-CN"/>
        </w:rPr>
        <w:t>22</w:t>
      </w:r>
      <w:r>
        <w:rPr>
          <w:rFonts w:hint="eastAsia" w:ascii="宋体" w:hAnsi="宋体" w:cs="宋体"/>
          <w:color w:val="000000"/>
          <w:sz w:val="30"/>
          <w:szCs w:val="30"/>
          <w:shd w:val="clear" w:color="auto" w:fill="FFFFFF"/>
        </w:rPr>
        <w:t>个科室，所属二级机构2个</w:t>
      </w:r>
      <w:r>
        <w:rPr>
          <w:rFonts w:hint="eastAsia" w:ascii="宋体" w:hAnsi="宋体" w:cs="宋体"/>
          <w:color w:val="000000"/>
          <w:sz w:val="30"/>
          <w:szCs w:val="30"/>
          <w:shd w:val="clear" w:color="auto" w:fill="FFFFFF"/>
          <w:lang w:eastAsia="zh-CN"/>
        </w:rPr>
        <w:t>，</w:t>
      </w:r>
      <w:r>
        <w:rPr>
          <w:rFonts w:hint="eastAsia" w:ascii="宋体" w:hAnsi="宋体" w:cs="宋体"/>
          <w:color w:val="000000"/>
          <w:sz w:val="30"/>
          <w:szCs w:val="30"/>
          <w:shd w:val="clear" w:color="auto" w:fill="FFFFFF"/>
        </w:rPr>
        <w:t>内设科室分别是：办公室、</w:t>
      </w:r>
      <w:r>
        <w:rPr>
          <w:rFonts w:hint="eastAsia" w:ascii="宋体" w:hAnsi="宋体" w:cs="宋体"/>
          <w:color w:val="000000"/>
          <w:sz w:val="30"/>
          <w:szCs w:val="30"/>
          <w:shd w:val="clear" w:color="auto" w:fill="FFFFFF"/>
          <w:lang w:eastAsia="zh-CN"/>
        </w:rPr>
        <w:t>法治调研与督察科、立法科、规范性文件管理科、政府合同管理科、行政复议一科、行政复议二科、行政应诉科、行政执法协调监督科、人民参与和促进法治科、社区矫正管理科、戒毒管理科、公共法律服务管理科、律师工作科、装备财务保障科、组织干部科、人事警务科、队伍建设指导科、机关党委、离退休人员管理服务科、工会、机关纪委。</w:t>
      </w:r>
    </w:p>
    <w:p>
      <w:pPr>
        <w:pStyle w:val="9"/>
        <w:widowControl/>
        <w:shd w:val="clear" w:color="auto" w:fill="FFFFFF"/>
        <w:spacing w:beforeAutospacing="0" w:afterAutospacing="0" w:line="33" w:lineRule="atLeast"/>
        <w:ind w:firstLine="420"/>
        <w:rPr>
          <w:rFonts w:hint="eastAsia" w:ascii="Times New Roman" w:hAnsi="Times New Roman" w:eastAsia="仿宋_GB2312" w:cs="仿宋_GB2312"/>
          <w:bCs/>
          <w:kern w:val="0"/>
          <w:sz w:val="32"/>
          <w:szCs w:val="32"/>
        </w:rPr>
      </w:pPr>
      <w:r>
        <w:rPr>
          <w:rFonts w:hint="eastAsia" w:ascii="宋体" w:hAnsi="宋体" w:cs="宋体"/>
          <w:color w:val="000000"/>
          <w:sz w:val="30"/>
          <w:szCs w:val="30"/>
          <w:shd w:val="clear" w:color="auto" w:fill="FFFFFF"/>
        </w:rPr>
        <w:t>所属二级机构分别是岳阳市强制隔离戒毒所、岳阳市法律援助中心。</w:t>
      </w:r>
    </w:p>
    <w:p>
      <w:pPr>
        <w:widowControl/>
        <w:numPr>
          <w:ilvl w:val="0"/>
          <w:numId w:val="3"/>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3" w:lineRule="atLeast"/>
        <w:ind w:firstLine="600" w:firstLineChars="200"/>
        <w:textAlignment w:val="auto"/>
        <w:rPr>
          <w:rFonts w:hint="eastAsia" w:ascii="宋体" w:hAnsi="宋体" w:eastAsia="宋体"/>
          <w:bCs/>
          <w:kern w:val="0"/>
          <w:sz w:val="32"/>
          <w:szCs w:val="32"/>
          <w:lang w:eastAsia="zh-CN"/>
        </w:rPr>
      </w:pPr>
      <w:r>
        <w:rPr>
          <w:rFonts w:hint="eastAsia" w:ascii="宋体" w:hAnsi="宋体" w:cs="宋体"/>
          <w:color w:val="000000"/>
          <w:sz w:val="30"/>
          <w:szCs w:val="30"/>
          <w:shd w:val="clear" w:color="auto" w:fill="FFFFFF"/>
          <w:lang w:eastAsia="zh-CN"/>
        </w:rPr>
        <w:t>岳阳市司法局</w:t>
      </w:r>
      <w:r>
        <w:rPr>
          <w:rFonts w:hint="eastAsia" w:ascii="宋体" w:hAnsi="宋体" w:cs="宋体"/>
          <w:color w:val="000000"/>
          <w:sz w:val="30"/>
          <w:szCs w:val="30"/>
          <w:shd w:val="clear" w:color="auto" w:fill="FFFFFF"/>
        </w:rPr>
        <w:t>202</w:t>
      </w:r>
      <w:r>
        <w:rPr>
          <w:rFonts w:hint="eastAsia" w:ascii="宋体" w:hAnsi="宋体" w:cs="宋体"/>
          <w:color w:val="000000"/>
          <w:sz w:val="30"/>
          <w:szCs w:val="30"/>
          <w:shd w:val="clear" w:color="auto" w:fill="FFFFFF"/>
          <w:lang w:val="en-US" w:eastAsia="zh-CN"/>
        </w:rPr>
        <w:t>4</w:t>
      </w:r>
      <w:r>
        <w:rPr>
          <w:rFonts w:hint="eastAsia" w:ascii="宋体" w:hAnsi="宋体" w:cs="宋体"/>
          <w:color w:val="000000"/>
          <w:sz w:val="30"/>
          <w:szCs w:val="30"/>
          <w:shd w:val="clear" w:color="auto" w:fill="FFFFFF"/>
        </w:rPr>
        <w:t>年部门决算汇总公开单位构成包括：</w:t>
      </w:r>
      <w:r>
        <w:rPr>
          <w:rFonts w:hint="eastAsia" w:ascii="宋体" w:hAnsi="宋体"/>
          <w:bCs/>
          <w:kern w:val="0"/>
          <w:sz w:val="32"/>
          <w:szCs w:val="32"/>
          <w:lang w:eastAsia="zh-CN"/>
        </w:rPr>
        <w:t>岳阳市司法局</w:t>
      </w:r>
      <w:r>
        <w:rPr>
          <w:rFonts w:hint="eastAsia" w:ascii="宋体" w:hAnsi="宋体"/>
          <w:bCs/>
          <w:kern w:val="0"/>
          <w:sz w:val="32"/>
          <w:szCs w:val="32"/>
        </w:rPr>
        <w:t>本级</w:t>
      </w:r>
      <w:r>
        <w:rPr>
          <w:rFonts w:hint="eastAsia" w:ascii="宋体" w:hAnsi="宋体"/>
          <w:bCs/>
          <w:kern w:val="0"/>
          <w:sz w:val="32"/>
          <w:szCs w:val="32"/>
          <w:lang w:eastAsia="zh-CN"/>
        </w:rPr>
        <w:t>、岳阳市法律援助中心、岳阳市强制隔离戒毒所。</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4"/>
        <w:jc w:val="center"/>
        <w:rPr>
          <w:rFonts w:hint="eastAsia" w:ascii="方正小标宋_GBK" w:hAnsi="方正小标宋_GBK" w:eastAsia="方正小标宋_GBK" w:cs="方正小标宋_GBK"/>
          <w:sz w:val="84"/>
          <w:szCs w:val="84"/>
        </w:rPr>
      </w:pPr>
    </w:p>
    <w:p>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4"/>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仿宋_GB2312" w:hAnsi="仿宋_GB2312" w:eastAsia="仿宋_GB2312" w:cs="仿宋_GB2312"/>
          <w:b w:val="0"/>
          <w:bCs w:val="0"/>
          <w:sz w:val="72"/>
          <w:szCs w:val="72"/>
          <w:lang w:eastAsia="zh-CN"/>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pStyle w:val="14"/>
        <w:jc w:val="center"/>
        <w:rPr>
          <w:rFonts w:hint="eastAsia" w:ascii="方正小标宋_GBK" w:hAnsi="方正小标宋_GBK" w:eastAsia="方正小标宋_GBK" w:cs="方正小标宋_GBK"/>
          <w:sz w:val="70"/>
          <w:szCs w:val="70"/>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6120.03</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3320.59</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岳阳市强制隔离戒毒所</w:t>
      </w:r>
      <w:r>
        <w:rPr>
          <w:rFonts w:hint="eastAsia" w:ascii="仿宋_GB2312" w:hAnsi="仿宋_GB2312" w:eastAsia="仿宋_GB2312" w:cs="仿宋_GB2312"/>
          <w:sz w:val="32"/>
          <w:szCs w:val="32"/>
          <w:lang w:val="en-US" w:eastAsia="zh-CN"/>
        </w:rPr>
        <w:t>2024年比2023年少支付3400万迁建资金。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年度收入合计</w:t>
      </w:r>
      <w:r>
        <w:rPr>
          <w:rFonts w:hint="eastAsia" w:ascii="仿宋_GB2312" w:hAnsi="仿宋_GB2312" w:eastAsia="仿宋_GB2312" w:cs="仿宋_GB2312"/>
          <w:sz w:val="32"/>
          <w:szCs w:val="32"/>
          <w:lang w:val="en-US" w:eastAsia="zh-CN"/>
        </w:rPr>
        <w:t>6047.59</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6002.88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44.71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年度支出合计</w:t>
      </w:r>
      <w:r>
        <w:rPr>
          <w:rFonts w:hint="eastAsia" w:ascii="仿宋_GB2312" w:hAnsi="仿宋_GB2312" w:eastAsia="仿宋_GB2312" w:cs="仿宋_GB2312"/>
          <w:sz w:val="32"/>
          <w:szCs w:val="32"/>
          <w:lang w:val="en-US" w:eastAsia="zh-CN"/>
        </w:rPr>
        <w:t>6083.81</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5187.57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896.24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4"/>
        <w:keepNext w:val="0"/>
        <w:keepLines w:val="0"/>
        <w:pageBreakBefore w:val="0"/>
        <w:widowControl w:val="0"/>
        <w:kinsoku/>
        <w:wordWrap/>
        <w:overflowPunct/>
        <w:topLinePunct w:val="0"/>
        <w:bidi w:val="0"/>
        <w:snapToGrid/>
        <w:spacing w:line="600" w:lineRule="exact"/>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6002.88</w:t>
      </w:r>
      <w:r>
        <w:rPr>
          <w:rFonts w:hint="eastAsia" w:ascii="仿宋_GB2312" w:hAnsi="仿宋_GB2312" w:eastAsia="仿宋_GB2312" w:cs="仿宋_GB2312"/>
          <w:sz w:val="32"/>
          <w:szCs w:val="32"/>
        </w:rPr>
        <w:t>万元，与上年相比，减少</w:t>
      </w:r>
      <w:r>
        <w:rPr>
          <w:rFonts w:hint="eastAsia" w:ascii="仿宋_GB2312" w:hAnsi="仿宋_GB2312" w:eastAsia="仿宋_GB2312" w:cs="仿宋_GB2312"/>
          <w:sz w:val="32"/>
          <w:szCs w:val="32"/>
          <w:lang w:val="en-US" w:eastAsia="zh-CN"/>
        </w:rPr>
        <w:t>3124.3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岳阳市强制隔离戒毒所</w:t>
      </w:r>
      <w:r>
        <w:rPr>
          <w:rFonts w:hint="eastAsia" w:ascii="仿宋_GB2312" w:hAnsi="仿宋_GB2312" w:eastAsia="仿宋_GB2312" w:cs="仿宋_GB2312"/>
          <w:sz w:val="32"/>
          <w:szCs w:val="32"/>
          <w:lang w:val="en-US" w:eastAsia="zh-CN"/>
        </w:rPr>
        <w:t>2024年比2023年少支付3400万迁建资金。</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6002.88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%，与上年相比，财政拨款支出减少</w:t>
      </w:r>
      <w:r>
        <w:rPr>
          <w:rFonts w:hint="eastAsia" w:ascii="仿宋_GB2312" w:hAnsi="仿宋_GB2312" w:eastAsia="仿宋_GB2312" w:cs="仿宋_GB2312"/>
          <w:sz w:val="32"/>
          <w:szCs w:val="32"/>
          <w:lang w:val="en-US" w:eastAsia="zh-CN"/>
        </w:rPr>
        <w:t>3124.3</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eastAsia="zh-CN"/>
        </w:rPr>
        <w:t>岳阳市强制隔离戒毒所</w:t>
      </w:r>
      <w:r>
        <w:rPr>
          <w:rFonts w:hint="eastAsia" w:ascii="仿宋_GB2312" w:hAnsi="仿宋_GB2312" w:eastAsia="仿宋_GB2312" w:cs="仿宋_GB2312"/>
          <w:sz w:val="32"/>
          <w:szCs w:val="32"/>
          <w:lang w:val="en-US" w:eastAsia="zh-CN"/>
        </w:rPr>
        <w:t>2024年比2023年少支付3400万迁建资金。</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6002.88</w:t>
      </w:r>
      <w:r>
        <w:rPr>
          <w:rFonts w:hint="eastAsia" w:ascii="仿宋_GB2312" w:hAnsi="仿宋_GB2312" w:eastAsia="仿宋_GB2312" w:cs="仿宋_GB2312"/>
          <w:sz w:val="32"/>
          <w:szCs w:val="32"/>
        </w:rPr>
        <w:t>万元，主要用于以下方面：</w:t>
      </w:r>
      <w:r>
        <w:rPr>
          <w:rFonts w:hint="eastAsia" w:ascii="Times New Roman" w:hAnsi="Times New Roman" w:eastAsia="仿宋_GB2312"/>
          <w:sz w:val="32"/>
          <w:szCs w:val="32"/>
        </w:rPr>
        <w:t>一般公共服务（类）支出</w:t>
      </w:r>
      <w:r>
        <w:rPr>
          <w:rFonts w:hint="eastAsia" w:ascii="Times New Roman" w:hAnsi="Times New Roman" w:eastAsia="仿宋_GB2312"/>
          <w:sz w:val="32"/>
          <w:szCs w:val="32"/>
          <w:lang w:val="en-US" w:eastAsia="zh-CN"/>
        </w:rPr>
        <w:t>55.5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公共安全</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5047.85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457.24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188.64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；住房保障（类）支出</w:t>
      </w:r>
      <w:r>
        <w:rPr>
          <w:rFonts w:hint="eastAsia" w:ascii="Times New Roman" w:hAnsi="Times New Roman" w:eastAsia="仿宋_GB2312"/>
          <w:sz w:val="32"/>
          <w:szCs w:val="32"/>
          <w:lang w:val="en-US" w:eastAsia="zh-CN"/>
        </w:rPr>
        <w:t>253.65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年度财政拨款支出年初预算数为</w:t>
      </w:r>
      <w:r>
        <w:rPr>
          <w:rFonts w:hint="eastAsia" w:ascii="仿宋_GB2312" w:hAnsi="仿宋_GB2312" w:eastAsia="仿宋_GB2312" w:cs="仿宋_GB2312"/>
          <w:sz w:val="32"/>
          <w:szCs w:val="32"/>
          <w:highlight w:val="none"/>
          <w:lang w:val="en-US" w:eastAsia="zh-CN"/>
        </w:rPr>
        <w:t>5872.46</w:t>
      </w:r>
      <w:r>
        <w:rPr>
          <w:rFonts w:hint="eastAsia" w:ascii="仿宋_GB2312" w:hAnsi="仿宋_GB2312" w:eastAsia="仿宋_GB2312" w:cs="仿宋_GB2312"/>
          <w:sz w:val="32"/>
          <w:szCs w:val="32"/>
          <w:highlight w:val="none"/>
        </w:rPr>
        <w:t>万元，支出决算数为</w:t>
      </w:r>
      <w:r>
        <w:rPr>
          <w:rFonts w:hint="eastAsia" w:ascii="仿宋_GB2312" w:hAnsi="仿宋_GB2312" w:eastAsia="仿宋_GB2312" w:cs="仿宋_GB2312"/>
          <w:sz w:val="32"/>
          <w:szCs w:val="32"/>
          <w:highlight w:val="none"/>
          <w:lang w:val="en-US" w:eastAsia="zh-CN"/>
        </w:rPr>
        <w:t>6002.88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1、一般公共服务支出（类）政府办公厅及相关机构事务（款）行政运行（项）。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年初预算为45.1万元，支出决算为45.1万元，完成年初预算的100%。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2、一般公共服务支出（类）群众团体事务（款）一般行政管理事务（项）。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年初预算为2万元，支出决算为2万元，完成年初预算的100%。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3、一般公共服务支出（类）信访事务（款）其他信访事务支出（项）。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年初预算为8.4万元，支出决算为8.4万元，完成年初预算的100%。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4、公共安全支出（类）司法（款）行政运行（项）。</w:t>
      </w:r>
    </w:p>
    <w:p>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年初预算为1517.01万元，支出决算为1517.01万元，完成年初预算的100%，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5、公共安全支出（类）司法（款）一般行政管理事务（项）。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lang w:val="en-US" w:eastAsia="zh-CN"/>
        </w:rPr>
        <w:t>年初预算为220.43万元，支出决算为224.32万元，完成年初预算的102%，</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Times New Roman" w:hAnsi="Times New Roman" w:eastAsia="仿宋_GB2312"/>
          <w:sz w:val="32"/>
          <w:szCs w:val="32"/>
        </w:rPr>
        <w:t>存在人员晋级晋档</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6、公共安全支出（类）司法（款）公共法律服务（项）。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万元，支出决算为60.9万元，完成年初预算的</w:t>
      </w:r>
      <w:r>
        <w:rPr>
          <w:rFonts w:hint="eastAsia" w:ascii="仿宋_GB2312" w:hAnsi="仿宋_GB2312" w:eastAsia="仿宋_GB2312" w:cs="仿宋_GB2312"/>
          <w:sz w:val="32"/>
          <w:szCs w:val="32"/>
          <w:lang w:val="en-US" w:eastAsia="zh-CN"/>
        </w:rPr>
        <w:t>676.67</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 w:hAnsi="仿宋" w:eastAsia="仿宋" w:cs="仿宋_GB2312"/>
          <w:sz w:val="32"/>
          <w:szCs w:val="32"/>
        </w:rPr>
        <w:t>年中追加了相关指标</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7、公共安全支出（类）司法（款）法治建设（项）。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8、公共安全支出（类）司法（款）其他司法支出（项）。</w:t>
      </w:r>
    </w:p>
    <w:p>
      <w:pPr>
        <w:pStyle w:val="14"/>
        <w:spacing w:line="60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sz w:val="32"/>
          <w:szCs w:val="32"/>
          <w:lang w:val="en-US" w:eastAsia="zh-CN"/>
        </w:rPr>
        <w:t>年初预算为515.98万元，支出决算为564.68万元，完成年初预算的109%，</w:t>
      </w:r>
      <w:r>
        <w:rPr>
          <w:rFonts w:hint="eastAsia" w:ascii="仿宋_GB2312" w:hAnsi="仿宋_GB2312" w:eastAsia="仿宋_GB2312" w:cs="仿宋_GB2312"/>
          <w:sz w:val="32"/>
          <w:szCs w:val="32"/>
        </w:rPr>
        <w:t>决算数大于年初预算数的主要原因是：年中追加了相关指标。</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9、公共安全支出（类）强制隔离戒毒（款）行政运行（项）。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年初预算为1852.28万元，支出决算为1852.28万元，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10、公共安全支出（类）强制隔离戒毒（款）一般行政管理事务（项）。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年初预算为467.36万元，支出决算为467.36万元，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val="en-US" w:eastAsia="zh-CN"/>
        </w:rPr>
        <w:t>。　　</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11、公共安全支出（类）强制隔离戒毒（款）所政设施建设（项）。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年初预算为16.87万元，支出决算为16.87万元，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12、公共安全支出（类）强制隔离戒毒（款）信息化建设（项）。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年初预算为10万元，支出决算为10万元，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val="en-US"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13、公共安全支出（类）强制隔离戒毒（款）其他强制隔离戒毒支出（项）。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年初预算为267.58万元，支出决算为267.58万元，完成年初预算的100%。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14、公共安全支出（类）其他公共安全支出（款）其他公共安全支出（项）。</w:t>
      </w:r>
    </w:p>
    <w:p>
      <w:pPr>
        <w:pStyle w:val="14"/>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年初预算为0万元，支出决算为25.93万元，决算数大于年初预算数的主要原因是：年中追加了相关指标。</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15、社会保障和就业支出（类）行政事业单位养老支出（款）机关事业单位基本养老保险缴费支出（项）。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年初预算为345.04万元，支出决算为345.04万元，完成年初预算的100%。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16、社会保障和就业支出（类）抚恤（款）其他优抚支出（项）。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年初预算为88.03万元，支出决算为88.03万元，完成年初预算的100%。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17、社会保障和就业支出（类）残疾人事业（款）其他残疾人事业支出（项）。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年初预算为24.17万元，支出决算为24.17万元，完成年初预算的100%。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18、卫生健康支出（类）行政事业单位医疗（款）行政单位医疗（项）。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年初预算为138.12万元，支出决算为138.12万元，完成年初预算的100%。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19、卫生健康支出（类）行政事业单位医疗（款）公务员医疗补助（项）。</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年初预算为50.52万元，支出决算为50.52万元，完成年初预算的100%。</w:t>
      </w:r>
      <w:r>
        <w:rPr>
          <w:rFonts w:hint="eastAsia" w:ascii="Times New Roman" w:hAnsi="Times New Roman" w:eastAsia="仿宋_GB2312"/>
          <w:sz w:val="32"/>
          <w:szCs w:val="32"/>
        </w:rPr>
        <w:t>主要原因是我单位严格按预算执行决算</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无增减变动</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20、住房保障支出（类）住房改革支出（款）住房公积金（项）。</w:t>
      </w:r>
    </w:p>
    <w:p>
      <w:pPr>
        <w:widowControl w:val="0"/>
        <w:autoSpaceDE w:val="0"/>
        <w:autoSpaceDN w:val="0"/>
        <w:adjustRightInd w:val="0"/>
        <w:ind w:firstLine="800" w:firstLineChars="250"/>
        <w:rPr>
          <w:rFonts w:hint="eastAsia" w:ascii="仿宋_GB2312" w:hAnsi="仿宋_GB2312" w:eastAsia="仿宋_GB2312" w:cs="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253.65</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253.65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100.2</w:t>
      </w:r>
      <w:r>
        <w:rPr>
          <w:rFonts w:hint="eastAsia" w:ascii="Times New Roman" w:hAnsi="Times New Roman" w:eastAsia="仿宋_GB2312"/>
          <w:sz w:val="32"/>
          <w:szCs w:val="32"/>
        </w:rPr>
        <w:t>%。</w:t>
      </w:r>
      <w:r>
        <w:rPr>
          <w:rFonts w:hint="eastAsia" w:ascii="仿宋" w:hAnsi="仿宋" w:eastAsia="仿宋" w:cs="仿宋_GB2312"/>
          <w:sz w:val="32"/>
          <w:szCs w:val="32"/>
        </w:rPr>
        <w:t>决算数大于年初预算数的主要原因是年中对上年度奖金等部分公积金进行了补缴</w:t>
      </w:r>
      <w:r>
        <w:rPr>
          <w:rFonts w:hint="eastAsia" w:ascii="Times New Roman" w:hAnsi="Times New Roman" w:eastAsia="仿宋_GB2312"/>
          <w:sz w:val="32"/>
          <w:szCs w:val="32"/>
          <w:lang w:eastAsia="zh-CN"/>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5158.12</w:t>
      </w:r>
      <w:r>
        <w:rPr>
          <w:rFonts w:hint="eastAsia" w:ascii="仿宋_GB2312" w:hAnsi="仿宋_GB2312" w:eastAsia="仿宋_GB2312" w:cs="仿宋_GB2312"/>
          <w:sz w:val="32"/>
          <w:szCs w:val="32"/>
        </w:rPr>
        <w:t>万元，其中：</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4676.26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基本工资、津贴补贴、</w:t>
      </w:r>
      <w:r>
        <w:rPr>
          <w:rFonts w:hint="eastAsia" w:ascii="Times New Roman" w:hAnsi="Times New Roman" w:eastAsia="仿宋_GB2312"/>
          <w:sz w:val="32"/>
          <w:szCs w:val="32"/>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pPr>
        <w:pStyle w:val="14"/>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481.86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lang w:val="zh-CN"/>
        </w:rPr>
        <w: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en-US" w:eastAsia="zh-CN" w:bidi="ar-SA"/>
        </w:rPr>
        <w:t>2024年度政府性基金预算财政拨款收入0万元；年初结转和结余0万元；支出0万元，其中基本支出0万元，项目支出0万元；年末结转和结余0万元。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pStyle w:val="14"/>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2024年度国有资本经营预算财政拨款收入0万元；年初结转和结余0万；支出0万元，其中：基本支出0万元，项目支出0万元；年末结转和结余0万元。</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58.5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53.22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9.55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严格按预算执行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去年无因公出国开支，今年因工作需要增加此项开支</w:t>
      </w:r>
      <w:r>
        <w:rPr>
          <w:rFonts w:ascii="Times New Roman" w:hAnsi="Times New Roman" w:eastAsia="仿宋_GB2312" w:cs="Times New Roman"/>
          <w:sz w:val="32"/>
          <w:szCs w:val="32"/>
        </w:rPr>
        <w:t>。</w:t>
      </w:r>
    </w:p>
    <w:p>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万元。决算数小于预算数的主要原因是</w:t>
      </w:r>
      <w:r>
        <w:rPr>
          <w:rFonts w:hint="eastAsia" w:ascii="Times New Roman" w:hAnsi="Times New Roman" w:eastAsia="仿宋_GB2312" w:cs="Times New Roman"/>
          <w:sz w:val="32"/>
          <w:szCs w:val="32"/>
          <w:lang w:eastAsia="zh-CN"/>
        </w:rPr>
        <w:t>严格按预算执行</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今年安排了因公出国</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p>
    <w:p>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hint="eastAsia" w:ascii="Times New Roman" w:hAnsi="Times New Roman" w:eastAsia="仿宋_GB2312" w:cs="Times New Roman"/>
          <w:sz w:val="32"/>
          <w:szCs w:val="32"/>
          <w:lang w:eastAsia="zh-CN"/>
        </w:rPr>
        <w:t>湖南省司法厅组织赴外交流访问</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8.97</w:t>
      </w:r>
      <w:r>
        <w:rPr>
          <w:rFonts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涉外法律服务交流与合作。</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39.88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%。其中：</w:t>
      </w:r>
    </w:p>
    <w:p>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严格按照预算执行</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厉行节约，减少开支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岳阳市强制隔离戒毒所</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pPr>
        <w:pStyle w:val="14"/>
        <w:overflowPunct w:val="0"/>
        <w:autoSpaceDE/>
        <w:autoSpaceDN/>
        <w:spacing w:line="600" w:lineRule="exact"/>
        <w:ind w:firstLine="640" w:firstLineChars="200"/>
        <w:jc w:val="both"/>
        <w:rPr>
          <w:rFonts w:ascii="Times New Roman" w:hAnsi="Times New Roman" w:eastAsia="楷体" w:cs="Times New Roman"/>
          <w:b/>
          <w:bCs/>
          <w:i/>
          <w:color w:val="FF0000"/>
          <w:sz w:val="32"/>
          <w:szCs w:val="32"/>
          <w:highlight w:val="none"/>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22.99</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车辆维修、车辆用油等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3.88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严格按照预算执行</w:t>
      </w:r>
      <w:r>
        <w:rPr>
          <w:rFonts w:ascii="Times New Roman" w:hAnsi="Times New Roman" w:eastAsia="仿宋_GB2312" w:cs="Times New Roman"/>
          <w:sz w:val="32"/>
          <w:szCs w:val="32"/>
        </w:rPr>
        <w:t>。决算数大于上年数的主</w:t>
      </w:r>
      <w:r>
        <w:rPr>
          <w:rFonts w:ascii="Times New Roman" w:hAnsi="Times New Roman" w:eastAsia="仿宋_GB2312" w:cs="Times New Roman"/>
          <w:sz w:val="32"/>
          <w:szCs w:val="32"/>
          <w:highlight w:val="none"/>
        </w:rPr>
        <w:t>要原因是</w:t>
      </w:r>
      <w:r>
        <w:rPr>
          <w:rFonts w:hint="eastAsia" w:ascii="Times New Roman" w:hAnsi="Times New Roman" w:eastAsia="仿宋_GB2312" w:cs="Times New Roman"/>
          <w:sz w:val="32"/>
          <w:szCs w:val="32"/>
          <w:highlight w:val="none"/>
          <w:lang w:eastAsia="zh-CN"/>
        </w:rPr>
        <w:t>岳阳市强制隔离戒毒所</w:t>
      </w:r>
      <w:r>
        <w:rPr>
          <w:rFonts w:hint="eastAsia" w:ascii="Times New Roman" w:hAnsi="Times New Roman" w:eastAsia="仿宋_GB2312" w:cs="Times New Roman"/>
          <w:sz w:val="32"/>
          <w:szCs w:val="32"/>
          <w:highlight w:val="none"/>
          <w:lang w:val="en-US" w:eastAsia="zh-CN"/>
        </w:rPr>
        <w:t>新</w:t>
      </w:r>
      <w:r>
        <w:rPr>
          <w:rFonts w:hint="eastAsia" w:ascii="Times New Roman" w:hAnsi="Times New Roman" w:eastAsia="仿宋_GB2312" w:cs="Times New Roman"/>
          <w:sz w:val="32"/>
          <w:szCs w:val="32"/>
          <w:lang w:val="en-US" w:eastAsia="zh-CN"/>
        </w:rPr>
        <w:t>增公务用车一台</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w:t>
      </w:r>
      <w:r>
        <w:rPr>
          <w:rFonts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辆。</w:t>
      </w:r>
    </w:p>
    <w:p>
      <w:pPr>
        <w:numPr>
          <w:ilvl w:val="0"/>
          <w:numId w:val="4"/>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2.19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严格按照预算执行</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厉行节约，减少开支</w:t>
      </w:r>
      <w:r>
        <w:rPr>
          <w:rFonts w:ascii="Times New Roman" w:hAnsi="Times New Roman" w:eastAsia="仿宋_GB2312" w:cs="Times New Roman"/>
          <w:sz w:val="32"/>
          <w:szCs w:val="32"/>
        </w:rPr>
        <w:t>。2024年度共接待来访</w:t>
      </w:r>
      <w:r>
        <w:rPr>
          <w:rFonts w:ascii="Times New Roman" w:hAnsi="Times New Roman" w:eastAsia="仿宋_GB2312" w:cs="Times New Roman"/>
          <w:sz w:val="32"/>
          <w:szCs w:val="32"/>
          <w:highlight w:val="none"/>
        </w:rPr>
        <w:t>团组</w:t>
      </w:r>
      <w:r>
        <w:rPr>
          <w:rFonts w:hint="eastAsia" w:ascii="Times New Roman" w:hAnsi="Times New Roman" w:eastAsia="仿宋_GB2312" w:cs="Times New Roman"/>
          <w:sz w:val="32"/>
          <w:szCs w:val="32"/>
          <w:highlight w:val="none"/>
          <w:lang w:val="en-US" w:eastAsia="zh-CN"/>
        </w:rPr>
        <w:t>57</w:t>
      </w:r>
      <w:r>
        <w:rPr>
          <w:rFonts w:ascii="Times New Roman" w:hAnsi="Times New Roman" w:eastAsia="仿宋_GB2312" w:cs="Times New Roman"/>
          <w:sz w:val="32"/>
          <w:szCs w:val="32"/>
          <w:highlight w:val="none"/>
        </w:rPr>
        <w:t>个、来宾</w:t>
      </w:r>
      <w:r>
        <w:rPr>
          <w:rFonts w:hint="eastAsia" w:ascii="Times New Roman" w:hAnsi="Times New Roman" w:eastAsia="仿宋_GB2312" w:cs="Times New Roman"/>
          <w:sz w:val="32"/>
          <w:szCs w:val="32"/>
          <w:highlight w:val="none"/>
          <w:lang w:val="en-US" w:eastAsia="zh-CN"/>
        </w:rPr>
        <w:t>515</w:t>
      </w:r>
      <w:r>
        <w:rPr>
          <w:rFonts w:ascii="Times New Roman" w:hAnsi="Times New Roman" w:eastAsia="仿宋_GB2312" w:cs="Times New Roman"/>
          <w:sz w:val="32"/>
          <w:szCs w:val="32"/>
          <w:highlight w:val="none"/>
        </w:rPr>
        <w:t>人次，</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上下级汇报工作、考察、督查</w:t>
      </w:r>
      <w:r>
        <w:rPr>
          <w:rFonts w:ascii="Times New Roman" w:hAnsi="Times New Roman" w:eastAsia="仿宋_GB2312" w:cs="Times New Roman"/>
          <w:sz w:val="32"/>
          <w:szCs w:val="32"/>
        </w:rPr>
        <w:t>发生的接待支出。</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pPr>
        <w:pStyle w:val="14"/>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481.86</w:t>
      </w:r>
      <w:r>
        <w:rPr>
          <w:rFonts w:hint="eastAsia" w:ascii="仿宋_GB2312" w:hAnsi="仿宋_GB2312" w:eastAsia="仿宋_GB2312" w:cs="仿宋_GB2312"/>
          <w:sz w:val="32"/>
          <w:szCs w:val="32"/>
        </w:rPr>
        <w:t>万元，</w:t>
      </w:r>
      <w:r>
        <w:rPr>
          <w:rFonts w:hint="eastAsia" w:ascii="Times New Roman" w:hAnsi="Times New Roman" w:eastAsia="仿宋_GB2312"/>
          <w:sz w:val="32"/>
          <w:szCs w:val="32"/>
          <w:lang w:val="en-US" w:eastAsia="zh-CN"/>
        </w:rPr>
        <w:t>与年初预算数基本持平，主要原因是：按照年初预算合理规划开支。与上年相比，增加4.1万元，增长1%。</w:t>
      </w:r>
      <w:r>
        <w:rPr>
          <w:rFonts w:hint="eastAsia" w:ascii="Times New Roman" w:hAnsi="Times New Roman" w:eastAsia="仿宋_GB2312"/>
          <w:color w:val="auto"/>
          <w:sz w:val="32"/>
          <w:szCs w:val="32"/>
          <w:highlight w:val="none"/>
          <w:lang w:val="en-US" w:eastAsia="zh-CN"/>
        </w:rPr>
        <w:t>主要原因是</w:t>
      </w:r>
      <w:r>
        <w:rPr>
          <w:rFonts w:hint="eastAsia" w:ascii="Times New Roman" w:hAnsi="Times New Roman" w:eastAsia="仿宋_GB2312"/>
          <w:sz w:val="32"/>
          <w:szCs w:val="32"/>
          <w:highlight w:val="none"/>
          <w:lang w:val="en-US" w:eastAsia="zh-CN"/>
        </w:rPr>
        <w:t>：岳阳市强制隔离戒毒所</w:t>
      </w:r>
      <w:r>
        <w:rPr>
          <w:rFonts w:ascii="Times New Roman" w:hAnsi="Times New Roman" w:eastAsia="仿宋_GB2312" w:cs="Times New Roman"/>
          <w:sz w:val="32"/>
          <w:szCs w:val="32"/>
          <w:highlight w:val="none"/>
        </w:rPr>
        <w:t>更新公</w:t>
      </w:r>
      <w:r>
        <w:rPr>
          <w:rFonts w:ascii="Times New Roman" w:hAnsi="Times New Roman" w:eastAsia="仿宋_GB2312" w:cs="Times New Roman"/>
          <w:sz w:val="32"/>
          <w:szCs w:val="32"/>
        </w:rPr>
        <w:t>务用车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hint="eastAsia" w:ascii="楷体" w:hAnsi="楷体" w:eastAsia="楷体" w:cs="楷体"/>
          <w:sz w:val="32"/>
          <w:szCs w:val="32"/>
        </w:rPr>
        <w:t>。</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4"/>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度，会议费年初预算0.47万元，支出决算为0.47万元，完成年初预算的100%。用于召开业务会议，</w:t>
      </w:r>
      <w:r>
        <w:rPr>
          <w:rFonts w:hint="eastAsia" w:ascii="仿宋_GB2312" w:hAnsi="仿宋_GB2312" w:eastAsia="仿宋_GB2312" w:cs="仿宋_GB2312"/>
          <w:sz w:val="32"/>
          <w:szCs w:val="32"/>
          <w:highlight w:val="none"/>
        </w:rPr>
        <w:t>人数</w:t>
      </w:r>
      <w:r>
        <w:rPr>
          <w:rFonts w:hint="eastAsia" w:ascii="仿宋_GB2312" w:hAnsi="仿宋_GB2312" w:eastAsia="仿宋_GB2312" w:cs="仿宋_GB2312"/>
          <w:sz w:val="32"/>
          <w:szCs w:val="32"/>
          <w:highlight w:val="none"/>
          <w:lang w:val="en-US" w:eastAsia="zh-CN"/>
        </w:rPr>
        <w:t>78</w:t>
      </w:r>
      <w:r>
        <w:rPr>
          <w:rFonts w:hint="eastAsia" w:ascii="仿宋_GB2312" w:hAnsi="仿宋_GB2312" w:eastAsia="仿宋_GB2312" w:cs="仿宋_GB2312"/>
          <w:sz w:val="32"/>
          <w:szCs w:val="32"/>
          <w:highlight w:val="none"/>
        </w:rPr>
        <w:t>人，内容为</w:t>
      </w:r>
      <w:r>
        <w:rPr>
          <w:rFonts w:hint="eastAsia" w:ascii="仿宋_GB2312" w:hAnsi="仿宋_GB2312" w:eastAsia="仿宋_GB2312" w:cs="仿宋_GB2312"/>
          <w:sz w:val="32"/>
          <w:szCs w:val="32"/>
          <w:highlight w:val="none"/>
          <w:lang w:eastAsia="zh-CN"/>
        </w:rPr>
        <w:t>业务学习和年度总结等。</w:t>
      </w:r>
    </w:p>
    <w:p>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培训费年初预算12.56万元，支出决算为12.56万元，完成年初预算的100%。用于开展干部业务能力和政治思想培训，人数249人，内容为党校培训和法律业务能力培训。</w:t>
      </w:r>
    </w:p>
    <w:p>
      <w:pPr>
        <w:pStyle w:val="14"/>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Times New Roman" w:hAnsi="Times New Roman" w:eastAsia="仿宋_GB2312"/>
          <w:sz w:val="32"/>
          <w:szCs w:val="32"/>
          <w:lang w:val="en-US" w:eastAsia="zh-CN"/>
        </w:rPr>
        <w:t>本单位无举办节庆、晚会、论坛、赛事等活动的预算和支出决算数。</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Times New Roman" w:hAnsi="Times New Roman" w:eastAsia="仿宋_GB2312"/>
          <w:color w:val="auto"/>
          <w:sz w:val="32"/>
          <w:szCs w:val="32"/>
        </w:rPr>
        <w:t>本部门202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w:t>
      </w:r>
      <w:r>
        <w:rPr>
          <w:rFonts w:hint="eastAsia" w:ascii="Times New Roman" w:hAnsi="Times New Roman" w:eastAsia="仿宋_GB2312"/>
          <w:color w:val="auto"/>
          <w:sz w:val="32"/>
          <w:szCs w:val="32"/>
        </w:rPr>
        <w:t>政府采购支出总额</w:t>
      </w:r>
      <w:r>
        <w:rPr>
          <w:rFonts w:hint="eastAsia" w:ascii="Times New Roman" w:hAnsi="Times New Roman" w:eastAsia="仿宋_GB2312"/>
          <w:color w:val="auto"/>
          <w:sz w:val="32"/>
          <w:szCs w:val="32"/>
          <w:lang w:eastAsia="zh-CN"/>
        </w:rPr>
        <w:t>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占政府采购支出总额的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（由于授予中小企业合同金额为</w:t>
      </w:r>
      <w:r>
        <w:rPr>
          <w:rFonts w:hint="eastAsia" w:ascii="Times New Roman" w:hAnsi="Times New Roman" w:eastAsia="仿宋_GB2312"/>
          <w:color w:val="auto"/>
          <w:sz w:val="32"/>
          <w:szCs w:val="32"/>
          <w:lang w:val="en-US" w:eastAsia="zh-CN"/>
        </w:rPr>
        <w:t>0，故无法计算</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eastAsia="zh-CN"/>
        </w:rPr>
        <w:t>比重</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eastAsia="zh-CN"/>
        </w:rPr>
        <w:t>比重，由于以上各项合同金额为</w:t>
      </w:r>
      <w:r>
        <w:rPr>
          <w:rFonts w:hint="eastAsia" w:ascii="Times New Roman" w:hAnsi="Times New Roman" w:eastAsia="仿宋_GB2312"/>
          <w:color w:val="auto"/>
          <w:sz w:val="32"/>
          <w:szCs w:val="32"/>
          <w:lang w:val="en-US" w:eastAsia="zh-CN"/>
        </w:rPr>
        <w:t>0，故无法计算各项占比</w:t>
      </w:r>
      <w:r>
        <w:rPr>
          <w:rFonts w:hint="eastAsia" w:ascii="Times New Roman" w:hAnsi="Times New Roman" w:eastAsia="仿宋_GB2312"/>
          <w:color w:val="auto"/>
          <w:sz w:val="3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仿宋_GB2312" w:hAnsi="仿宋_GB2312" w:eastAsia="仿宋_GB2312" w:cs="仿宋_GB2312"/>
          <w:i w:val="0"/>
          <w:iCs/>
          <w:color w:val="auto"/>
          <w:sz w:val="32"/>
          <w:szCs w:val="32"/>
          <w:lang w:val="en-US" w:eastAsia="zh-CN"/>
        </w:rPr>
        <w:t>截至2024年12月31日，本单位共有车辆8辆，其中，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r>
        <w:rPr>
          <w:rFonts w:hint="eastAsia" w:ascii="仿宋_GB2312" w:hAnsi="仿宋_GB2312" w:eastAsia="仿宋_GB2312" w:cs="仿宋_GB2312"/>
          <w:color w:val="auto"/>
          <w:sz w:val="32"/>
          <w:szCs w:val="32"/>
          <w:lang w:eastAsia="zh-CN"/>
        </w:rPr>
        <w:t>。</w:t>
      </w:r>
    </w:p>
    <w:p>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pPr>
        <w:overflowPunct w:val="0"/>
        <w:spacing w:line="600" w:lineRule="exact"/>
        <w:ind w:firstLine="640" w:firstLineChars="200"/>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b/>
          <w:bCs/>
          <w:kern w:val="0"/>
          <w:sz w:val="32"/>
          <w:szCs w:val="32"/>
          <w:lang w:val="en-US" w:eastAsia="zh-CN"/>
        </w:rPr>
        <w:t>绩</w:t>
      </w:r>
      <w:r>
        <w:rPr>
          <w:rFonts w:ascii="Times New Roman" w:hAnsi="Times New Roman" w:eastAsia="仿宋_GB2312" w:cs="Times New Roman"/>
          <w:b/>
          <w:bCs/>
          <w:kern w:val="0"/>
          <w:sz w:val="32"/>
          <w:szCs w:val="32"/>
        </w:rPr>
        <w:t>效自评开展情况。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329.92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329.92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kern w:val="0"/>
          <w:sz w:val="32"/>
          <w:szCs w:val="32"/>
          <w:highlight w:val="none"/>
        </w:rPr>
        <w:t>社会保险基金预算项目</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个</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万元，占社会保险基金预算支出总额的</w:t>
      </w:r>
      <w:r>
        <w:rPr>
          <w:rFonts w:hint="eastAsia" w:ascii="Times New Roman" w:hAnsi="Times New Roman" w:eastAsia="仿宋_GB2312" w:cs="Times New Roman"/>
          <w:kern w:val="0"/>
          <w:sz w:val="32"/>
          <w:szCs w:val="32"/>
          <w:highlight w:val="none"/>
          <w:lang w:val="en-US" w:eastAsia="zh-CN"/>
        </w:rPr>
        <w:t>0</w:t>
      </w:r>
      <w:r>
        <w:rPr>
          <w:rFonts w:ascii="Times New Roman" w:hAnsi="Times New Roman" w:eastAsia="仿宋_GB2312" w:cs="Times New Roman"/>
          <w:kern w:val="0"/>
          <w:sz w:val="32"/>
          <w:szCs w:val="32"/>
          <w:highlight w:val="none"/>
        </w:rPr>
        <w:t>%。</w:t>
      </w:r>
    </w:p>
    <w:p>
      <w:pPr>
        <w:overflowPunct w:val="0"/>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b/>
          <w:bCs/>
          <w:kern w:val="0"/>
          <w:sz w:val="32"/>
          <w:szCs w:val="32"/>
        </w:rPr>
        <w:t>部门评价开展情况。</w:t>
      </w:r>
      <w:r>
        <w:rPr>
          <w:rFonts w:hint="eastAsia" w:ascii="Times New Roman" w:hAnsi="Times New Roman" w:eastAsia="仿宋_GB2312" w:cs="Times New Roman"/>
          <w:color w:val="auto"/>
          <w:kern w:val="0"/>
          <w:sz w:val="32"/>
          <w:szCs w:val="32"/>
          <w:lang w:val="en-US" w:eastAsia="zh-CN"/>
        </w:rPr>
        <w:t>本单位及所属单位本年度未开展项目，所以无部门评价开展情况。</w:t>
      </w:r>
    </w:p>
    <w:p>
      <w:pPr>
        <w:overflowPunct w:val="0"/>
        <w:spacing w:line="600" w:lineRule="exact"/>
        <w:ind w:firstLine="640" w:firstLineChars="200"/>
        <w:rPr>
          <w:rFonts w:ascii="Times New Roman" w:hAnsi="Times New Roman" w:eastAsia="楷体" w:cs="Times New Roman"/>
          <w:b/>
          <w:bCs/>
          <w:sz w:val="32"/>
          <w:szCs w:val="32"/>
        </w:rPr>
      </w:pP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b/>
          <w:bCs/>
          <w:kern w:val="0"/>
          <w:sz w:val="32"/>
          <w:szCs w:val="32"/>
        </w:rPr>
        <w:t>事前绩效评估开展情况。</w:t>
      </w:r>
      <w:r>
        <w:rPr>
          <w:rFonts w:hint="eastAsia" w:ascii="Times New Roman" w:hAnsi="Times New Roman" w:eastAsia="仿宋_GB2312" w:cs="Times New Roman"/>
          <w:color w:val="auto"/>
          <w:kern w:val="0"/>
          <w:sz w:val="32"/>
          <w:szCs w:val="32"/>
          <w:lang w:val="en-US" w:eastAsia="zh-CN"/>
        </w:rPr>
        <w:t>本单位及所属单位本年度未新增重大政策和重大项目，所以无事前绩效评估开展情况。</w:t>
      </w:r>
    </w:p>
    <w:p>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6083.81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6083.81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b w:val="0"/>
          <w:bCs w:val="0"/>
          <w:color w:val="000000"/>
          <w:kern w:val="0"/>
          <w:sz w:val="32"/>
          <w:szCs w:val="32"/>
          <w:lang w:val="en-US" w:eastAsia="zh-CN" w:bidi="ar-SA"/>
        </w:rPr>
        <w:t>一是本年预算配置控制较好，财政供养人员控制在预算编制以内,三公经费控制得较好；二是资产管理方面，建立了资产管理制度，对全局资产进行了详细的盘点，设置各科室资产管理员，做好资产台账，加强对资产的管理。实现了实物资产的“一物一卡一条码”，总体执行较好；三是社会效益指标方面，坚持“应援尽援优援”的服务理念，以服务民生为己任，进一步扩大法律援助范围，将触角努力延伸至低收入群体，加强法律援助“绿色通道”建设，努力提供便民利民的援助服务，加大对刑事案件的援助力度，</w:t>
      </w:r>
      <w:r>
        <w:rPr>
          <w:rFonts w:hint="eastAsia" w:ascii="Times New Roman" w:hAnsi="Times New Roman" w:eastAsia="仿宋_GB2312" w:cs="Times New Roman"/>
          <w:kern w:val="0"/>
          <w:sz w:val="32"/>
          <w:szCs w:val="32"/>
          <w:lang w:val="en-US" w:eastAsia="zh-CN"/>
        </w:rPr>
        <w:t>全年共受理法律援助案件489件，接待各类咨询15834人次，其中现场咨询3182人次，来电咨询12635人次（其中12348热线10822人次），网络咨询17人次，为受援人挽回经济损失1000余万元，群众对法援项目扫码评价977条，满意率100%</w:t>
      </w:r>
      <w:r>
        <w:rPr>
          <w:rFonts w:hint="eastAsia" w:ascii="仿宋_GB2312" w:hAnsi="仿宋_GB2312" w:eastAsia="仿宋_GB2312" w:cs="仿宋_GB2312"/>
          <w:b w:val="0"/>
          <w:bCs w:val="0"/>
          <w:color w:val="000000"/>
          <w:kern w:val="0"/>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b w:val="0"/>
          <w:bCs w:val="0"/>
          <w:color w:val="000000"/>
          <w:kern w:val="0"/>
          <w:sz w:val="32"/>
          <w:szCs w:val="32"/>
          <w:lang w:val="en-US" w:eastAsia="zh-CN" w:bidi="ar-SA"/>
        </w:rPr>
        <w:t>一是整体支出的预算编制、执行和管理过程中，依然存在一些问题和不足；二是对绩效考评的结果利用的范围有限，缺乏长效机制</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Times New Roman" w:hAnsi="Times New Roman" w:eastAsia="仿宋_GB2312" w:cs="Times New Roman"/>
          <w:kern w:val="0"/>
          <w:sz w:val="32"/>
          <w:szCs w:val="32"/>
          <w:lang w:eastAsia="zh-CN"/>
        </w:rPr>
      </w:pPr>
      <w:r>
        <w:rPr>
          <w:rFonts w:ascii="Times New Roman" w:hAnsi="Times New Roman" w:eastAsia="仿宋_GB2312" w:cs="Times New Roman"/>
          <w:sz w:val="32"/>
          <w:szCs w:val="32"/>
        </w:rPr>
        <w:t>下一步改进措施：</w:t>
      </w:r>
      <w:r>
        <w:rPr>
          <w:rFonts w:hint="eastAsia" w:ascii="仿宋_GB2312" w:hAnsi="仿宋_GB2312" w:eastAsia="仿宋_GB2312" w:cs="仿宋_GB2312"/>
          <w:b w:val="0"/>
          <w:bCs w:val="0"/>
          <w:color w:val="000000"/>
          <w:kern w:val="0"/>
          <w:sz w:val="32"/>
          <w:szCs w:val="32"/>
          <w:lang w:val="en-US" w:eastAsia="zh-CN" w:bidi="ar-SA"/>
        </w:rPr>
        <w:t>一是加强对财务人员和相关管理人员的业务培训，提高相关人员的业务能力和素质；二是坚持财务分析常态化。定期做好支出预算财务分析，及时对费用预算执行情况进行通报和预警，定期对下属预算单位的预算执行情况进行检查，做好部门整体支出预算评价工作。</w:t>
      </w:r>
    </w:p>
    <w:p>
      <w:pPr>
        <w:overflowPunct w:val="0"/>
        <w:spacing w:line="600" w:lineRule="exact"/>
        <w:ind w:firstLine="640" w:firstLineChars="200"/>
        <w:rPr>
          <w:rFonts w:ascii="Times New Roman" w:hAnsi="Times New Roman" w:eastAsia="仿宋_GB2312" w:cs="Times New Roman"/>
          <w:color w:val="auto"/>
          <w:kern w:val="0"/>
          <w:sz w:val="32"/>
          <w:szCs w:val="32"/>
        </w:rPr>
      </w:pP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b/>
          <w:bCs/>
          <w:kern w:val="0"/>
          <w:sz w:val="32"/>
          <w:szCs w:val="32"/>
        </w:rPr>
        <w:t>部门评价结果。</w:t>
      </w:r>
      <w:r>
        <w:rPr>
          <w:rFonts w:hint="eastAsia" w:ascii="Times New Roman" w:hAnsi="Times New Roman" w:eastAsia="仿宋_GB2312" w:cs="Times New Roman"/>
          <w:color w:val="auto"/>
          <w:kern w:val="0"/>
          <w:sz w:val="32"/>
          <w:szCs w:val="32"/>
          <w:lang w:val="en-US" w:eastAsia="zh-CN"/>
        </w:rPr>
        <w:t>本单位及所属单位本年度未开展部门评价，所以无部门评价结果。</w:t>
      </w:r>
    </w:p>
    <w:p>
      <w:pPr>
        <w:overflowPunct w:val="0"/>
        <w:spacing w:line="600" w:lineRule="exact"/>
        <w:ind w:firstLine="640" w:firstLineChars="200"/>
        <w:rPr>
          <w:rFonts w:hint="eastAsia" w:ascii="Times New Roman" w:hAnsi="Times New Roman" w:eastAsia="仿宋_GB2312"/>
          <w:color w:val="FF0000"/>
          <w:sz w:val="32"/>
          <w:szCs w:val="32"/>
        </w:rPr>
      </w:pP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b/>
          <w:bCs/>
          <w:kern w:val="0"/>
          <w:sz w:val="32"/>
          <w:szCs w:val="32"/>
          <w:highlight w:val="none"/>
          <w:lang w:val="en-US" w:eastAsia="zh-CN"/>
        </w:rPr>
        <w:t>事</w:t>
      </w:r>
      <w:r>
        <w:rPr>
          <w:rFonts w:ascii="Times New Roman" w:hAnsi="Times New Roman" w:eastAsia="仿宋_GB2312" w:cs="Times New Roman"/>
          <w:b/>
          <w:bCs/>
          <w:kern w:val="0"/>
          <w:sz w:val="32"/>
          <w:szCs w:val="32"/>
          <w:highlight w:val="none"/>
        </w:rPr>
        <w:t>前绩效评估结果。</w:t>
      </w:r>
      <w:r>
        <w:rPr>
          <w:rFonts w:hint="eastAsia" w:ascii="Times New Roman" w:hAnsi="Times New Roman" w:eastAsia="仿宋_GB2312" w:cs="Times New Roman"/>
          <w:color w:val="auto"/>
          <w:kern w:val="0"/>
          <w:sz w:val="32"/>
          <w:szCs w:val="32"/>
          <w:lang w:val="en-US" w:eastAsia="zh-CN"/>
        </w:rPr>
        <w:t>本单位及所属单位本年度未开展事前绩效评估，所以无事前绩效评估结果。</w:t>
      </w:r>
    </w:p>
    <w:p>
      <w:pPr>
        <w:numPr>
          <w:ilvl w:val="0"/>
          <w:numId w:val="5"/>
        </w:numPr>
        <w:autoSpaceDE w:val="0"/>
        <w:autoSpaceDN w:val="0"/>
        <w:adjustRightInd w:val="0"/>
        <w:ind w:firstLine="640" w:firstLineChars="200"/>
        <w:jc w:val="left"/>
        <w:rPr>
          <w:rFonts w:ascii="Times New Roman" w:hAnsi="Times New Roman" w:eastAsia="楷体_GB2312" w:cs="Times New Roman"/>
          <w:b/>
          <w:bCs/>
          <w:color w:val="auto"/>
          <w:kern w:val="2"/>
          <w:sz w:val="32"/>
          <w:szCs w:val="32"/>
          <w:highlight w:val="none"/>
        </w:rPr>
      </w:pPr>
      <w:r>
        <w:rPr>
          <w:rFonts w:ascii="Times New Roman" w:hAnsi="Times New Roman" w:eastAsia="楷体_GB2312" w:cs="Times New Roman"/>
          <w:b/>
          <w:bCs/>
          <w:color w:val="auto"/>
          <w:kern w:val="2"/>
          <w:sz w:val="32"/>
          <w:szCs w:val="32"/>
          <w:highlight w:val="none"/>
        </w:rPr>
        <w:t>评价结果应用情况</w:t>
      </w:r>
    </w:p>
    <w:p>
      <w:pPr>
        <w:widowControl/>
        <w:spacing w:line="640" w:lineRule="exact"/>
        <w:ind w:firstLine="640" w:firstLineChars="200"/>
        <w:rPr>
          <w:rFonts w:ascii="Times New Roman" w:hAnsi="Times New Roman" w:eastAsia="仿宋_GB2312" w:cs="Times New Roman"/>
          <w:color w:val="auto"/>
          <w:sz w:val="32"/>
          <w:szCs w:val="32"/>
          <w:highlight w:val="none"/>
        </w:rPr>
      </w:pPr>
      <w:r>
        <w:rPr>
          <w:rFonts w:hint="eastAsia" w:eastAsia="仿宋" w:cs="仿宋"/>
          <w:bCs/>
          <w:sz w:val="32"/>
          <w:szCs w:val="32"/>
          <w:lang w:val="en-US" w:eastAsia="zh-CN"/>
        </w:rPr>
        <w:t>2025年度要</w:t>
      </w:r>
      <w:r>
        <w:rPr>
          <w:rFonts w:hint="eastAsia" w:eastAsia="仿宋" w:cs="仿宋"/>
          <w:bCs/>
          <w:sz w:val="32"/>
          <w:szCs w:val="32"/>
        </w:rPr>
        <w:t>严格落实“先有预算后有支出”，实时监控各项经费使用情况。贯彻落实党中央、国务院关于过“紧日子”和坚持厉行节约反对浪费有关要求，继续压缩一般性支出，保障重点项目开支。</w:t>
      </w:r>
      <w:r>
        <w:rPr>
          <w:rFonts w:hint="eastAsia" w:eastAsia="仿宋" w:cs="仿宋"/>
          <w:bCs/>
          <w:sz w:val="32"/>
          <w:szCs w:val="32"/>
          <w:lang w:eastAsia="zh-CN"/>
        </w:rPr>
        <w:t>建</w:t>
      </w:r>
      <w:r>
        <w:rPr>
          <w:rFonts w:hint="eastAsia" w:eastAsia="仿宋" w:cs="仿宋"/>
          <w:bCs/>
          <w:sz w:val="32"/>
          <w:szCs w:val="32"/>
        </w:rPr>
        <w:t>立绩效监控结果的反馈与整改、激励与问责制度，将监控结果作为预算调整的重要依据。发现预算支出绩效运行与年初计划发生偏离时，及时采取措施予以纠正</w:t>
      </w:r>
      <w:r>
        <w:rPr>
          <w:rFonts w:hint="eastAsia" w:eastAsia="仿宋" w:cs="仿宋"/>
          <w:bCs/>
          <w:sz w:val="32"/>
          <w:szCs w:val="32"/>
          <w:lang w:eastAsia="zh-CN"/>
        </w:rPr>
        <w:t>。同时要</w:t>
      </w:r>
      <w:r>
        <w:rPr>
          <w:rFonts w:hint="eastAsia" w:eastAsia="仿宋" w:cs="仿宋"/>
          <w:bCs/>
          <w:sz w:val="32"/>
          <w:szCs w:val="32"/>
        </w:rPr>
        <w:t>广泛参加各类业务知识培训</w:t>
      </w:r>
      <w:r>
        <w:rPr>
          <w:rFonts w:hint="eastAsia" w:eastAsia="仿宋" w:cs="仿宋"/>
          <w:bCs/>
          <w:sz w:val="32"/>
          <w:szCs w:val="32"/>
          <w:lang w:eastAsia="zh-CN"/>
        </w:rPr>
        <w:t>，</w:t>
      </w:r>
      <w:r>
        <w:rPr>
          <w:rFonts w:hint="eastAsia" w:eastAsia="仿宋" w:cs="仿宋"/>
          <w:bCs/>
          <w:sz w:val="32"/>
          <w:szCs w:val="32"/>
        </w:rPr>
        <w:t>不断提高业务能力、知识水平及综合协调能力</w:t>
      </w:r>
      <w:r>
        <w:rPr>
          <w:rFonts w:hint="eastAsia" w:eastAsia="仿宋" w:cs="仿宋"/>
          <w:bCs/>
          <w:sz w:val="32"/>
          <w:szCs w:val="32"/>
          <w:lang w:eastAsia="zh-CN"/>
        </w:rPr>
        <w:t>，</w:t>
      </w:r>
      <w:r>
        <w:rPr>
          <w:rFonts w:hint="eastAsia" w:eastAsia="仿宋" w:cs="仿宋"/>
          <w:bCs/>
          <w:sz w:val="32"/>
          <w:szCs w:val="32"/>
        </w:rPr>
        <w:t>贯彻落实全面实施预算绩效管理和新会计制度改革的新要求，进一步提升绩效管理人员的业务素质。</w:t>
      </w:r>
    </w:p>
    <w:p>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2"/>
        <w:rPr>
          <w:rFonts w:hint="eastAsia"/>
          <w:lang w:val="en-US" w:eastAsia="zh-CN"/>
        </w:rPr>
      </w:pP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bookmarkStart w:id="0" w:name="_GoBack"/>
      <w:bookmarkEnd w:id="0"/>
      <w:r>
        <w:rPr>
          <w:rFonts w:hint="eastAsia" w:ascii="楷体" w:hAnsi="楷体" w:eastAsia="楷体" w:cs="楷体"/>
          <w:b/>
          <w:bCs/>
          <w:i w:val="0"/>
          <w:iCs w:val="0"/>
          <w:color w:val="FF0000"/>
          <w:kern w:val="0"/>
          <w:sz w:val="36"/>
          <w:szCs w:val="36"/>
          <w:lang w:val="en-US" w:eastAsia="zh-CN"/>
        </w:rPr>
        <w:t>1、绩效评价报告（含整体支出和项目支出绩效自评表）必须作为附件上传；</w:t>
      </w:r>
    </w:p>
    <w:p>
      <w:pPr>
        <w:numPr>
          <w:ilvl w:val="0"/>
          <w:numId w:val="0"/>
        </w:numPr>
        <w:autoSpaceDE w:val="0"/>
        <w:autoSpaceDN w:val="0"/>
        <w:adjustRightInd w:val="0"/>
        <w:jc w:val="left"/>
        <w:rPr>
          <w:sz w:val="72"/>
          <w:szCs w:val="72"/>
        </w:rPr>
      </w:pPr>
      <w:r>
        <w:rPr>
          <w:rFonts w:hint="eastAsia" w:ascii="楷体" w:hAnsi="楷体" w:eastAsia="楷体" w:cs="楷体"/>
          <w:b/>
          <w:bCs/>
          <w:i w:val="0"/>
          <w:iCs w:val="0"/>
          <w:color w:val="FF0000"/>
          <w:kern w:val="0"/>
          <w:sz w:val="36"/>
          <w:szCs w:val="36"/>
          <w:lang w:val="en-US" w:eastAsia="zh-CN"/>
        </w:rPr>
        <w:t>2、凡是有公开表3支出决算表中有项目支出的，绩效自评报告中要包含《2024年度项目支出绩效自评表》。</w:t>
      </w:r>
    </w:p>
    <w:p>
      <w:pPr>
        <w:pStyle w:val="14"/>
        <w:jc w:val="both"/>
        <w:rPr>
          <w:rFonts w:hint="eastAsia" w:ascii="方正小标宋_GBK" w:hAnsi="方正小标宋_GBK" w:eastAsia="方正小标宋_GBK" w:cs="方正小标宋_GBK"/>
          <w:sz w:val="24"/>
          <w:szCs w:val="24"/>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p>
    <w:p>
      <w:pPr>
        <w:pStyle w:val="2"/>
        <w:rPr>
          <w:rFonts w:hint="eastAsia"/>
        </w:rPr>
      </w:pPr>
    </w:p>
    <w:p>
      <w:pPr>
        <w:ind w:firstLine="640" w:firstLineChars="200"/>
        <w:jc w:val="left"/>
        <w:rPr>
          <w:rFonts w:hint="eastAsia" w:ascii="仿宋_GB2312" w:hAnsi="仿宋_GB2312" w:eastAsia="仿宋_GB2312" w:cs="仿宋_GB2312"/>
          <w:color w:val="000000"/>
          <w:kern w:val="0"/>
          <w:sz w:val="32"/>
          <w:szCs w:val="32"/>
        </w:rPr>
      </w:pP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14"/>
        <w:jc w:val="center"/>
        <w:rPr>
          <w:rFonts w:hint="eastAsia" w:ascii="仿宋_GB2312" w:hAnsi="仿宋_GB2312" w:eastAsia="仿宋_GB2312" w:cs="仿宋_GB2312"/>
          <w:sz w:val="32"/>
          <w:szCs w:val="32"/>
        </w:rPr>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
      <w:pPr>
        <w:pStyle w:val="2"/>
      </w:pPr>
    </w:p>
    <w:p>
      <w:pPr>
        <w:pStyle w:val="14"/>
        <w:jc w:val="both"/>
        <w:rPr>
          <w:rFonts w:hint="eastAsia" w:ascii="方正小标宋_GBK" w:hAnsi="方正小标宋_GBK" w:eastAsia="方正小标宋_GBK" w:cs="方正小标宋_GBK"/>
          <w:sz w:val="72"/>
          <w:szCs w:val="72"/>
        </w:rPr>
      </w:pPr>
    </w:p>
    <w:p>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4"/>
        <w:jc w:val="both"/>
        <w:rPr>
          <w:rFonts w:hint="eastAsia" w:ascii="方正小标宋_GBK" w:hAnsi="方正小标宋_GBK" w:eastAsia="方正小标宋_GBK" w:cs="方正小标宋_GBK"/>
          <w:sz w:val="70"/>
          <w:szCs w:val="70"/>
          <w:lang w:eastAsia="zh-CN"/>
        </w:rPr>
      </w:pPr>
    </w:p>
    <w:p>
      <w:pPr>
        <w:pStyle w:val="14"/>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CFD4"/>
    <w:multiLevelType w:val="singleLevel"/>
    <w:tmpl w:val="8EDECFD4"/>
    <w:lvl w:ilvl="0" w:tentative="0">
      <w:start w:val="3"/>
      <w:numFmt w:val="chineseCounting"/>
      <w:suff w:val="nothing"/>
      <w:lvlText w:val="（%1）"/>
      <w:lvlJc w:val="left"/>
      <w:rPr>
        <w:rFonts w:hint="eastAsia"/>
      </w:rPr>
    </w:lvl>
  </w:abstractNum>
  <w:abstractNum w:abstractNumId="1">
    <w:nsid w:val="E1229B2A"/>
    <w:multiLevelType w:val="singleLevel"/>
    <w:tmpl w:val="E1229B2A"/>
    <w:lvl w:ilvl="0" w:tentative="0">
      <w:start w:val="1"/>
      <w:numFmt w:val="chineseCounting"/>
      <w:suff w:val="nothing"/>
      <w:lvlText w:val="（%1）"/>
      <w:lvlJc w:val="left"/>
      <w:rPr>
        <w:rFonts w:hint="eastAsia"/>
      </w:rPr>
    </w:lvl>
  </w:abstractNum>
  <w:abstractNum w:abstractNumId="2">
    <w:nsid w:val="E3CBC331"/>
    <w:multiLevelType w:val="singleLevel"/>
    <w:tmpl w:val="E3CBC331"/>
    <w:lvl w:ilvl="0" w:tentative="0">
      <w:start w:val="3"/>
      <w:numFmt w:val="decimal"/>
      <w:lvlText w:val="%1."/>
      <w:lvlJc w:val="left"/>
      <w:pPr>
        <w:tabs>
          <w:tab w:val="left" w:pos="312"/>
        </w:tabs>
      </w:p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6F99E03"/>
    <w:multiLevelType w:val="singleLevel"/>
    <w:tmpl w:val="76F99E03"/>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296773"/>
    <w:rsid w:val="08C24A73"/>
    <w:rsid w:val="0E8633C5"/>
    <w:rsid w:val="1118101A"/>
    <w:rsid w:val="11944E2C"/>
    <w:rsid w:val="11F41C82"/>
    <w:rsid w:val="12583BA5"/>
    <w:rsid w:val="13BA5B9C"/>
    <w:rsid w:val="1B554868"/>
    <w:rsid w:val="1D97DEFF"/>
    <w:rsid w:val="1DFF72E5"/>
    <w:rsid w:val="1EFC6F07"/>
    <w:rsid w:val="1F0527A6"/>
    <w:rsid w:val="20780698"/>
    <w:rsid w:val="22AC03C2"/>
    <w:rsid w:val="23091765"/>
    <w:rsid w:val="283B15FE"/>
    <w:rsid w:val="2FDF85B8"/>
    <w:rsid w:val="2FFFEE04"/>
    <w:rsid w:val="31C95635"/>
    <w:rsid w:val="34DF85B0"/>
    <w:rsid w:val="3A195161"/>
    <w:rsid w:val="3A584C46"/>
    <w:rsid w:val="3B8F36BC"/>
    <w:rsid w:val="43EB5BA5"/>
    <w:rsid w:val="4763732D"/>
    <w:rsid w:val="487274EA"/>
    <w:rsid w:val="491FF225"/>
    <w:rsid w:val="4A1D44BA"/>
    <w:rsid w:val="4C675DE6"/>
    <w:rsid w:val="4EC310A1"/>
    <w:rsid w:val="4FFD214C"/>
    <w:rsid w:val="52F36CA6"/>
    <w:rsid w:val="5352765A"/>
    <w:rsid w:val="53871716"/>
    <w:rsid w:val="54B6568B"/>
    <w:rsid w:val="56CD27F8"/>
    <w:rsid w:val="56F46807"/>
    <w:rsid w:val="5777D4F5"/>
    <w:rsid w:val="57F22B6F"/>
    <w:rsid w:val="59DD8326"/>
    <w:rsid w:val="5DEF592A"/>
    <w:rsid w:val="5F9F501F"/>
    <w:rsid w:val="5FC6BB1E"/>
    <w:rsid w:val="5FF720F1"/>
    <w:rsid w:val="60FF486D"/>
    <w:rsid w:val="622964C1"/>
    <w:rsid w:val="67FF5C0B"/>
    <w:rsid w:val="6BAA4A2F"/>
    <w:rsid w:val="6DDEC5C0"/>
    <w:rsid w:val="6EFC0924"/>
    <w:rsid w:val="6F530CE9"/>
    <w:rsid w:val="6FB74722"/>
    <w:rsid w:val="6FEF8B7E"/>
    <w:rsid w:val="717FE77F"/>
    <w:rsid w:val="71A6591B"/>
    <w:rsid w:val="737D59BA"/>
    <w:rsid w:val="737F32B1"/>
    <w:rsid w:val="73BD3FCA"/>
    <w:rsid w:val="73D62E1B"/>
    <w:rsid w:val="776BDA01"/>
    <w:rsid w:val="77C37683"/>
    <w:rsid w:val="79FF515B"/>
    <w:rsid w:val="7A993E33"/>
    <w:rsid w:val="7D145B0F"/>
    <w:rsid w:val="7DFBFF20"/>
    <w:rsid w:val="7E9E1962"/>
    <w:rsid w:val="7E9F11B4"/>
    <w:rsid w:val="7F37EC1E"/>
    <w:rsid w:val="7F7C0DDA"/>
    <w:rsid w:val="7F7DCD9D"/>
    <w:rsid w:val="7F970A6F"/>
    <w:rsid w:val="7FC1FFF3"/>
    <w:rsid w:val="7FC69637"/>
    <w:rsid w:val="7FDF8620"/>
    <w:rsid w:val="7FE83C65"/>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qFormat/>
    <w:uiPriority w:val="0"/>
    <w:pPr>
      <w:spacing w:after="120"/>
    </w:pPr>
    <w:rPr>
      <w:rFonts w:ascii="Times New Roman" w:hAnsi="Times New Roman"/>
      <w:szCs w:val="24"/>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alloon Text"/>
    <w:basedOn w:val="1"/>
    <w:link w:val="16"/>
    <w:semiHidden/>
    <w:unhideWhenUsed/>
    <w:qFormat/>
    <w:uiPriority w:val="99"/>
    <w:rPr>
      <w:sz w:val="18"/>
      <w:szCs w:val="18"/>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99"/>
    <w:pPr>
      <w:spacing w:beforeAutospacing="1" w:afterAutospacing="1"/>
      <w:jc w:val="left"/>
    </w:pPr>
    <w:rPr>
      <w:kern w:val="0"/>
      <w:sz w:val="24"/>
      <w:szCs w:val="24"/>
    </w:rPr>
  </w:style>
  <w:style w:type="character" w:customStyle="1" w:styleId="12">
    <w:name w:val="页眉 Char"/>
    <w:basedOn w:val="11"/>
    <w:link w:val="6"/>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7"/>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1347</Words>
  <Characters>7679</Characters>
  <Lines>63</Lines>
  <Paragraphs>18</Paragraphs>
  <TotalTime>13</TotalTime>
  <ScaleCrop>false</ScaleCrop>
  <LinksUpToDate>false</LinksUpToDate>
  <CharactersWithSpaces>9008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Administrator</cp:lastModifiedBy>
  <cp:lastPrinted>2024-08-11T02:20:00Z</cp:lastPrinted>
  <dcterms:modified xsi:type="dcterms:W3CDTF">2025-09-28T09:42:14Z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E673C78E3C104F38B0529B0B605F3EA3</vt:lpwstr>
  </property>
</Properties>
</file>