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pStyle w:val="2"/>
      </w:pPr>
      <w:bookmarkStart w:id="0" w:name="_GoBack"/>
      <w:bookmarkEnd w:id="0"/>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2024</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w:t>
      </w:r>
      <w:r>
        <w:rPr>
          <w:rFonts w:hint="eastAsia" w:ascii="仿宋" w:hAnsi="仿宋" w:eastAsia="仿宋" w:cs="仿宋"/>
          <w:bCs/>
          <w:sz w:val="28"/>
          <w:szCs w:val="28"/>
          <w:lang w:val="en-US" w:eastAsia="zh-CN"/>
        </w:rPr>
        <w:t>88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76</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2024年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年度局机关基本支出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2048.44</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1892.89</w:t>
      </w:r>
      <w:r>
        <w:rPr>
          <w:rFonts w:hint="eastAsia" w:ascii="仿宋" w:hAnsi="仿宋" w:eastAsia="仿宋" w:cs="仿宋"/>
          <w:bCs/>
          <w:sz w:val="28"/>
          <w:szCs w:val="28"/>
        </w:rPr>
        <w:t>万元，主要用于发放行政人员、事业人员工资及津补贴</w:t>
      </w:r>
      <w:r>
        <w:rPr>
          <w:rFonts w:hint="eastAsia" w:ascii="仿宋" w:hAnsi="仿宋" w:eastAsia="仿宋" w:cs="仿宋"/>
          <w:bCs/>
          <w:sz w:val="28"/>
          <w:szCs w:val="28"/>
          <w:lang w:eastAsia="zh-CN"/>
        </w:rPr>
        <w:t>、伙食补助等</w:t>
      </w:r>
      <w:r>
        <w:rPr>
          <w:rFonts w:hint="eastAsia" w:ascii="仿宋" w:hAnsi="仿宋" w:eastAsia="仿宋" w:cs="仿宋"/>
          <w:bCs/>
          <w:sz w:val="28"/>
          <w:szCs w:val="28"/>
        </w:rPr>
        <w:t>；支付机关离退休员工的</w:t>
      </w:r>
      <w:r>
        <w:rPr>
          <w:rFonts w:hint="eastAsia" w:ascii="仿宋" w:hAnsi="仿宋" w:eastAsia="仿宋" w:cs="仿宋"/>
          <w:bCs/>
          <w:sz w:val="28"/>
          <w:szCs w:val="28"/>
          <w:lang w:eastAsia="zh-CN"/>
        </w:rPr>
        <w:t>伙食补助费、物业补贴</w:t>
      </w:r>
      <w:r>
        <w:rPr>
          <w:rFonts w:hint="eastAsia" w:ascii="仿宋" w:hAnsi="仿宋" w:eastAsia="仿宋" w:cs="仿宋"/>
          <w:bCs/>
          <w:sz w:val="28"/>
          <w:szCs w:val="28"/>
        </w:rPr>
        <w:t>、抚恤金、丧葬费、生活补助等；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155.55</w:t>
      </w:r>
      <w:r>
        <w:rPr>
          <w:rFonts w:hint="eastAsia" w:ascii="仿宋" w:hAnsi="仿宋" w:eastAsia="仿宋" w:cs="仿宋"/>
          <w:bCs/>
          <w:sz w:val="28"/>
          <w:szCs w:val="28"/>
        </w:rPr>
        <w:t>万元，主要用于保障机关正常运转所需开支的办公费、差旅费、</w:t>
      </w:r>
      <w:r>
        <w:rPr>
          <w:rFonts w:hint="eastAsia" w:ascii="仿宋" w:hAnsi="仿宋" w:eastAsia="仿宋" w:cs="仿宋"/>
          <w:bCs/>
          <w:sz w:val="28"/>
          <w:szCs w:val="28"/>
          <w:lang w:eastAsia="zh-CN"/>
        </w:rPr>
        <w:t>公务接</w:t>
      </w:r>
      <w:r>
        <w:rPr>
          <w:rFonts w:hint="eastAsia" w:ascii="仿宋" w:hAnsi="仿宋" w:eastAsia="仿宋" w:cs="仿宋"/>
          <w:bCs/>
          <w:sz w:val="28"/>
          <w:szCs w:val="28"/>
        </w:rPr>
        <w:t>待费、会议费、公务用车运行维护费、</w:t>
      </w:r>
      <w:r>
        <w:rPr>
          <w:rFonts w:hint="eastAsia" w:ascii="仿宋" w:hAnsi="仿宋" w:eastAsia="仿宋" w:cs="仿宋"/>
          <w:bCs/>
          <w:sz w:val="28"/>
          <w:szCs w:val="28"/>
          <w:lang w:eastAsia="zh-CN"/>
        </w:rPr>
        <w:t>水、电、</w:t>
      </w:r>
      <w:r>
        <w:rPr>
          <w:rFonts w:hint="eastAsia" w:ascii="仿宋" w:hAnsi="仿宋" w:eastAsia="仿宋" w:cs="仿宋"/>
          <w:bCs/>
          <w:sz w:val="28"/>
          <w:szCs w:val="28"/>
        </w:rPr>
        <w:t>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年度局机关项目支出合计</w:t>
      </w:r>
      <w:r>
        <w:rPr>
          <w:rFonts w:hint="eastAsia" w:ascii="仿宋" w:hAnsi="仿宋" w:eastAsia="仿宋" w:cs="仿宋"/>
          <w:bCs/>
          <w:sz w:val="28"/>
          <w:szCs w:val="28"/>
          <w:lang w:val="en-US" w:eastAsia="zh-CN"/>
        </w:rPr>
        <w:t>524.1</w:t>
      </w:r>
      <w:r>
        <w:rPr>
          <w:rFonts w:hint="eastAsia" w:ascii="仿宋" w:hAnsi="仿宋" w:eastAsia="仿宋" w:cs="仿宋"/>
          <w:bCs/>
          <w:sz w:val="28"/>
          <w:szCs w:val="28"/>
        </w:rPr>
        <w:t>万元。专项支出主要用于行政立法、行政执法、依法治市、法律援助、人民调解、社区矫正</w:t>
      </w:r>
      <w:r>
        <w:rPr>
          <w:rFonts w:hint="eastAsia" w:ascii="仿宋" w:hAnsi="仿宋" w:eastAsia="仿宋" w:cs="仿宋"/>
          <w:bCs/>
          <w:sz w:val="28"/>
          <w:szCs w:val="28"/>
          <w:lang w:eastAsia="zh-CN"/>
        </w:rPr>
        <w:t>、</w:t>
      </w:r>
      <w:r>
        <w:rPr>
          <w:rFonts w:hint="eastAsia" w:ascii="仿宋" w:hAnsi="仿宋" w:eastAsia="仿宋" w:cs="仿宋"/>
          <w:bCs/>
          <w:sz w:val="28"/>
          <w:szCs w:val="28"/>
        </w:rPr>
        <w:t>安置帮教</w:t>
      </w:r>
      <w:r>
        <w:rPr>
          <w:rFonts w:hint="eastAsia" w:ascii="仿宋" w:hAnsi="仿宋" w:eastAsia="仿宋" w:cs="仿宋"/>
          <w:bCs/>
          <w:sz w:val="28"/>
          <w:szCs w:val="28"/>
          <w:lang w:eastAsia="zh-CN"/>
        </w:rPr>
        <w:t>和仲裁业务等</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524.1</w:t>
      </w:r>
      <w:r>
        <w:rPr>
          <w:rFonts w:hint="eastAsia" w:ascii="仿宋" w:hAnsi="仿宋" w:eastAsia="仿宋" w:cs="仿宋"/>
          <w:bCs/>
          <w:sz w:val="28"/>
          <w:szCs w:val="28"/>
        </w:rPr>
        <w:t>万元，全部用于专项工作，专项资</w:t>
      </w:r>
      <w:r>
        <w:rPr>
          <w:rFonts w:hint="eastAsia" w:ascii="仿宋" w:hAnsi="仿宋" w:eastAsia="仿宋" w:cs="仿宋"/>
          <w:bCs/>
          <w:sz w:val="28"/>
          <w:szCs w:val="28"/>
          <w:lang w:eastAsia="zh-CN"/>
        </w:rPr>
        <w:t>金</w:t>
      </w:r>
      <w:r>
        <w:rPr>
          <w:rFonts w:hint="eastAsia" w:ascii="仿宋" w:hAnsi="仿宋" w:eastAsia="仿宋" w:cs="仿宋"/>
          <w:bCs/>
          <w:sz w:val="28"/>
          <w:szCs w:val="28"/>
        </w:rPr>
        <w:t>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为加强单位资金使用效率，落实好财务管理制度，我局成立财务工作领导小组，在资金使用审批上坚持</w:t>
      </w:r>
      <w:r>
        <w:rPr>
          <w:rFonts w:hint="eastAsia" w:ascii="仿宋" w:hAnsi="仿宋" w:eastAsia="仿宋" w:cs="仿宋"/>
          <w:bCs/>
          <w:sz w:val="28"/>
          <w:szCs w:val="28"/>
          <w:lang w:eastAsia="zh-CN"/>
        </w:rPr>
        <w:t>重大资金使用由</w:t>
      </w:r>
      <w:r>
        <w:rPr>
          <w:rFonts w:hint="eastAsia" w:ascii="仿宋" w:hAnsi="仿宋" w:eastAsia="仿宋" w:cs="仿宋"/>
          <w:bCs/>
          <w:sz w:val="28"/>
          <w:szCs w:val="28"/>
        </w:rPr>
        <w:t>局党组集体研究，</w:t>
      </w:r>
      <w:r>
        <w:rPr>
          <w:rFonts w:hint="eastAsia" w:ascii="仿宋" w:hAnsi="仿宋" w:eastAsia="仿宋" w:cs="仿宋"/>
          <w:bCs/>
          <w:sz w:val="28"/>
          <w:szCs w:val="28"/>
          <w:lang w:eastAsia="zh-CN"/>
        </w:rPr>
        <w:t>机关纪委</w:t>
      </w:r>
      <w:r>
        <w:rPr>
          <w:rFonts w:hint="eastAsia" w:ascii="仿宋" w:hAnsi="仿宋" w:eastAsia="仿宋" w:cs="仿宋"/>
          <w:bCs/>
          <w:sz w:val="28"/>
          <w:szCs w:val="28"/>
        </w:rPr>
        <w:t>全程跟踪，分管</w:t>
      </w:r>
      <w:r>
        <w:rPr>
          <w:rFonts w:hint="eastAsia" w:ascii="仿宋" w:hAnsi="仿宋" w:eastAsia="仿宋" w:cs="仿宋"/>
          <w:bCs/>
          <w:sz w:val="28"/>
          <w:szCs w:val="28"/>
          <w:lang w:eastAsia="zh-CN"/>
        </w:rPr>
        <w:t>财务副</w:t>
      </w:r>
      <w:r>
        <w:rPr>
          <w:rFonts w:hint="eastAsia" w:ascii="仿宋" w:hAnsi="仿宋" w:eastAsia="仿宋" w:cs="仿宋"/>
          <w:bCs/>
          <w:sz w:val="28"/>
          <w:szCs w:val="28"/>
        </w:rPr>
        <w:t>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w:t>
      </w:r>
      <w:r>
        <w:rPr>
          <w:rFonts w:hint="eastAsia" w:ascii="仿宋" w:hAnsi="仿宋" w:eastAsia="仿宋" w:cs="仿宋"/>
          <w:b/>
          <w:bCs w:val="0"/>
          <w:sz w:val="28"/>
          <w:szCs w:val="28"/>
          <w:lang w:eastAsia="zh-CN"/>
        </w:rPr>
        <w:t>资金</w:t>
      </w:r>
      <w:r>
        <w:rPr>
          <w:rFonts w:hint="eastAsia" w:ascii="仿宋" w:hAnsi="仿宋" w:eastAsia="仿宋" w:cs="仿宋"/>
          <w:b/>
          <w:bCs w:val="0"/>
          <w:sz w:val="28"/>
          <w:szCs w:val="28"/>
        </w:rPr>
        <w:t>管理情况分析</w:t>
      </w:r>
    </w:p>
    <w:p>
      <w:pPr>
        <w:spacing w:line="560" w:lineRule="exact"/>
        <w:ind w:firstLine="560" w:firstLineChars="200"/>
        <w:rPr>
          <w:rFonts w:hint="eastAsia"/>
          <w:lang w:eastAsia="zh-CN"/>
        </w:rPr>
      </w:pPr>
      <w:r>
        <w:rPr>
          <w:rFonts w:hint="eastAsia" w:ascii="仿宋" w:hAnsi="仿宋" w:eastAsia="仿宋" w:cs="仿宋"/>
          <w:bCs/>
          <w:sz w:val="28"/>
          <w:szCs w:val="28"/>
          <w:lang w:eastAsia="zh-CN"/>
        </w:rPr>
        <w:t>专项资金的管理和使用遵循规范管理、注重绩效、专款专用的原则，提高资金的使用效率，装备财务保障科负责局机关专项资金管理和预算执行，各业务科室负责专项资金的申报编制工作，确保高质高效地使用专项资金。</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2024年，全市司法行政系统坚持党对司法行政工作的绝对领导，加强司法行政队伍建设，切实履行职责，统筹做好全面依法治市和法治政府建设，取得了一定的成效。我市“打造一件事一次办‘四全四新’改革模式</w:t>
      </w:r>
      <w:r>
        <w:rPr>
          <w:rFonts w:hint="default"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lang w:val="en-US" w:eastAsia="zh-CN"/>
        </w:rPr>
        <w:t>和“推行‘群英断是非’工作法，打造新时代‘枫桥经验’新样本”入围中央依法治国办第三批全国法治政府建设示范项目终选，我市3个单位、3名个人获全国普法先进通报表扬。《良法善治守护好一江碧水》典型经验在湖南日报、湖南司法行政微信公众号得到了宣传推介。</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坚持“应援尽援优援”的服务理念，以服务民生为己任，进一步扩大法律援助范围，将触角努力延伸至低收入群体，加强法律援助“绿色通道”建设，努力提供便民利民的援助服务，加大对刑事案件的援助力度。</w:t>
      </w:r>
      <w:r>
        <w:rPr>
          <w:rFonts w:hint="eastAsia" w:ascii="仿宋" w:hAnsi="仿宋" w:eastAsia="仿宋" w:cs="仿宋"/>
          <w:bCs/>
          <w:sz w:val="28"/>
          <w:szCs w:val="28"/>
          <w:highlight w:val="none"/>
        </w:rPr>
        <w:t>一年来，</w:t>
      </w:r>
      <w:r>
        <w:rPr>
          <w:rFonts w:hint="eastAsia" w:ascii="仿宋" w:hAnsi="仿宋" w:eastAsia="仿宋" w:cs="仿宋"/>
          <w:bCs/>
          <w:sz w:val="28"/>
          <w:szCs w:val="28"/>
          <w:highlight w:val="none"/>
          <w:lang w:eastAsia="zh-CN"/>
        </w:rPr>
        <w:t>全市</w:t>
      </w:r>
      <w:r>
        <w:rPr>
          <w:rFonts w:hint="eastAsia" w:ascii="仿宋" w:hAnsi="仿宋" w:eastAsia="仿宋" w:cs="仿宋"/>
          <w:bCs/>
          <w:sz w:val="28"/>
          <w:szCs w:val="28"/>
          <w:highlight w:val="none"/>
        </w:rPr>
        <w:t>共</w:t>
      </w:r>
      <w:r>
        <w:rPr>
          <w:rFonts w:hint="eastAsia" w:ascii="仿宋" w:hAnsi="仿宋" w:eastAsia="仿宋" w:cs="仿宋"/>
          <w:bCs/>
          <w:sz w:val="28"/>
          <w:szCs w:val="28"/>
          <w:highlight w:val="none"/>
          <w:lang w:eastAsia="zh-CN"/>
        </w:rPr>
        <w:t>办理</w:t>
      </w:r>
      <w:r>
        <w:rPr>
          <w:rFonts w:hint="eastAsia" w:ascii="仿宋" w:hAnsi="仿宋" w:eastAsia="仿宋" w:cs="仿宋"/>
          <w:bCs/>
          <w:sz w:val="28"/>
          <w:szCs w:val="28"/>
          <w:highlight w:val="none"/>
        </w:rPr>
        <w:t>法援案件</w:t>
      </w:r>
      <w:r>
        <w:rPr>
          <w:rFonts w:hint="eastAsia" w:ascii="仿宋" w:hAnsi="仿宋" w:eastAsia="仿宋" w:cs="仿宋"/>
          <w:bCs/>
          <w:sz w:val="28"/>
          <w:szCs w:val="28"/>
          <w:highlight w:val="none"/>
          <w:lang w:val="en-US" w:eastAsia="zh-CN"/>
        </w:rPr>
        <w:t>3225</w:t>
      </w:r>
      <w:r>
        <w:rPr>
          <w:rFonts w:hint="eastAsia" w:ascii="仿宋" w:hAnsi="仿宋" w:eastAsia="仿宋" w:cs="仿宋"/>
          <w:bCs/>
          <w:sz w:val="28"/>
          <w:szCs w:val="28"/>
          <w:highlight w:val="none"/>
        </w:rPr>
        <w:t>件</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12348公共法律服务热线服务近1万人次，办结12345热线工单近100件。</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hint="eastAsia" w:eastAsia="黑体"/>
          <w:sz w:val="32"/>
          <w:szCs w:val="32"/>
          <w:lang w:eastAsia="zh-CN"/>
        </w:rPr>
        <w:t>七</w:t>
      </w:r>
      <w:r>
        <w:rPr>
          <w:rFonts w:eastAsia="黑体"/>
          <w:sz w:val="32"/>
          <w:szCs w:val="32"/>
        </w:rPr>
        <w:t>、绩效自评结果拟应用和公开情况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ind w:firstLine="640" w:firstLineChars="200"/>
        <w:rPr>
          <w:rFonts w:eastAsia="仿宋_GB2312"/>
          <w:sz w:val="32"/>
          <w:szCs w:val="32"/>
        </w:rPr>
      </w:pPr>
    </w:p>
    <w:p>
      <w:pPr>
        <w:widowControl w:val="0"/>
        <w:adjustRightInd/>
        <w:snapToGrid/>
        <w:spacing w:after="0" w:line="500" w:lineRule="exact"/>
        <w:ind w:firstLine="320" w:firstLineChars="100"/>
        <w:rPr>
          <w:rFonts w:ascii="黑体" w:hAnsi="黑体" w:eastAsia="黑体" w:cs="黑体"/>
          <w:kern w:val="2"/>
          <w:sz w:val="32"/>
          <w:szCs w:val="32"/>
        </w:rPr>
      </w:pPr>
      <w:r>
        <w:rPr>
          <w:rFonts w:hint="eastAsia" w:ascii="黑体" w:hAnsi="黑体" w:eastAsia="黑体" w:cs="黑体"/>
          <w:kern w:val="2"/>
          <w:sz w:val="32"/>
          <w:szCs w:val="32"/>
        </w:rPr>
        <w:t>附件1</w:t>
      </w:r>
    </w:p>
    <w:p>
      <w:pPr>
        <w:widowControl w:val="0"/>
        <w:adjustRightInd/>
        <w:snapToGrid/>
        <w:spacing w:after="0"/>
        <w:ind w:firstLine="320" w:firstLineChars="100"/>
        <w:rPr>
          <w:rFonts w:ascii="黑体" w:hAnsi="黑体" w:eastAsia="黑体" w:cs="黑体"/>
          <w:kern w:val="2"/>
          <w:sz w:val="32"/>
          <w:szCs w:val="32"/>
        </w:rPr>
      </w:pPr>
    </w:p>
    <w:p>
      <w:pPr>
        <w:widowControl w:val="0"/>
        <w:adjustRightInd/>
        <w:snapToGrid/>
        <w:spacing w:afterLines="50" w:line="600" w:lineRule="exact"/>
        <w:jc w:val="center"/>
        <w:rPr>
          <w:rFonts w:ascii="方正小标宋简体" w:hAnsi="方正小标宋简体" w:eastAsia="方正小标宋简体" w:cs="方正小标宋简体"/>
          <w:kern w:val="2"/>
          <w:sz w:val="24"/>
          <w:szCs w:val="24"/>
        </w:rPr>
      </w:pPr>
      <w:r>
        <w:rPr>
          <w:rFonts w:hint="eastAsia" w:ascii="方正小标宋简体" w:hAnsi="方正小标宋简体" w:eastAsia="方正小标宋简体" w:cs="方正小标宋简体"/>
          <w:kern w:val="2"/>
          <w:sz w:val="36"/>
          <w:szCs w:val="36"/>
        </w:rPr>
        <w:t>2024年度部门整体支出绩效评价基础数据表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
                <w:bCs/>
                <w:kern w:val="2"/>
                <w:sz w:val="20"/>
                <w:szCs w:val="20"/>
              </w:rPr>
            </w:pPr>
            <w:r>
              <w:rPr>
                <w:rFonts w:hint="eastAsia" w:ascii="仿宋" w:hAnsi="仿宋" w:eastAsia="仿宋" w:cs="仿宋_GB2312"/>
                <w:b/>
                <w:bCs/>
                <w:kern w:val="2"/>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
                <w:bCs/>
                <w:kern w:val="2"/>
                <w:sz w:val="20"/>
                <w:szCs w:val="20"/>
              </w:rPr>
            </w:pPr>
            <w:r>
              <w:rPr>
                <w:rFonts w:hint="eastAsia" w:ascii="仿宋" w:hAnsi="仿宋" w:eastAsia="仿宋" w:cs="仿宋_GB2312"/>
                <w:b/>
                <w:bCs/>
                <w:kern w:val="2"/>
                <w:sz w:val="20"/>
                <w:szCs w:val="20"/>
              </w:rPr>
              <w:t>2024年实际在职人数</w:t>
            </w:r>
          </w:p>
        </w:tc>
        <w:tc>
          <w:tcPr>
            <w:tcW w:w="2041" w:type="dxa"/>
            <w:gridSpan w:val="2"/>
            <w:tcBorders>
              <w:top w:val="single" w:color="auto" w:sz="4" w:space="0"/>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
                <w:bCs/>
                <w:kern w:val="2"/>
                <w:sz w:val="20"/>
                <w:szCs w:val="20"/>
              </w:rPr>
            </w:pPr>
            <w:r>
              <w:rPr>
                <w:rFonts w:hint="eastAsia" w:ascii="仿宋" w:hAnsi="仿宋" w:eastAsia="仿宋" w:cs="仿宋_GB2312"/>
                <w:b/>
                <w:bCs/>
                <w:kern w:val="2"/>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81</w:t>
            </w:r>
          </w:p>
        </w:tc>
        <w:tc>
          <w:tcPr>
            <w:tcW w:w="224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76</w:t>
            </w:r>
          </w:p>
        </w:tc>
        <w:tc>
          <w:tcPr>
            <w:tcW w:w="2041"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93.83%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b/>
                <w:bCs/>
                <w:kern w:val="2"/>
                <w:sz w:val="20"/>
                <w:szCs w:val="20"/>
              </w:rPr>
            </w:pPr>
            <w:r>
              <w:rPr>
                <w:rFonts w:hint="eastAsia" w:ascii="仿宋" w:hAnsi="仿宋" w:eastAsia="仿宋" w:cs="仿宋_GB2312"/>
                <w:b/>
                <w:bCs/>
                <w:kern w:val="2"/>
                <w:sz w:val="20"/>
                <w:szCs w:val="20"/>
              </w:rPr>
              <w:t>2023年决算数</w:t>
            </w:r>
          </w:p>
        </w:tc>
        <w:tc>
          <w:tcPr>
            <w:tcW w:w="2240"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b/>
                <w:bCs/>
                <w:kern w:val="2"/>
                <w:sz w:val="20"/>
                <w:szCs w:val="20"/>
              </w:rPr>
            </w:pPr>
            <w:r>
              <w:rPr>
                <w:rFonts w:hint="eastAsia" w:ascii="仿宋" w:hAnsi="仿宋" w:eastAsia="仿宋" w:cs="仿宋_GB2312"/>
                <w:b/>
                <w:bCs/>
                <w:kern w:val="2"/>
                <w:sz w:val="20"/>
                <w:szCs w:val="20"/>
              </w:rPr>
              <w:t>2024年预算数</w:t>
            </w:r>
          </w:p>
        </w:tc>
        <w:tc>
          <w:tcPr>
            <w:tcW w:w="2041"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b/>
                <w:bCs/>
                <w:kern w:val="2"/>
                <w:sz w:val="20"/>
                <w:szCs w:val="20"/>
              </w:rPr>
            </w:pPr>
            <w:r>
              <w:rPr>
                <w:rFonts w:hint="eastAsia" w:ascii="仿宋" w:hAnsi="仿宋" w:eastAsia="仿宋" w:cs="仿宋_GB2312"/>
                <w:b/>
                <w:bCs/>
                <w:kern w:val="2"/>
                <w:sz w:val="20"/>
                <w:szCs w:val="20"/>
              </w:rPr>
              <w:t>2024年决算数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33.7</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24.79</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24.79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28.1</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12.45</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12.45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17.99</w:t>
            </w:r>
          </w:p>
        </w:tc>
        <w:tc>
          <w:tcPr>
            <w:tcW w:w="2240" w:type="dxa"/>
            <w:gridSpan w:val="2"/>
            <w:tcBorders>
              <w:top w:val="single" w:color="auto" w:sz="4" w:space="0"/>
              <w:left w:val="nil"/>
              <w:bottom w:val="single" w:color="auto" w:sz="4" w:space="0"/>
              <w:right w:val="single" w:color="000000" w:sz="4" w:space="0"/>
            </w:tcBorders>
            <w:vAlign w:val="center"/>
          </w:tcPr>
          <w:p>
            <w:pPr>
              <w:jc w:val="center"/>
              <w:rPr>
                <w:rFonts w:ascii="仿宋" w:hAnsi="仿宋" w:eastAsia="仿宋" w:cs="仿宋_GB2312"/>
                <w:kern w:val="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jc w:val="center"/>
              <w:rPr>
                <w:rFonts w:ascii="仿宋" w:hAnsi="仿宋" w:eastAsia="仿宋" w:cs="仿宋_GB2312"/>
                <w:kern w:val="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10.11</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12.45</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12.45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jc w:val="center"/>
              <w:rPr>
                <w:rFonts w:ascii="仿宋" w:hAnsi="仿宋" w:eastAsia="仿宋" w:cs="仿宋_GB2312"/>
                <w:kern w:val="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8.97</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8.97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5.6</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3.37</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3.37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574</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524</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524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105</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91</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91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229</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222</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222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240</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211</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211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16"/>
                <w:szCs w:val="16"/>
              </w:rPr>
            </w:pPr>
            <w:r>
              <w:rPr>
                <w:rFonts w:hint="eastAsia" w:ascii="仿宋" w:hAnsi="仿宋" w:eastAsia="仿宋" w:cs="仿宋_GB2312"/>
                <w:kern w:val="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26</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26</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26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52</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57</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57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42</w:t>
            </w:r>
          </w:p>
        </w:tc>
        <w:tc>
          <w:tcPr>
            <w:tcW w:w="2240"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4</w:t>
            </w:r>
          </w:p>
        </w:tc>
        <w:tc>
          <w:tcPr>
            <w:tcW w:w="2041"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i w:val="0"/>
                <w:iCs w:val="0"/>
                <w:color w:val="000000"/>
                <w:kern w:val="0"/>
                <w:sz w:val="18"/>
                <w:szCs w:val="18"/>
                <w:u w:val="none"/>
                <w:lang w:val="en-US" w:eastAsia="zh-CN" w:bidi="ar"/>
              </w:rPr>
              <w:t>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楼堂馆所控制情况</w:t>
            </w:r>
            <w:r>
              <w:rPr>
                <w:rFonts w:hint="eastAsia" w:ascii="仿宋" w:hAnsi="仿宋" w:eastAsia="仿宋" w:cs="仿宋_GB2312"/>
                <w:kern w:val="2"/>
                <w:sz w:val="20"/>
                <w:szCs w:val="20"/>
              </w:rPr>
              <w:br w:type="textWrapping"/>
            </w:r>
            <w:r>
              <w:rPr>
                <w:rFonts w:hint="eastAsia" w:ascii="仿宋" w:hAnsi="仿宋" w:eastAsia="仿宋" w:cs="仿宋_GB2312"/>
                <w:kern w:val="2"/>
                <w:sz w:val="20"/>
                <w:szCs w:val="20"/>
              </w:rPr>
              <w:t>（2024年完工项目）</w:t>
            </w:r>
          </w:p>
        </w:tc>
        <w:tc>
          <w:tcPr>
            <w:tcW w:w="2038" w:type="dxa"/>
            <w:gridSpan w:val="2"/>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bCs/>
                <w:kern w:val="2"/>
                <w:sz w:val="20"/>
                <w:szCs w:val="20"/>
              </w:rPr>
              <w:t>批复规模</w:t>
            </w:r>
            <w:r>
              <w:rPr>
                <w:rFonts w:hint="eastAsia" w:ascii="仿宋" w:hAnsi="仿宋" w:eastAsia="仿宋" w:cs="仿宋_GB2312"/>
                <w:bCs/>
                <w:kern w:val="2"/>
                <w:sz w:val="20"/>
                <w:szCs w:val="20"/>
              </w:rPr>
              <w:br w:type="textWrapping"/>
            </w:r>
            <w:r>
              <w:rPr>
                <w:rFonts w:hint="eastAsia" w:ascii="仿宋" w:hAnsi="仿宋" w:eastAsia="仿宋" w:cs="仿宋_GB2312"/>
                <w:bCs/>
                <w:kern w:val="2"/>
                <w:sz w:val="20"/>
                <w:szCs w:val="20"/>
              </w:rPr>
              <w:t>（㎡）</w:t>
            </w:r>
          </w:p>
        </w:tc>
        <w:tc>
          <w:tcPr>
            <w:tcW w:w="2240" w:type="dxa"/>
            <w:gridSpan w:val="2"/>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bCs/>
                <w:kern w:val="2"/>
                <w:sz w:val="20"/>
                <w:szCs w:val="20"/>
              </w:rPr>
              <w:t>实际规模（㎡）</w:t>
            </w:r>
          </w:p>
        </w:tc>
        <w:tc>
          <w:tcPr>
            <w:tcW w:w="2041" w:type="dxa"/>
            <w:gridSpan w:val="2"/>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bCs/>
                <w:kern w:val="2"/>
                <w:sz w:val="20"/>
                <w:szCs w:val="20"/>
              </w:rPr>
              <w:t>规模控制率</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p>
        </w:tc>
        <w:tc>
          <w:tcPr>
            <w:tcW w:w="2038" w:type="dxa"/>
            <w:gridSpan w:val="2"/>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　</w:t>
            </w:r>
          </w:p>
        </w:tc>
        <w:tc>
          <w:tcPr>
            <w:tcW w:w="2240" w:type="dxa"/>
            <w:gridSpan w:val="2"/>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w:t>
            </w:r>
          </w:p>
        </w:tc>
        <w:tc>
          <w:tcPr>
            <w:tcW w:w="2041" w:type="dxa"/>
            <w:gridSpan w:val="2"/>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厉行节约保障措施</w:t>
            </w:r>
          </w:p>
        </w:tc>
        <w:tc>
          <w:tcPr>
            <w:tcW w:w="1189" w:type="dxa"/>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bCs/>
                <w:kern w:val="2"/>
                <w:sz w:val="20"/>
                <w:szCs w:val="20"/>
              </w:rPr>
            </w:pPr>
            <w:r>
              <w:rPr>
                <w:rFonts w:hint="eastAsia" w:ascii="仿宋" w:hAnsi="仿宋" w:eastAsia="仿宋" w:cs="仿宋_GB2312"/>
                <w:kern w:val="2"/>
                <w:sz w:val="20"/>
                <w:szCs w:val="20"/>
              </w:rPr>
              <w:t>　</w:t>
            </w:r>
          </w:p>
        </w:tc>
        <w:tc>
          <w:tcPr>
            <w:tcW w:w="849" w:type="dxa"/>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Cs/>
                <w:kern w:val="2"/>
                <w:sz w:val="20"/>
                <w:szCs w:val="20"/>
              </w:rPr>
            </w:pPr>
          </w:p>
        </w:tc>
        <w:tc>
          <w:tcPr>
            <w:tcW w:w="1129" w:type="dxa"/>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Cs/>
                <w:kern w:val="2"/>
                <w:sz w:val="20"/>
                <w:szCs w:val="20"/>
              </w:rPr>
            </w:pPr>
          </w:p>
        </w:tc>
        <w:tc>
          <w:tcPr>
            <w:tcW w:w="1111" w:type="dxa"/>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Cs/>
                <w:kern w:val="2"/>
                <w:sz w:val="20"/>
                <w:szCs w:val="20"/>
              </w:rPr>
            </w:pPr>
            <w:r>
              <w:rPr>
                <w:rFonts w:hint="eastAsia" w:ascii="仿宋" w:hAnsi="仿宋" w:eastAsia="仿宋" w:cs="仿宋_GB2312"/>
                <w:bCs/>
                <w:kern w:val="2"/>
                <w:sz w:val="20"/>
                <w:szCs w:val="20"/>
              </w:rPr>
              <w:t>预算投资（万元）</w:t>
            </w:r>
          </w:p>
        </w:tc>
        <w:tc>
          <w:tcPr>
            <w:tcW w:w="1081" w:type="dxa"/>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Cs/>
                <w:kern w:val="2"/>
                <w:sz w:val="20"/>
                <w:szCs w:val="20"/>
              </w:rPr>
            </w:pPr>
            <w:r>
              <w:rPr>
                <w:rFonts w:hint="eastAsia" w:ascii="仿宋" w:hAnsi="仿宋" w:eastAsia="仿宋" w:cs="仿宋_GB2312"/>
                <w:bCs/>
                <w:kern w:val="2"/>
                <w:sz w:val="20"/>
                <w:szCs w:val="20"/>
              </w:rPr>
              <w:t>实际投资（万元）</w:t>
            </w:r>
          </w:p>
        </w:tc>
        <w:tc>
          <w:tcPr>
            <w:tcW w:w="960" w:type="dxa"/>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bCs/>
                <w:kern w:val="2"/>
                <w:sz w:val="20"/>
                <w:szCs w:val="20"/>
              </w:rPr>
            </w:pPr>
            <w:r>
              <w:rPr>
                <w:rFonts w:hint="eastAsia" w:ascii="仿宋" w:hAnsi="仿宋" w:eastAsia="仿宋" w:cs="仿宋_GB2312"/>
                <w:bCs/>
                <w:kern w:val="2"/>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p>
        </w:tc>
        <w:tc>
          <w:tcPr>
            <w:tcW w:w="1189" w:type="dxa"/>
            <w:tcBorders>
              <w:top w:val="nil"/>
              <w:left w:val="nil"/>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p>
        </w:tc>
        <w:tc>
          <w:tcPr>
            <w:tcW w:w="849" w:type="dxa"/>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p>
        </w:tc>
        <w:tc>
          <w:tcPr>
            <w:tcW w:w="1129" w:type="dxa"/>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p>
        </w:tc>
        <w:tc>
          <w:tcPr>
            <w:tcW w:w="1111" w:type="dxa"/>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w:t>
            </w:r>
          </w:p>
        </w:tc>
        <w:tc>
          <w:tcPr>
            <w:tcW w:w="1081" w:type="dxa"/>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w:t>
            </w:r>
          </w:p>
        </w:tc>
        <w:tc>
          <w:tcPr>
            <w:tcW w:w="960" w:type="dxa"/>
            <w:tcBorders>
              <w:top w:val="nil"/>
              <w:left w:val="nil"/>
              <w:bottom w:val="single" w:color="auto" w:sz="4" w:space="0"/>
              <w:right w:val="single" w:color="auto" w:sz="4" w:space="0"/>
            </w:tcBorders>
            <w:vAlign w:val="center"/>
          </w:tcPr>
          <w:p>
            <w:pPr>
              <w:adjustRightInd/>
              <w:snapToGrid/>
              <w:spacing w:after="0" w:line="360" w:lineRule="exact"/>
              <w:rPr>
                <w:rFonts w:ascii="仿宋" w:hAnsi="仿宋" w:eastAsia="仿宋" w:cs="仿宋_GB2312"/>
                <w:kern w:val="2"/>
                <w:sz w:val="20"/>
                <w:szCs w:val="20"/>
              </w:rPr>
            </w:pPr>
            <w:r>
              <w:rPr>
                <w:rFonts w:hint="eastAsia" w:ascii="仿宋" w:hAnsi="仿宋" w:eastAsia="仿宋" w:cs="仿宋_GB2312"/>
                <w:kern w:val="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adjustRightInd/>
              <w:snapToGrid/>
              <w:spacing w:after="0" w:line="360" w:lineRule="exact"/>
              <w:jc w:val="center"/>
              <w:rPr>
                <w:rFonts w:ascii="仿宋" w:hAnsi="仿宋" w:eastAsia="仿宋" w:cs="仿宋_GB2312"/>
                <w:kern w:val="2"/>
                <w:sz w:val="20"/>
                <w:szCs w:val="20"/>
              </w:rPr>
            </w:pPr>
          </w:p>
        </w:tc>
        <w:tc>
          <w:tcPr>
            <w:tcW w:w="6319" w:type="dxa"/>
            <w:gridSpan w:val="6"/>
            <w:tcBorders>
              <w:top w:val="single" w:color="auto" w:sz="4" w:space="0"/>
              <w:left w:val="nil"/>
              <w:bottom w:val="single" w:color="auto" w:sz="4" w:space="0"/>
              <w:right w:val="single" w:color="000000" w:sz="4" w:space="0"/>
            </w:tcBorders>
            <w:vAlign w:val="center"/>
          </w:tcPr>
          <w:p>
            <w:pPr>
              <w:adjustRightInd/>
              <w:snapToGrid/>
              <w:spacing w:after="0" w:line="360" w:lineRule="exact"/>
              <w:jc w:val="center"/>
              <w:rPr>
                <w:rFonts w:ascii="仿宋" w:hAnsi="仿宋" w:eastAsia="仿宋" w:cs="仿宋_GB2312"/>
                <w:kern w:val="2"/>
                <w:sz w:val="20"/>
                <w:szCs w:val="20"/>
              </w:rPr>
            </w:pPr>
          </w:p>
        </w:tc>
      </w:tr>
    </w:tbl>
    <w:p>
      <w:pPr>
        <w:adjustRightInd/>
        <w:snapToGrid/>
        <w:spacing w:after="0" w:line="400" w:lineRule="exact"/>
        <w:ind w:left="660" w:hanging="630" w:hangingChars="300"/>
        <w:rPr>
          <w:rFonts w:ascii="仿宋" w:hAnsi="仿宋" w:eastAsia="仿宋" w:cs="Times New Roman"/>
          <w:kern w:val="2"/>
          <w:szCs w:val="24"/>
        </w:rPr>
      </w:pPr>
      <w:r>
        <w:rPr>
          <w:rFonts w:ascii="仿宋" w:hAnsi="仿宋" w:eastAsia="仿宋" w:cs="Times New Roman"/>
          <w:kern w:val="2"/>
          <w:szCs w:val="24"/>
        </w:rPr>
        <w:t>说明：“项目支出”需要填报基本支出以外的所有项目支出情况，“公用经费”填报基本支出中的一般商品和服务支出。</w:t>
      </w:r>
    </w:p>
    <w:p>
      <w:pPr>
        <w:spacing w:after="0" w:line="400" w:lineRule="exact"/>
        <w:rPr>
          <w:rFonts w:ascii="黑体" w:hAnsi="黑体" w:eastAsia="黑体" w:cs="黑体"/>
          <w:kern w:val="2"/>
          <w:sz w:val="32"/>
          <w:szCs w:val="32"/>
        </w:rPr>
      </w:pPr>
    </w:p>
    <w:p>
      <w:pPr>
        <w:spacing w:after="0" w:line="400" w:lineRule="exact"/>
        <w:rPr>
          <w:rFonts w:ascii="黑体" w:hAnsi="黑体" w:eastAsia="黑体" w:cs="黑体"/>
          <w:kern w:val="2"/>
          <w:sz w:val="32"/>
          <w:szCs w:val="32"/>
        </w:rPr>
      </w:pPr>
    </w:p>
    <w:p>
      <w:pPr>
        <w:pStyle w:val="2"/>
      </w:pPr>
    </w:p>
    <w:p>
      <w:pPr>
        <w:spacing w:after="0" w:line="400" w:lineRule="exact"/>
        <w:rPr>
          <w:rFonts w:ascii="黑体" w:hAnsi="黑体" w:eastAsia="黑体" w:cs="黑体"/>
          <w:kern w:val="2"/>
          <w:sz w:val="32"/>
          <w:szCs w:val="32"/>
        </w:rPr>
      </w:pPr>
      <w:r>
        <w:rPr>
          <w:rFonts w:hint="eastAsia" w:ascii="黑体" w:hAnsi="黑体" w:eastAsia="黑体" w:cs="黑体"/>
          <w:kern w:val="2"/>
          <w:sz w:val="32"/>
          <w:szCs w:val="32"/>
        </w:rPr>
        <w:t>附件2</w:t>
      </w:r>
    </w:p>
    <w:p>
      <w:pPr>
        <w:adjustRightInd/>
        <w:snapToGrid/>
        <w:spacing w:after="0" w:line="400" w:lineRule="exact"/>
        <w:rPr>
          <w:rFonts w:ascii="黑体" w:hAnsi="黑体" w:eastAsia="黑体" w:cs="黑体"/>
          <w:kern w:val="2"/>
          <w:sz w:val="32"/>
          <w:szCs w:val="32"/>
        </w:rPr>
      </w:pPr>
    </w:p>
    <w:p>
      <w:pPr>
        <w:adjustRightInd/>
        <w:snapToGrid/>
        <w:spacing w:afterLines="50"/>
        <w:jc w:val="center"/>
        <w:rPr>
          <w:rFonts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rPr>
        <w:t>2024年度部门整体支出绩效自评表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市级预算部门名称</w:t>
            </w:r>
          </w:p>
        </w:tc>
        <w:tc>
          <w:tcPr>
            <w:tcW w:w="8999" w:type="dxa"/>
            <w:gridSpan w:val="8"/>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hint="eastAsia" w:ascii="仿宋" w:hAnsi="仿宋" w:eastAsia="仿宋" w:cs="仿宋_GB2312"/>
                <w:color w:val="000000"/>
                <w:kern w:val="2"/>
                <w:sz w:val="20"/>
                <w:szCs w:val="20"/>
                <w:lang w:eastAsia="zh-CN"/>
              </w:rPr>
            </w:pPr>
            <w:r>
              <w:rPr>
                <w:rFonts w:hint="eastAsia" w:ascii="仿宋" w:hAnsi="仿宋" w:eastAsia="仿宋" w:cs="仿宋_GB2312"/>
                <w:color w:val="000000"/>
                <w:kern w:val="2"/>
                <w:sz w:val="20"/>
                <w:szCs w:val="20"/>
                <w:lang w:eastAsia="zh-CN"/>
              </w:rPr>
              <w:t>岳阳市司法局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年度预</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算申请</w:t>
            </w:r>
            <w:r>
              <w:rPr>
                <w:rFonts w:hint="eastAsia" w:ascii="仿宋" w:hAnsi="仿宋" w:eastAsia="仿宋" w:cs="仿宋_GB2312"/>
                <w:color w:val="000000"/>
                <w:kern w:val="2"/>
                <w:sz w:val="20"/>
                <w:szCs w:val="20"/>
              </w:rPr>
              <w:br w:type="textWrapping"/>
            </w:r>
            <w:r>
              <w:rPr>
                <w:rFonts w:hint="eastAsia" w:ascii="仿宋" w:hAnsi="仿宋" w:eastAsia="仿宋" w:cs="仿宋_GB2312"/>
                <w:color w:val="000000"/>
                <w:kern w:val="2"/>
                <w:sz w:val="20"/>
                <w:szCs w:val="20"/>
              </w:rPr>
              <w:t>（万元）</w:t>
            </w:r>
          </w:p>
        </w:tc>
        <w:tc>
          <w:tcPr>
            <w:tcW w:w="2114" w:type="dxa"/>
            <w:gridSpan w:val="2"/>
            <w:tcBorders>
              <w:top w:val="nil"/>
              <w:left w:val="nil"/>
              <w:bottom w:val="single" w:color="auto" w:sz="4" w:space="0"/>
              <w:right w:val="single" w:color="auto" w:sz="4" w:space="0"/>
            </w:tcBorders>
            <w:vAlign w:val="center"/>
          </w:tcPr>
          <w:p>
            <w:pPr>
              <w:jc w:val="center"/>
              <w:rPr>
                <w:rFonts w:ascii="仿宋" w:hAnsi="仿宋" w:eastAsia="仿宋" w:cs="仿宋_GB2312"/>
                <w:kern w:val="2"/>
                <w:sz w:val="20"/>
                <w:szCs w:val="20"/>
              </w:rPr>
            </w:pP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仿宋_GB2312" w:hAnsi="宋体" w:eastAsia="仿宋_GB2312" w:cs="仿宋_GB2312"/>
                <w:b/>
                <w:bCs/>
                <w:i w:val="0"/>
                <w:iCs w:val="0"/>
                <w:color w:val="000000"/>
                <w:kern w:val="0"/>
                <w:sz w:val="18"/>
                <w:szCs w:val="18"/>
                <w:u w:val="none"/>
                <w:lang w:val="en-US" w:eastAsia="zh-CN" w:bidi="ar"/>
              </w:rPr>
              <w:t>年初预算数</w:t>
            </w:r>
            <w:r>
              <w:rPr>
                <w:rFonts w:hint="default" w:ascii="仿宋_GB2312" w:hAnsi="宋体" w:eastAsia="仿宋_GB2312" w:cs="仿宋_GB2312"/>
                <w:b/>
                <w:bCs/>
                <w:i w:val="0"/>
                <w:iCs w:val="0"/>
                <w:color w:val="000000"/>
                <w:kern w:val="0"/>
                <w:sz w:val="18"/>
                <w:szCs w:val="18"/>
                <w:u w:val="none"/>
                <w:lang w:val="en-US" w:eastAsia="zh-CN" w:bidi="ar"/>
              </w:rPr>
              <w:br w:type="textWrapping"/>
            </w:r>
            <w:r>
              <w:rPr>
                <w:rFonts w:hint="default" w:ascii="仿宋_GB2312" w:hAnsi="宋体" w:eastAsia="仿宋_GB2312" w:cs="仿宋_GB2312"/>
                <w:b/>
                <w:bCs/>
                <w:i w:val="0"/>
                <w:iCs w:val="0"/>
                <w:color w:val="000000"/>
                <w:kern w:val="0"/>
                <w:sz w:val="18"/>
                <w:szCs w:val="18"/>
                <w:u w:val="none"/>
                <w:lang w:val="en-US" w:eastAsia="zh-CN" w:bidi="ar"/>
              </w:rPr>
              <w:t>(万元)</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b/>
                <w:bCs/>
                <w:i w:val="0"/>
                <w:iCs w:val="0"/>
                <w:color w:val="000000"/>
                <w:kern w:val="0"/>
                <w:sz w:val="18"/>
                <w:szCs w:val="18"/>
                <w:u w:val="none"/>
                <w:lang w:val="en-US" w:eastAsia="zh-CN" w:bidi="ar"/>
              </w:rPr>
              <w:t>全年预算数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b/>
                <w:bCs/>
                <w:i w:val="0"/>
                <w:iCs w:val="0"/>
                <w:color w:val="000000"/>
                <w:kern w:val="0"/>
                <w:sz w:val="18"/>
                <w:szCs w:val="18"/>
                <w:u w:val="none"/>
                <w:lang w:val="en-US" w:eastAsia="zh-CN" w:bidi="ar"/>
              </w:rPr>
              <w:t>全年执行数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b/>
                <w:bCs/>
                <w:i w:val="0"/>
                <w:iCs w:val="0"/>
                <w:color w:val="000000"/>
                <w:kern w:val="0"/>
                <w:sz w:val="18"/>
                <w:szCs w:val="18"/>
                <w:u w:val="none"/>
                <w:lang w:val="en-US" w:eastAsia="zh-CN" w:bidi="ar"/>
              </w:rPr>
              <w:t>分值</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eastAsia" w:ascii="宋体" w:hAnsi="宋体" w:eastAsia="宋体" w:cs="宋体"/>
                <w:b/>
                <w:bCs/>
                <w:i w:val="0"/>
                <w:iCs w:val="0"/>
                <w:color w:val="000000"/>
                <w:kern w:val="0"/>
                <w:sz w:val="18"/>
                <w:szCs w:val="18"/>
                <w:u w:val="none"/>
                <w:lang w:val="en-US" w:eastAsia="zh-CN" w:bidi="ar"/>
              </w:rPr>
              <w:t>执行率</w:t>
            </w:r>
          </w:p>
        </w:tc>
        <w:tc>
          <w:tcPr>
            <w:tcW w:w="144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仿宋_GB2312" w:hAnsi="宋体" w:eastAsia="仿宋_GB2312" w:cs="仿宋_GB2312"/>
                <w:b/>
                <w:bCs/>
                <w:i w:val="0"/>
                <w:iCs w:val="0"/>
                <w:color w:val="000000"/>
                <w:kern w:val="0"/>
                <w:sz w:val="18"/>
                <w:szCs w:val="18"/>
                <w:u w:val="none"/>
                <w:lang w:val="en-US" w:eastAsia="zh-CN" w:bidi="ar"/>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p>
        </w:tc>
        <w:tc>
          <w:tcPr>
            <w:tcW w:w="2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仿宋_GB2312" w:hAnsi="宋体" w:eastAsia="仿宋_GB2312" w:cs="仿宋_GB2312"/>
                <w:b/>
                <w:bCs/>
                <w:i w:val="0"/>
                <w:iCs w:val="0"/>
                <w:color w:val="000000"/>
                <w:kern w:val="0"/>
                <w:sz w:val="18"/>
                <w:szCs w:val="18"/>
                <w:u w:val="none"/>
                <w:lang w:val="en-US" w:eastAsia="zh-CN" w:bidi="ar"/>
              </w:rPr>
              <w:t>年度资金总额：</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Times New Roman" w:hAnsi="Times New Roman" w:eastAsia="宋体" w:cs="Times New Roman"/>
                <w:i w:val="0"/>
                <w:iCs w:val="0"/>
                <w:color w:val="000000"/>
                <w:kern w:val="0"/>
                <w:sz w:val="18"/>
                <w:szCs w:val="18"/>
                <w:u w:val="none"/>
                <w:lang w:val="en-US" w:eastAsia="zh-CN" w:bidi="ar"/>
              </w:rPr>
              <w:t>2048.27</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Times New Roman" w:hAnsi="Times New Roman" w:eastAsia="宋体" w:cs="Times New Roman"/>
                <w:i w:val="0"/>
                <w:iCs w:val="0"/>
                <w:color w:val="000000"/>
                <w:kern w:val="0"/>
                <w:sz w:val="18"/>
                <w:szCs w:val="18"/>
                <w:u w:val="none"/>
                <w:lang w:val="en-US" w:eastAsia="zh-CN" w:bidi="ar"/>
              </w:rPr>
              <w:t>2754.61</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Times New Roman" w:hAnsi="Times New Roman" w:eastAsia="宋体" w:cs="Times New Roman"/>
                <w:i w:val="0"/>
                <w:iCs w:val="0"/>
                <w:color w:val="000000"/>
                <w:kern w:val="0"/>
                <w:sz w:val="18"/>
                <w:szCs w:val="18"/>
                <w:u w:val="none"/>
                <w:lang w:val="en-US" w:eastAsia="zh-CN" w:bidi="ar"/>
              </w:rPr>
              <w:t>2572.48</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Times New Roman" w:hAnsi="Times New Roman" w:eastAsia="宋体" w:cs="Times New Roman"/>
                <w:i w:val="0"/>
                <w:iCs w:val="0"/>
                <w:color w:val="000000"/>
                <w:kern w:val="0"/>
                <w:sz w:val="18"/>
                <w:szCs w:val="18"/>
                <w:u w:val="none"/>
                <w:lang w:val="en-US" w:eastAsia="zh-CN" w:bidi="ar"/>
              </w:rPr>
              <w:t>93.38%</w:t>
            </w:r>
          </w:p>
        </w:tc>
        <w:tc>
          <w:tcPr>
            <w:tcW w:w="144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kern w:val="2"/>
                <w:sz w:val="20"/>
                <w:szCs w:val="20"/>
              </w:rPr>
            </w:pPr>
            <w:r>
              <w:rPr>
                <w:rFonts w:hint="default" w:ascii="Times New Roman" w:hAnsi="Times New Roman" w:eastAsia="宋体" w:cs="Times New Roman"/>
                <w:i w:val="0"/>
                <w:iCs w:val="0"/>
                <w:color w:val="000000"/>
                <w:kern w:val="0"/>
                <w:sz w:val="18"/>
                <w:szCs w:val="18"/>
                <w:u w:val="none"/>
                <w:lang w:val="en-US" w:eastAsia="zh-CN" w:bidi="ar"/>
              </w:rPr>
              <w:t>9.34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4695"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按收入性质分：</w:t>
            </w:r>
          </w:p>
        </w:tc>
        <w:tc>
          <w:tcPr>
            <w:tcW w:w="4304"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4695"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xml:space="preserve">  其中：  一般公共预算：2569.23</w:t>
            </w:r>
          </w:p>
        </w:tc>
        <w:tc>
          <w:tcPr>
            <w:tcW w:w="4304"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其中：基本支出：2048.44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4695" w:type="dxa"/>
            <w:gridSpan w:val="4"/>
            <w:tcBorders>
              <w:top w:val="nil"/>
              <w:left w:val="nil"/>
              <w:bottom w:val="single" w:color="auto" w:sz="4" w:space="0"/>
              <w:right w:val="single" w:color="auto" w:sz="4" w:space="0"/>
            </w:tcBorders>
            <w:vAlign w:val="center"/>
          </w:tcPr>
          <w:p>
            <w:pPr>
              <w:adjustRightInd/>
              <w:snapToGrid/>
              <w:spacing w:after="0" w:line="240" w:lineRule="exact"/>
              <w:ind w:firstLine="800" w:firstLineChars="400"/>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政府性基金拨款：</w:t>
            </w:r>
          </w:p>
        </w:tc>
        <w:tc>
          <w:tcPr>
            <w:tcW w:w="4304" w:type="dxa"/>
            <w:gridSpan w:val="4"/>
            <w:tcBorders>
              <w:top w:val="nil"/>
              <w:left w:val="nil"/>
              <w:bottom w:val="single" w:color="auto" w:sz="4" w:space="0"/>
              <w:right w:val="single" w:color="auto" w:sz="4" w:space="0"/>
            </w:tcBorders>
            <w:vAlign w:val="center"/>
          </w:tcPr>
          <w:p>
            <w:pPr>
              <w:adjustRightInd/>
              <w:snapToGrid/>
              <w:spacing w:after="0" w:line="240" w:lineRule="exact"/>
              <w:ind w:firstLine="600" w:firstLineChars="300"/>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项目支出：524.10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4695"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4695" w:type="dxa"/>
            <w:gridSpan w:val="4"/>
            <w:tcBorders>
              <w:top w:val="nil"/>
              <w:left w:val="nil"/>
              <w:bottom w:val="single" w:color="auto" w:sz="4" w:space="0"/>
              <w:right w:val="single" w:color="auto" w:sz="4" w:space="0"/>
            </w:tcBorders>
            <w:vAlign w:val="center"/>
          </w:tcPr>
          <w:p>
            <w:pPr>
              <w:adjustRightInd/>
              <w:snapToGrid/>
              <w:spacing w:after="0" w:line="240" w:lineRule="exact"/>
              <w:ind w:firstLine="1400" w:firstLineChars="700"/>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其他资金：3.25</w:t>
            </w:r>
          </w:p>
        </w:tc>
        <w:tc>
          <w:tcPr>
            <w:tcW w:w="4304" w:type="dxa"/>
            <w:gridSpan w:val="4"/>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pPr>
              <w:adjustRightInd/>
              <w:snapToGrid/>
              <w:spacing w:after="0" w:line="24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任务1：开展法治宣传，努力营造浓厚法治氛围。</w:t>
            </w:r>
          </w:p>
          <w:p>
            <w:pPr>
              <w:adjustRightInd/>
              <w:snapToGrid/>
              <w:spacing w:after="0" w:line="24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任务2：积极服务政府依法行政。</w:t>
            </w:r>
          </w:p>
          <w:p>
            <w:pPr>
              <w:adjustRightInd/>
              <w:snapToGrid/>
              <w:spacing w:after="0" w:line="24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任务3：积极服务全市经济发展。</w:t>
            </w:r>
          </w:p>
          <w:p>
            <w:pPr>
              <w:adjustRightInd/>
              <w:snapToGrid/>
              <w:spacing w:after="0" w:line="24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任务4、积极服务民生实事工程。</w:t>
            </w:r>
          </w:p>
          <w:p>
            <w:pPr>
              <w:adjustRightInd/>
              <w:snapToGrid/>
              <w:spacing w:after="0" w:line="24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任务5、创新调解方式，全力推进社会矛盾化解。</w:t>
            </w:r>
          </w:p>
          <w:p>
            <w:pPr>
              <w:adjustRightInd/>
              <w:snapToGrid/>
              <w:spacing w:after="0" w:line="240" w:lineRule="exact"/>
              <w:jc w:val="lef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任务6、开展法律援助等公共法律服务。</w:t>
            </w:r>
          </w:p>
        </w:tc>
        <w:tc>
          <w:tcPr>
            <w:tcW w:w="4304" w:type="dxa"/>
            <w:gridSpan w:val="4"/>
            <w:tcBorders>
              <w:top w:val="single" w:color="auto" w:sz="4" w:space="0"/>
              <w:left w:val="nil"/>
              <w:bottom w:val="single" w:color="auto" w:sz="4" w:space="0"/>
              <w:right w:val="single" w:color="auto" w:sz="4" w:space="0"/>
            </w:tcBorders>
            <w:vAlign w:val="center"/>
          </w:tcPr>
          <w:p>
            <w:pPr>
              <w:adjustRightInd/>
              <w:snapToGrid/>
              <w:spacing w:after="0" w:line="240" w:lineRule="exact"/>
              <w:jc w:val="both"/>
              <w:rPr>
                <w:rFonts w:hint="eastAsia" w:ascii="仿宋" w:hAnsi="仿宋" w:eastAsia="仿宋" w:cs="仿宋_GB2312"/>
                <w:color w:val="000000"/>
                <w:kern w:val="2"/>
                <w:sz w:val="16"/>
                <w:szCs w:val="16"/>
              </w:rPr>
            </w:pPr>
            <w:r>
              <w:rPr>
                <w:rFonts w:hint="eastAsia" w:ascii="仿宋" w:hAnsi="仿宋" w:eastAsia="仿宋" w:cs="仿宋_GB2312"/>
                <w:color w:val="000000"/>
                <w:kern w:val="2"/>
                <w:sz w:val="16"/>
                <w:szCs w:val="16"/>
              </w:rPr>
              <w:t>1、组织开展宪法宣传系列活动，通过集中宣传和线上线下宣传等多种形式，全市开展法律宣传活动。</w:t>
            </w:r>
          </w:p>
          <w:p>
            <w:pPr>
              <w:adjustRightInd/>
              <w:snapToGrid/>
              <w:spacing w:after="0" w:line="240" w:lineRule="exact"/>
              <w:jc w:val="both"/>
              <w:rPr>
                <w:rFonts w:hint="eastAsia" w:ascii="仿宋" w:hAnsi="仿宋" w:eastAsia="仿宋" w:cs="仿宋_GB2312"/>
                <w:color w:val="000000"/>
                <w:kern w:val="2"/>
                <w:sz w:val="16"/>
                <w:szCs w:val="16"/>
              </w:rPr>
            </w:pPr>
            <w:r>
              <w:rPr>
                <w:rFonts w:hint="eastAsia" w:ascii="仿宋" w:hAnsi="仿宋" w:eastAsia="仿宋" w:cs="仿宋_GB2312"/>
                <w:color w:val="000000"/>
                <w:kern w:val="2"/>
                <w:sz w:val="16"/>
                <w:szCs w:val="16"/>
              </w:rPr>
              <w:t>2、参与起草、审查地方性法规草案和政府规章，调研论证项目，深度关注多个社会热点、难点课题。</w:t>
            </w:r>
          </w:p>
          <w:p>
            <w:pPr>
              <w:adjustRightInd/>
              <w:snapToGrid/>
              <w:spacing w:after="0" w:line="240" w:lineRule="exact"/>
              <w:jc w:val="both"/>
              <w:rPr>
                <w:rFonts w:hint="eastAsia" w:ascii="仿宋" w:hAnsi="仿宋" w:eastAsia="仿宋" w:cs="仿宋_GB2312"/>
                <w:color w:val="000000"/>
                <w:kern w:val="2"/>
                <w:sz w:val="16"/>
                <w:szCs w:val="16"/>
              </w:rPr>
            </w:pPr>
            <w:r>
              <w:rPr>
                <w:rFonts w:hint="eastAsia" w:ascii="仿宋" w:hAnsi="仿宋" w:eastAsia="仿宋" w:cs="仿宋_GB2312"/>
                <w:color w:val="000000"/>
                <w:kern w:val="2"/>
                <w:sz w:val="16"/>
                <w:szCs w:val="16"/>
              </w:rPr>
              <w:t>3、进一步推进严格规范公正文明执法。</w:t>
            </w:r>
          </w:p>
          <w:p>
            <w:pPr>
              <w:adjustRightInd/>
              <w:snapToGrid/>
              <w:spacing w:after="0" w:line="240" w:lineRule="exact"/>
              <w:jc w:val="both"/>
              <w:rPr>
                <w:rFonts w:hint="eastAsia" w:ascii="仿宋" w:hAnsi="仿宋" w:eastAsia="仿宋" w:cs="仿宋_GB2312"/>
                <w:color w:val="000000"/>
                <w:kern w:val="2"/>
                <w:sz w:val="16"/>
                <w:szCs w:val="16"/>
              </w:rPr>
            </w:pPr>
            <w:r>
              <w:rPr>
                <w:rFonts w:hint="eastAsia" w:ascii="仿宋" w:hAnsi="仿宋" w:eastAsia="仿宋" w:cs="仿宋_GB2312"/>
                <w:color w:val="000000"/>
                <w:kern w:val="2"/>
                <w:sz w:val="16"/>
                <w:szCs w:val="16"/>
              </w:rPr>
              <w:t>4、临湘市、湘阴县、平江县、华容县、岳阳县、岳阳楼区、经开区建立了法治文化公园、广场、长廊。</w:t>
            </w:r>
          </w:p>
          <w:p>
            <w:pPr>
              <w:adjustRightInd/>
              <w:snapToGrid/>
              <w:spacing w:after="0" w:line="240" w:lineRule="exact"/>
              <w:jc w:val="both"/>
              <w:rPr>
                <w:rFonts w:hint="eastAsia" w:ascii="仿宋" w:hAnsi="仿宋" w:eastAsia="仿宋" w:cs="仿宋_GB2312"/>
                <w:color w:val="000000"/>
                <w:kern w:val="2"/>
                <w:sz w:val="16"/>
                <w:szCs w:val="16"/>
              </w:rPr>
            </w:pPr>
            <w:r>
              <w:rPr>
                <w:rFonts w:hint="eastAsia" w:ascii="仿宋" w:hAnsi="仿宋" w:eastAsia="仿宋" w:cs="仿宋_GB2312"/>
                <w:color w:val="000000"/>
                <w:kern w:val="2"/>
                <w:sz w:val="16"/>
                <w:szCs w:val="16"/>
              </w:rPr>
              <w:t>5、调解矛盾纠纷，成功化解纠纷，调解成功率达90%以上，有效预防化解社会矛盾纠纷。</w:t>
            </w:r>
          </w:p>
          <w:p>
            <w:pPr>
              <w:adjustRightInd/>
              <w:snapToGrid/>
              <w:spacing w:after="0" w:line="240" w:lineRule="exact"/>
              <w:jc w:val="both"/>
              <w:rPr>
                <w:rFonts w:ascii="仿宋" w:hAnsi="仿宋" w:eastAsia="仿宋" w:cs="仿宋_GB2312"/>
                <w:color w:val="000000"/>
                <w:kern w:val="2"/>
                <w:sz w:val="20"/>
                <w:szCs w:val="20"/>
              </w:rPr>
            </w:pPr>
            <w:r>
              <w:rPr>
                <w:rFonts w:hint="eastAsia" w:ascii="仿宋" w:hAnsi="仿宋" w:eastAsia="仿宋" w:cs="仿宋_GB2312"/>
                <w:color w:val="000000"/>
                <w:kern w:val="2"/>
                <w:sz w:val="16"/>
                <w:szCs w:val="16"/>
              </w:rPr>
              <w:t>6、受理法律援助案件，省市重点民生实事法律援助项目完成。受理12348公共法律服务热线咨询服务，现场接待来访咨询。</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绩</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效</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指</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标</w:t>
            </w:r>
          </w:p>
          <w:p>
            <w:pPr>
              <w:adjustRightInd/>
              <w:snapToGrid/>
              <w:spacing w:after="0" w:line="240" w:lineRule="exact"/>
              <w:jc w:val="center"/>
              <w:rPr>
                <w:rFonts w:ascii="仿宋" w:hAnsi="仿宋" w:eastAsia="仿宋" w:cs="仿宋_GB2312"/>
                <w:color w:val="000000"/>
                <w:kern w:val="2"/>
                <w:sz w:val="20"/>
                <w:szCs w:val="20"/>
              </w:rPr>
            </w:pPr>
          </w:p>
        </w:tc>
        <w:tc>
          <w:tcPr>
            <w:tcW w:w="1080" w:type="dxa"/>
            <w:tcBorders>
              <w:top w:val="nil"/>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一级指标</w:t>
            </w:r>
          </w:p>
        </w:tc>
        <w:tc>
          <w:tcPr>
            <w:tcW w:w="1034" w:type="dxa"/>
            <w:tcBorders>
              <w:top w:val="nil"/>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二级指标</w:t>
            </w:r>
          </w:p>
        </w:tc>
        <w:tc>
          <w:tcPr>
            <w:tcW w:w="1270" w:type="dxa"/>
            <w:tcBorders>
              <w:top w:val="nil"/>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三级指标</w:t>
            </w:r>
          </w:p>
        </w:tc>
        <w:tc>
          <w:tcPr>
            <w:tcW w:w="1311" w:type="dxa"/>
            <w:tcBorders>
              <w:top w:val="nil"/>
              <w:left w:val="nil"/>
              <w:bottom w:val="single" w:color="auto" w:sz="4" w:space="0"/>
              <w:right w:val="single" w:color="auto" w:sz="4" w:space="0"/>
            </w:tcBorders>
            <w:vAlign w:val="center"/>
          </w:tcPr>
          <w:p>
            <w:pPr>
              <w:adjustRightInd/>
              <w:snapToGrid/>
              <w:spacing w:after="0" w:line="240" w:lineRule="exact"/>
              <w:jc w:val="both"/>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年度指标值</w:t>
            </w:r>
          </w:p>
        </w:tc>
        <w:tc>
          <w:tcPr>
            <w:tcW w:w="1269" w:type="dxa"/>
            <w:tcBorders>
              <w:top w:val="nil"/>
              <w:left w:val="nil"/>
              <w:bottom w:val="single" w:color="auto" w:sz="4" w:space="0"/>
              <w:right w:val="single" w:color="auto" w:sz="4" w:space="0"/>
            </w:tcBorders>
            <w:vAlign w:val="center"/>
          </w:tcPr>
          <w:p>
            <w:pPr>
              <w:adjustRightInd/>
              <w:snapToGrid/>
              <w:spacing w:after="0" w:line="240" w:lineRule="exact"/>
              <w:jc w:val="both"/>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实际完成值</w:t>
            </w:r>
          </w:p>
        </w:tc>
        <w:tc>
          <w:tcPr>
            <w:tcW w:w="716" w:type="dxa"/>
            <w:tcBorders>
              <w:top w:val="nil"/>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分值</w:t>
            </w:r>
          </w:p>
        </w:tc>
        <w:tc>
          <w:tcPr>
            <w:tcW w:w="873" w:type="dxa"/>
            <w:tcBorders>
              <w:top w:val="nil"/>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得分</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jc w:val="both"/>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产出指标</w:t>
            </w:r>
          </w:p>
          <w:p>
            <w:pPr>
              <w:adjustRightInd/>
              <w:snapToGrid/>
              <w:spacing w:after="0" w:line="240" w:lineRule="exact"/>
              <w:jc w:val="center"/>
              <w:rPr>
                <w:rFonts w:ascii="仿宋" w:hAnsi="仿宋" w:eastAsia="仿宋" w:cs="仿宋_GB2312"/>
                <w:color w:val="000000"/>
                <w:kern w:val="2"/>
                <w:sz w:val="20"/>
                <w:szCs w:val="20"/>
              </w:rPr>
            </w:pPr>
          </w:p>
          <w:p>
            <w:pPr>
              <w:adjustRightInd/>
              <w:snapToGrid/>
              <w:spacing w:after="0" w:line="240" w:lineRule="exact"/>
              <w:jc w:val="center"/>
              <w:rPr>
                <w:rFonts w:ascii="仿宋" w:hAnsi="仿宋" w:eastAsia="仿宋" w:cs="仿宋_GB2312"/>
                <w:color w:val="000000"/>
                <w:kern w:val="2"/>
                <w:sz w:val="20"/>
                <w:szCs w:val="20"/>
              </w:rPr>
            </w:pPr>
          </w:p>
        </w:tc>
        <w:tc>
          <w:tcPr>
            <w:tcW w:w="10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color w:val="000000"/>
                <w:kern w:val="2"/>
                <w:sz w:val="20"/>
                <w:szCs w:val="20"/>
              </w:rPr>
            </w:pPr>
            <w:r>
              <w:rPr>
                <w:rFonts w:hint="eastAsia" w:ascii="宋体" w:hAnsi="宋体" w:eastAsia="宋体" w:cs="宋体"/>
                <w:i w:val="0"/>
                <w:iCs w:val="0"/>
                <w:color w:val="000000"/>
                <w:kern w:val="0"/>
                <w:sz w:val="18"/>
                <w:szCs w:val="18"/>
                <w:u w:val="none"/>
                <w:lang w:val="en-US" w:eastAsia="zh-CN" w:bidi="ar"/>
              </w:rPr>
              <w:t>数量指标</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社区矫正对象无脱管漏管</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脱管漏管0</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脱管漏管0</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color w:val="000000"/>
                <w:kern w:val="2"/>
                <w:sz w:val="20"/>
                <w:szCs w:val="20"/>
              </w:rPr>
            </w:pPr>
            <w:r>
              <w:rPr>
                <w:rFonts w:hint="eastAsia" w:ascii="宋体" w:hAnsi="宋体" w:eastAsia="宋体" w:cs="宋体"/>
                <w:i w:val="0"/>
                <w:iCs w:val="0"/>
                <w:color w:val="000000"/>
                <w:kern w:val="0"/>
                <w:sz w:val="18"/>
                <w:szCs w:val="18"/>
                <w:u w:val="none"/>
                <w:lang w:val="en-US" w:eastAsia="zh-CN" w:bidi="ar"/>
              </w:rPr>
              <w:t>质量指标</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社会矛盾有效化解</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16"/>
                <w:szCs w:val="16"/>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15"/>
                <w:szCs w:val="15"/>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 w:hAnsi="仿宋" w:eastAsia="仿宋" w:cs="仿宋_GB2312"/>
                <w:color w:val="000000"/>
                <w:kern w:val="2"/>
                <w:sz w:val="20"/>
                <w:szCs w:val="20"/>
              </w:rPr>
            </w:pPr>
            <w:r>
              <w:rPr>
                <w:rFonts w:hint="eastAsia" w:ascii="宋体" w:hAnsi="宋体" w:eastAsia="宋体" w:cs="宋体"/>
                <w:i w:val="0"/>
                <w:iCs w:val="0"/>
                <w:color w:val="000000"/>
                <w:kern w:val="0"/>
                <w:sz w:val="18"/>
                <w:szCs w:val="18"/>
                <w:u w:val="none"/>
                <w:lang w:val="en-US" w:eastAsia="zh-CN" w:bidi="ar"/>
              </w:rPr>
              <w:t>时效指标</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及时回应法援案件诉求</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法律诉求回应率100%</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100%</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效益指标</w:t>
            </w:r>
          </w:p>
          <w:p>
            <w:pPr>
              <w:adjustRightInd/>
              <w:snapToGrid/>
              <w:spacing w:after="0" w:line="240" w:lineRule="exact"/>
              <w:rPr>
                <w:rFonts w:ascii="仿宋" w:hAnsi="仿宋" w:eastAsia="仿宋" w:cs="仿宋_GB2312"/>
                <w:color w:val="000000"/>
                <w:kern w:val="2"/>
                <w:sz w:val="20"/>
                <w:szCs w:val="20"/>
              </w:rPr>
            </w:pPr>
          </w:p>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c>
          <w:tcPr>
            <w:tcW w:w="1034"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经济效</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益指标</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化解社会矛盾</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34"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社会效</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益指标</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化解社会矛盾</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34"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生态效</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益指标</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化解社会矛盾</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群众法律意识提升</w:t>
            </w:r>
          </w:p>
        </w:tc>
        <w:tc>
          <w:tcPr>
            <w:tcW w:w="13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群众法律意识提升率稳定增长</w:t>
            </w:r>
          </w:p>
        </w:tc>
        <w:tc>
          <w:tcPr>
            <w:tcW w:w="12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稳定增长</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满意度</w:t>
            </w:r>
          </w:p>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指标</w:t>
            </w:r>
          </w:p>
          <w:p>
            <w:pPr>
              <w:adjustRightInd/>
              <w:snapToGrid/>
              <w:spacing w:after="0" w:line="240" w:lineRule="exact"/>
              <w:jc w:val="center"/>
              <w:rPr>
                <w:rFonts w:ascii="仿宋" w:hAnsi="仿宋" w:eastAsia="仿宋" w:cs="仿宋_GB2312"/>
                <w:color w:val="000000"/>
                <w:kern w:val="2"/>
                <w:sz w:val="20"/>
                <w:szCs w:val="20"/>
              </w:rPr>
            </w:pP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服务对象满意度达到95%以上</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受援人满意率100%</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100%</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5</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restart"/>
            <w:tcBorders>
              <w:top w:val="single" w:color="auto" w:sz="4" w:space="0"/>
              <w:left w:val="nil"/>
              <w:right w:val="single" w:color="auto" w:sz="4" w:space="0"/>
            </w:tcBorders>
            <w:vAlign w:val="center"/>
          </w:tcPr>
          <w:p>
            <w:pPr>
              <w:adjustRightInd/>
              <w:snapToGrid/>
              <w:spacing w:after="0" w:line="240" w:lineRule="exact"/>
              <w:jc w:val="center"/>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成本指标</w:t>
            </w: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不超过年初预算</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控制在预算之内</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未超标准</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hint="eastAsia" w:ascii="仿宋" w:hAnsi="仿宋" w:eastAsia="仿宋" w:cs="仿宋_GB2312"/>
                <w:color w:val="000000"/>
                <w:kern w:val="2"/>
                <w:sz w:val="20"/>
                <w:szCs w:val="20"/>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continue"/>
            <w:tcBorders>
              <w:left w:val="nil"/>
              <w:right w:val="single" w:color="auto" w:sz="4" w:space="0"/>
            </w:tcBorders>
            <w:vAlign w:val="center"/>
          </w:tcPr>
          <w:p>
            <w:pPr>
              <w:adjustRightInd/>
              <w:snapToGrid/>
              <w:spacing w:after="0" w:line="240" w:lineRule="exact"/>
              <w:jc w:val="center"/>
              <w:rPr>
                <w:rFonts w:hint="eastAsia" w:ascii="仿宋" w:hAnsi="仿宋" w:eastAsia="仿宋" w:cs="仿宋_GB2312"/>
                <w:color w:val="000000"/>
                <w:kern w:val="2"/>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社会成本指标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不超过年初预算</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控制在预算之内</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未超标准</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hint="eastAsia" w:ascii="仿宋" w:hAnsi="仿宋" w:eastAsia="仿宋" w:cs="仿宋_GB2312"/>
                <w:color w:val="000000"/>
                <w:kern w:val="2"/>
                <w:sz w:val="20"/>
                <w:szCs w:val="20"/>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40" w:lineRule="exact"/>
              <w:rPr>
                <w:rFonts w:ascii="仿宋" w:hAnsi="仿宋" w:eastAsia="仿宋" w:cs="仿宋_GB2312"/>
                <w:color w:val="000000"/>
                <w:kern w:val="2"/>
                <w:sz w:val="20"/>
                <w:szCs w:val="20"/>
              </w:rPr>
            </w:pPr>
          </w:p>
        </w:tc>
        <w:tc>
          <w:tcPr>
            <w:tcW w:w="1080" w:type="dxa"/>
            <w:vMerge w:val="continue"/>
            <w:tcBorders>
              <w:left w:val="nil"/>
              <w:bottom w:val="single" w:color="auto" w:sz="4" w:space="0"/>
              <w:right w:val="single" w:color="auto" w:sz="4" w:space="0"/>
            </w:tcBorders>
            <w:vAlign w:val="center"/>
          </w:tcPr>
          <w:p>
            <w:pPr>
              <w:adjustRightInd/>
              <w:snapToGrid/>
              <w:spacing w:after="0" w:line="240" w:lineRule="exact"/>
              <w:jc w:val="center"/>
              <w:rPr>
                <w:rFonts w:hint="eastAsia" w:ascii="仿宋" w:hAnsi="仿宋" w:eastAsia="仿宋" w:cs="仿宋_GB2312"/>
                <w:color w:val="000000"/>
                <w:kern w:val="2"/>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生态环境成本指标</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不超过年初预算</w:t>
            </w:r>
          </w:p>
        </w:tc>
        <w:tc>
          <w:tcPr>
            <w:tcW w:w="131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控制在预算之内</w:t>
            </w:r>
          </w:p>
        </w:tc>
        <w:tc>
          <w:tcPr>
            <w:tcW w:w="12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未超标准</w:t>
            </w:r>
          </w:p>
        </w:tc>
        <w:tc>
          <w:tcPr>
            <w:tcW w:w="7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7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hint="eastAsia" w:ascii="仿宋" w:hAnsi="仿宋" w:eastAsia="仿宋" w:cs="仿宋_GB2312"/>
                <w:color w:val="000000"/>
                <w:kern w:val="2"/>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总分</w:t>
            </w:r>
          </w:p>
        </w:tc>
        <w:tc>
          <w:tcPr>
            <w:tcW w:w="716" w:type="dxa"/>
            <w:tcBorders>
              <w:top w:val="nil"/>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p>
        </w:tc>
        <w:tc>
          <w:tcPr>
            <w:tcW w:w="873" w:type="dxa"/>
            <w:tcBorders>
              <w:top w:val="nil"/>
              <w:left w:val="nil"/>
              <w:bottom w:val="single" w:color="auto" w:sz="4" w:space="0"/>
              <w:right w:val="single" w:color="auto" w:sz="4" w:space="0"/>
            </w:tcBorders>
            <w:vAlign w:val="center"/>
          </w:tcPr>
          <w:p>
            <w:pPr>
              <w:adjustRightInd/>
              <w:snapToGrid/>
              <w:spacing w:after="0" w:line="240" w:lineRule="exact"/>
              <w:jc w:val="center"/>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lang w:val="en-US" w:eastAsia="zh-CN"/>
              </w:rPr>
              <w:t>99.34</w:t>
            </w:r>
          </w:p>
        </w:tc>
        <w:tc>
          <w:tcPr>
            <w:tcW w:w="1446" w:type="dxa"/>
            <w:tcBorders>
              <w:top w:val="nil"/>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bl>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pStyle w:val="2"/>
        <w:rPr>
          <w:rFonts w:hint="eastAsia"/>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hint="eastAsia" w:ascii="黑体" w:hAnsi="黑体" w:eastAsia="黑体" w:cs="黑体"/>
          <w:kern w:val="2"/>
          <w:sz w:val="32"/>
          <w:szCs w:val="32"/>
        </w:rPr>
      </w:pPr>
    </w:p>
    <w:p>
      <w:pPr>
        <w:adjustRightInd/>
        <w:snapToGrid/>
        <w:spacing w:after="0" w:line="600" w:lineRule="exact"/>
        <w:rPr>
          <w:rFonts w:ascii="黑体" w:hAnsi="黑体" w:eastAsia="黑体" w:cs="黑体"/>
          <w:kern w:val="2"/>
          <w:sz w:val="32"/>
          <w:szCs w:val="32"/>
        </w:rPr>
      </w:pPr>
      <w:r>
        <w:rPr>
          <w:rFonts w:hint="eastAsia" w:ascii="黑体" w:hAnsi="黑体" w:eastAsia="黑体" w:cs="黑体"/>
          <w:kern w:val="2"/>
          <w:sz w:val="32"/>
          <w:szCs w:val="32"/>
        </w:rPr>
        <w:t>附件3</w:t>
      </w:r>
    </w:p>
    <w:p>
      <w:pPr>
        <w:adjustRightInd/>
        <w:snapToGrid/>
        <w:spacing w:after="0" w:line="400" w:lineRule="exact"/>
        <w:rPr>
          <w:rFonts w:ascii="黑体" w:hAnsi="黑体" w:eastAsia="黑体" w:cs="黑体"/>
          <w:kern w:val="2"/>
          <w:sz w:val="32"/>
          <w:szCs w:val="32"/>
        </w:rPr>
      </w:pPr>
    </w:p>
    <w:p>
      <w:pPr>
        <w:adjustRightInd/>
        <w:snapToGrid/>
        <w:spacing w:after="0" w:line="600" w:lineRule="exact"/>
        <w:jc w:val="center"/>
        <w:rPr>
          <w:rFonts w:ascii="方正小标宋简体" w:hAnsi="方正小标宋简体" w:eastAsia="方正小标宋简体" w:cs="方正小标宋简体"/>
          <w:color w:val="000000"/>
          <w:kern w:val="2"/>
          <w:sz w:val="36"/>
          <w:szCs w:val="36"/>
        </w:rPr>
      </w:pPr>
      <w:r>
        <w:rPr>
          <w:rFonts w:hint="eastAsia" w:ascii="方正小标宋简体" w:hAnsi="方正小标宋简体" w:eastAsia="方正小标宋简体" w:cs="方正小标宋简体"/>
          <w:color w:val="000000"/>
          <w:kern w:val="2"/>
          <w:sz w:val="36"/>
          <w:szCs w:val="36"/>
        </w:rPr>
        <w:t>2024年度项目支出绩效自评表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68"/>
        <w:gridCol w:w="1423"/>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项目支</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hint="eastAsia" w:ascii="仿宋" w:hAnsi="仿宋" w:eastAsia="仿宋" w:cs="仿宋_GB2312"/>
                <w:color w:val="000000"/>
                <w:kern w:val="2"/>
                <w:sz w:val="20"/>
                <w:szCs w:val="20"/>
                <w:lang w:eastAsia="zh-CN"/>
              </w:rPr>
            </w:pPr>
            <w:r>
              <w:rPr>
                <w:rFonts w:hint="eastAsia" w:ascii="仿宋" w:hAnsi="仿宋" w:eastAsia="仿宋" w:cs="仿宋_GB2312"/>
                <w:color w:val="000000"/>
                <w:kern w:val="2"/>
                <w:sz w:val="20"/>
                <w:szCs w:val="20"/>
                <w:lang w:eastAsia="zh-CN"/>
              </w:rPr>
              <w:t>其他司法业务经费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134" w:type="dxa"/>
            <w:tcBorders>
              <w:top w:val="single" w:color="auto" w:sz="4" w:space="0"/>
              <w:left w:val="nil"/>
              <w:bottom w:val="single" w:color="auto" w:sz="4" w:space="0"/>
              <w:right w:val="single" w:color="000000"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hint="eastAsia" w:ascii="仿宋" w:hAnsi="仿宋" w:eastAsia="仿宋" w:cs="仿宋_GB2312"/>
                <w:color w:val="000000"/>
                <w:kern w:val="2"/>
                <w:sz w:val="20"/>
                <w:szCs w:val="20"/>
                <w:lang w:eastAsia="zh-CN"/>
              </w:rPr>
            </w:pPr>
            <w:r>
              <w:rPr>
                <w:rFonts w:hint="eastAsia" w:ascii="仿宋" w:hAnsi="仿宋" w:eastAsia="仿宋" w:cs="仿宋_GB2312"/>
                <w:color w:val="000000"/>
                <w:kern w:val="2"/>
                <w:sz w:val="20"/>
                <w:szCs w:val="20"/>
                <w:lang w:eastAsia="zh-CN"/>
              </w:rPr>
              <w:t>岳阳市司法局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项目资金</w:t>
            </w:r>
            <w:r>
              <w:rPr>
                <w:rFonts w:hint="eastAsia" w:ascii="仿宋" w:hAnsi="仿宋" w:eastAsia="仿宋" w:cs="仿宋_GB2312"/>
                <w:color w:val="000000"/>
                <w:kern w:val="2"/>
                <w:sz w:val="20"/>
                <w:szCs w:val="20"/>
              </w:rPr>
              <w:br w:type="textWrapping"/>
            </w:r>
            <w:r>
              <w:rPr>
                <w:rFonts w:hint="eastAsia" w:ascii="仿宋" w:hAnsi="仿宋" w:eastAsia="仿宋" w:cs="仿宋_GB2312"/>
                <w:color w:val="000000"/>
                <w:kern w:val="2"/>
                <w:sz w:val="20"/>
                <w:szCs w:val="20"/>
              </w:rPr>
              <w:t>（万元）</w:t>
            </w:r>
          </w:p>
        </w:tc>
        <w:tc>
          <w:tcPr>
            <w:tcW w:w="2160" w:type="dxa"/>
            <w:gridSpan w:val="2"/>
            <w:tcBorders>
              <w:top w:val="nil"/>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c>
          <w:tcPr>
            <w:tcW w:w="122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年初</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预算数</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全年</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预算数</w:t>
            </w:r>
          </w:p>
        </w:tc>
        <w:tc>
          <w:tcPr>
            <w:tcW w:w="1134" w:type="dxa"/>
            <w:tcBorders>
              <w:top w:val="nil"/>
              <w:left w:val="nil"/>
              <w:bottom w:val="single" w:color="auto" w:sz="4" w:space="0"/>
              <w:right w:val="single" w:color="auto" w:sz="4" w:space="0"/>
            </w:tcBorders>
            <w:vAlign w:val="center"/>
          </w:tcPr>
          <w:p>
            <w:pPr>
              <w:widowControl w:val="0"/>
              <w:adjustRightInd/>
              <w:snapToGrid/>
              <w:spacing w:after="0" w:line="2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全年</w:t>
            </w:r>
          </w:p>
          <w:p>
            <w:pPr>
              <w:widowControl w:val="0"/>
              <w:adjustRightInd/>
              <w:snapToGrid/>
              <w:spacing w:after="0" w:line="2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执行数</w:t>
            </w:r>
          </w:p>
        </w:tc>
        <w:tc>
          <w:tcPr>
            <w:tcW w:w="828" w:type="dxa"/>
            <w:tcBorders>
              <w:top w:val="nil"/>
              <w:left w:val="nil"/>
              <w:bottom w:val="single" w:color="auto" w:sz="4" w:space="0"/>
              <w:right w:val="single" w:color="auto" w:sz="4" w:space="0"/>
            </w:tcBorders>
            <w:vAlign w:val="center"/>
          </w:tcPr>
          <w:p>
            <w:pPr>
              <w:widowControl w:val="0"/>
              <w:adjustRightInd/>
              <w:snapToGrid/>
              <w:spacing w:after="0" w:line="2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分值</w:t>
            </w:r>
          </w:p>
        </w:tc>
        <w:tc>
          <w:tcPr>
            <w:tcW w:w="868" w:type="dxa"/>
            <w:tcBorders>
              <w:top w:val="nil"/>
              <w:left w:val="nil"/>
              <w:bottom w:val="single" w:color="auto" w:sz="4" w:space="0"/>
              <w:right w:val="single" w:color="auto" w:sz="4" w:space="0"/>
            </w:tcBorders>
            <w:vAlign w:val="center"/>
          </w:tcPr>
          <w:p>
            <w:pPr>
              <w:widowControl w:val="0"/>
              <w:adjustRightInd/>
              <w:snapToGrid/>
              <w:spacing w:after="0" w:line="2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执行率</w:t>
            </w:r>
          </w:p>
        </w:tc>
        <w:tc>
          <w:tcPr>
            <w:tcW w:w="1423" w:type="dxa"/>
            <w:tcBorders>
              <w:top w:val="nil"/>
              <w:left w:val="nil"/>
              <w:bottom w:val="single" w:color="auto" w:sz="4" w:space="0"/>
              <w:right w:val="single" w:color="auto" w:sz="4" w:space="0"/>
            </w:tcBorders>
            <w:vAlign w:val="center"/>
          </w:tcPr>
          <w:p>
            <w:pPr>
              <w:widowControl w:val="0"/>
              <w:adjustRightInd/>
              <w:snapToGrid/>
              <w:spacing w:after="0" w:line="260" w:lineRule="exact"/>
              <w:jc w:val="center"/>
              <w:rPr>
                <w:rFonts w:ascii="仿宋" w:hAnsi="仿宋" w:eastAsia="仿宋" w:cs="仿宋_GB2312"/>
                <w:kern w:val="2"/>
                <w:sz w:val="20"/>
                <w:szCs w:val="20"/>
              </w:rPr>
            </w:pPr>
            <w:r>
              <w:rPr>
                <w:rFonts w:hint="eastAsia" w:ascii="仿宋" w:hAnsi="仿宋" w:eastAsia="仿宋" w:cs="仿宋_GB2312"/>
                <w:kern w:val="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p>
        </w:tc>
        <w:tc>
          <w:tcPr>
            <w:tcW w:w="2160" w:type="dxa"/>
            <w:gridSpan w:val="2"/>
            <w:tcBorders>
              <w:top w:val="nil"/>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年度资金总额　</w:t>
            </w:r>
          </w:p>
        </w:tc>
        <w:tc>
          <w:tcPr>
            <w:tcW w:w="1224" w:type="dxa"/>
            <w:tcBorders>
              <w:top w:val="nil"/>
              <w:left w:val="nil"/>
              <w:bottom w:val="single" w:color="auto" w:sz="4" w:space="0"/>
              <w:right w:val="single" w:color="auto" w:sz="4" w:space="0"/>
            </w:tcBorders>
            <w:vAlign w:val="center"/>
          </w:tcPr>
          <w:p>
            <w:pPr>
              <w:adjustRightInd/>
              <w:snapToGrid/>
              <w:spacing w:after="0" w:line="260" w:lineRule="exact"/>
              <w:jc w:val="center"/>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lang w:val="en-US" w:eastAsia="zh-CN"/>
              </w:rPr>
              <w:t>91</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lang w:val="en-US" w:eastAsia="zh-CN"/>
              </w:rPr>
              <w:t>91</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lang w:val="en-US" w:eastAsia="zh-CN"/>
              </w:rPr>
              <w:t>91</w:t>
            </w:r>
          </w:p>
        </w:tc>
        <w:tc>
          <w:tcPr>
            <w:tcW w:w="82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10</w:t>
            </w:r>
          </w:p>
        </w:tc>
        <w:tc>
          <w:tcPr>
            <w:tcW w:w="86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100%</w:t>
            </w:r>
          </w:p>
        </w:tc>
        <w:tc>
          <w:tcPr>
            <w:tcW w:w="1423"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p>
        </w:tc>
        <w:tc>
          <w:tcPr>
            <w:tcW w:w="2160" w:type="dxa"/>
            <w:gridSpan w:val="2"/>
            <w:tcBorders>
              <w:top w:val="nil"/>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其中：当年财政拨款　</w:t>
            </w:r>
          </w:p>
        </w:tc>
        <w:tc>
          <w:tcPr>
            <w:tcW w:w="1224" w:type="dxa"/>
            <w:tcBorders>
              <w:top w:val="nil"/>
              <w:left w:val="nil"/>
              <w:bottom w:val="single" w:color="auto" w:sz="4" w:space="0"/>
              <w:right w:val="single" w:color="auto" w:sz="4" w:space="0"/>
            </w:tcBorders>
            <w:vAlign w:val="center"/>
          </w:tcPr>
          <w:p>
            <w:pPr>
              <w:adjustRightInd/>
              <w:snapToGrid/>
              <w:spacing w:after="0" w:line="260" w:lineRule="exact"/>
              <w:jc w:val="center"/>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lang w:val="en-US" w:eastAsia="zh-CN"/>
              </w:rPr>
              <w:t>91</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lang w:val="en-US" w:eastAsia="zh-CN"/>
              </w:rPr>
              <w:t>91</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lang w:val="en-US" w:eastAsia="zh-CN"/>
              </w:rPr>
              <w:t>91</w:t>
            </w:r>
          </w:p>
        </w:tc>
        <w:tc>
          <w:tcPr>
            <w:tcW w:w="828" w:type="dxa"/>
            <w:tcBorders>
              <w:top w:val="nil"/>
              <w:left w:val="nil"/>
              <w:bottom w:val="single" w:color="auto" w:sz="4" w:space="0"/>
              <w:right w:val="single" w:color="auto" w:sz="4" w:space="0"/>
            </w:tcBorders>
            <w:vAlign w:val="center"/>
          </w:tcPr>
          <w:p>
            <w:pPr>
              <w:adjustRightInd/>
              <w:snapToGrid/>
              <w:spacing w:after="0" w:line="260" w:lineRule="exact"/>
              <w:jc w:val="center"/>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lang w:val="en-US" w:eastAsia="zh-CN"/>
              </w:rPr>
              <w:t>10</w:t>
            </w:r>
          </w:p>
        </w:tc>
        <w:tc>
          <w:tcPr>
            <w:tcW w:w="86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100%</w:t>
            </w:r>
          </w:p>
        </w:tc>
        <w:tc>
          <w:tcPr>
            <w:tcW w:w="1423" w:type="dxa"/>
            <w:tcBorders>
              <w:top w:val="nil"/>
              <w:left w:val="nil"/>
              <w:bottom w:val="single" w:color="auto" w:sz="4" w:space="0"/>
              <w:right w:val="single" w:color="auto" w:sz="4" w:space="0"/>
            </w:tcBorders>
            <w:vAlign w:val="center"/>
          </w:tcPr>
          <w:p>
            <w:pPr>
              <w:adjustRightInd/>
              <w:snapToGrid/>
              <w:spacing w:after="0" w:line="260" w:lineRule="exact"/>
              <w:jc w:val="center"/>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p>
        </w:tc>
        <w:tc>
          <w:tcPr>
            <w:tcW w:w="2160" w:type="dxa"/>
            <w:gridSpan w:val="2"/>
            <w:tcBorders>
              <w:top w:val="nil"/>
              <w:left w:val="nil"/>
              <w:bottom w:val="single" w:color="auto" w:sz="4" w:space="0"/>
              <w:right w:val="single" w:color="auto" w:sz="4" w:space="0"/>
            </w:tcBorders>
            <w:vAlign w:val="center"/>
          </w:tcPr>
          <w:p>
            <w:pPr>
              <w:adjustRightInd/>
              <w:snapToGrid/>
              <w:spacing w:after="0" w:line="260" w:lineRule="exact"/>
              <w:ind w:firstLine="600" w:firstLineChars="300"/>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上年结转资金　</w:t>
            </w:r>
          </w:p>
        </w:tc>
        <w:tc>
          <w:tcPr>
            <w:tcW w:w="122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82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86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423"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p>
        </w:tc>
        <w:tc>
          <w:tcPr>
            <w:tcW w:w="2160" w:type="dxa"/>
            <w:gridSpan w:val="2"/>
            <w:tcBorders>
              <w:top w:val="nil"/>
              <w:left w:val="nil"/>
              <w:bottom w:val="single" w:color="auto" w:sz="4" w:space="0"/>
              <w:right w:val="single" w:color="auto" w:sz="4" w:space="0"/>
            </w:tcBorders>
            <w:vAlign w:val="center"/>
          </w:tcPr>
          <w:p>
            <w:pPr>
              <w:adjustRightInd/>
              <w:snapToGrid/>
              <w:spacing w:after="0" w:line="260" w:lineRule="exact"/>
              <w:ind w:firstLine="600" w:firstLineChars="300"/>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其他资金</w:t>
            </w:r>
          </w:p>
        </w:tc>
        <w:tc>
          <w:tcPr>
            <w:tcW w:w="122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82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86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423"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adjustRightInd/>
              <w:snapToGrid/>
              <w:spacing w:after="0" w:line="26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任务1：开展法治宣传，努力营造浓厚法治氛围。</w:t>
            </w:r>
          </w:p>
          <w:p>
            <w:pPr>
              <w:adjustRightInd/>
              <w:snapToGrid/>
              <w:spacing w:after="0" w:line="26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任务2：积极服务政府依法行政。</w:t>
            </w:r>
          </w:p>
          <w:p>
            <w:pPr>
              <w:adjustRightInd/>
              <w:snapToGrid/>
              <w:spacing w:after="0" w:line="26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任务3：积极服务全市经济发展。</w:t>
            </w:r>
          </w:p>
          <w:p>
            <w:pPr>
              <w:adjustRightInd/>
              <w:snapToGrid/>
              <w:spacing w:after="0" w:line="26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任务4、积极服务民生实事工程。</w:t>
            </w:r>
          </w:p>
          <w:p>
            <w:pPr>
              <w:adjustRightInd/>
              <w:snapToGrid/>
              <w:spacing w:after="0" w:line="260" w:lineRule="exact"/>
              <w:jc w:val="lef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任务5、创新调解方式，全力推进社会矛盾化解。</w:t>
            </w:r>
          </w:p>
          <w:p>
            <w:pPr>
              <w:adjustRightInd/>
              <w:snapToGrid/>
              <w:spacing w:after="0" w:line="260" w:lineRule="exact"/>
              <w:jc w:val="lef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任务6、开展法律援助等公共法律服务。</w:t>
            </w:r>
          </w:p>
        </w:tc>
        <w:tc>
          <w:tcPr>
            <w:tcW w:w="4253" w:type="dxa"/>
            <w:gridSpan w:val="4"/>
            <w:tcBorders>
              <w:top w:val="single" w:color="auto" w:sz="4" w:space="0"/>
              <w:left w:val="nil"/>
              <w:bottom w:val="single" w:color="auto" w:sz="4" w:space="0"/>
              <w:right w:val="single" w:color="auto" w:sz="4" w:space="0"/>
            </w:tcBorders>
            <w:vAlign w:val="center"/>
          </w:tcPr>
          <w:p>
            <w:pPr>
              <w:adjustRightInd/>
              <w:snapToGrid/>
              <w:spacing w:after="0" w:line="260" w:lineRule="exac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1、组织开展宪法宣传系列活动，通过集中宣传和线上线下宣传等多种形式，全市开展法律宣传活动。</w:t>
            </w:r>
          </w:p>
          <w:p>
            <w:pPr>
              <w:adjustRightInd/>
              <w:snapToGrid/>
              <w:spacing w:after="0" w:line="260" w:lineRule="exac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2、参与起草、审查地方性法规草案和政府规章，调研论证项目，深度关注多个社会热点、难点课题。</w:t>
            </w:r>
          </w:p>
          <w:p>
            <w:pPr>
              <w:adjustRightInd/>
              <w:snapToGrid/>
              <w:spacing w:after="0" w:line="260" w:lineRule="exac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3、进一步推进严格规范公正文明执法。</w:t>
            </w:r>
          </w:p>
          <w:p>
            <w:pPr>
              <w:adjustRightInd/>
              <w:snapToGrid/>
              <w:spacing w:after="0" w:line="260" w:lineRule="exac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4、临湘市、湘阴县、平江县、华容县、岳阳县、岳阳楼区、经开区建立了法治文化公园、广场、长廊。</w:t>
            </w:r>
          </w:p>
          <w:p>
            <w:pPr>
              <w:adjustRightInd/>
              <w:snapToGrid/>
              <w:spacing w:after="0" w:line="260" w:lineRule="exact"/>
              <w:rPr>
                <w:rFonts w:hint="eastAsia" w:ascii="仿宋" w:hAnsi="仿宋" w:eastAsia="仿宋" w:cs="仿宋_GB2312"/>
                <w:color w:val="000000"/>
                <w:kern w:val="2"/>
                <w:sz w:val="20"/>
                <w:szCs w:val="20"/>
              </w:rPr>
            </w:pPr>
            <w:r>
              <w:rPr>
                <w:rFonts w:hint="eastAsia" w:ascii="仿宋" w:hAnsi="仿宋" w:eastAsia="仿宋" w:cs="仿宋_GB2312"/>
                <w:color w:val="000000"/>
                <w:kern w:val="2"/>
                <w:sz w:val="20"/>
                <w:szCs w:val="20"/>
              </w:rPr>
              <w:t>5、调解矛盾纠纷，成功化解纠纷，调解成功率达90%以上，有效预防化解社会矛盾纠纷。</w:t>
            </w:r>
          </w:p>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6、受理法律援助案件，省市重点民生实事法律援助项目完成。受理12348公共法律服务热线咨询服务，现场接待来访咨询。</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绩</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效</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指</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标</w:t>
            </w:r>
          </w:p>
        </w:tc>
        <w:tc>
          <w:tcPr>
            <w:tcW w:w="1080"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一级指标</w:t>
            </w:r>
          </w:p>
        </w:tc>
        <w:tc>
          <w:tcPr>
            <w:tcW w:w="1080"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二级指标</w:t>
            </w:r>
          </w:p>
        </w:tc>
        <w:tc>
          <w:tcPr>
            <w:tcW w:w="122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三级指标</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年度</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指标值</w:t>
            </w:r>
          </w:p>
        </w:tc>
        <w:tc>
          <w:tcPr>
            <w:tcW w:w="1134"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实际</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完成值</w:t>
            </w:r>
          </w:p>
        </w:tc>
        <w:tc>
          <w:tcPr>
            <w:tcW w:w="82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分值</w:t>
            </w:r>
          </w:p>
        </w:tc>
        <w:tc>
          <w:tcPr>
            <w:tcW w:w="86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得分</w:t>
            </w:r>
          </w:p>
        </w:tc>
        <w:tc>
          <w:tcPr>
            <w:tcW w:w="1423" w:type="dxa"/>
            <w:tcBorders>
              <w:top w:val="nil"/>
              <w:left w:val="nil"/>
              <w:bottom w:val="single" w:color="auto" w:sz="4" w:space="0"/>
              <w:right w:val="single" w:color="auto" w:sz="4" w:space="0"/>
            </w:tcBorders>
            <w:vAlign w:val="center"/>
          </w:tcPr>
          <w:p>
            <w:pPr>
              <w:adjustRightInd/>
              <w:snapToGrid/>
              <w:spacing w:after="0" w:line="260" w:lineRule="exact"/>
              <w:jc w:val="both"/>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产出指标</w:t>
            </w:r>
          </w:p>
          <w:p>
            <w:pPr>
              <w:adjustRightInd/>
              <w:snapToGrid/>
              <w:spacing w:after="0" w:line="260" w:lineRule="exact"/>
              <w:jc w:val="center"/>
              <w:rPr>
                <w:rFonts w:ascii="仿宋" w:hAnsi="仿宋" w:eastAsia="仿宋" w:cs="仿宋_GB2312"/>
                <w:color w:val="000000"/>
                <w:kern w:val="2"/>
                <w:sz w:val="20"/>
                <w:szCs w:val="20"/>
              </w:rPr>
            </w:pPr>
          </w:p>
          <w:p>
            <w:pPr>
              <w:adjustRightInd/>
              <w:snapToGrid/>
              <w:spacing w:after="0" w:line="260" w:lineRule="exact"/>
              <w:jc w:val="center"/>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数量指标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社区矫正对象无脱管漏管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脱管漏管0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脱管漏管0</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371"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质量指标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社会矛盾有效化解</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16"/>
                <w:szCs w:val="16"/>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15"/>
                <w:szCs w:val="15"/>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时效指标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及时回应法援案件诉求</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16"/>
                <w:szCs w:val="16"/>
              </w:rPr>
            </w:pPr>
            <w:r>
              <w:rPr>
                <w:rFonts w:hint="default" w:ascii="仿宋_GB2312" w:hAnsi="宋体" w:eastAsia="仿宋_GB2312" w:cs="仿宋_GB2312"/>
                <w:i w:val="0"/>
                <w:iCs w:val="0"/>
                <w:color w:val="000000"/>
                <w:kern w:val="0"/>
                <w:sz w:val="18"/>
                <w:szCs w:val="18"/>
                <w:u w:val="none"/>
                <w:lang w:val="en-US" w:eastAsia="zh-CN" w:bidi="ar"/>
              </w:rPr>
              <w:t>法律诉求回应率100%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100%</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成本指标</w:t>
            </w:r>
          </w:p>
        </w:tc>
        <w:tc>
          <w:tcPr>
            <w:tcW w:w="1224"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经济成本</w:t>
            </w:r>
          </w:p>
        </w:tc>
        <w:tc>
          <w:tcPr>
            <w:tcW w:w="1134"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15"/>
                <w:szCs w:val="15"/>
              </w:rPr>
            </w:pPr>
            <w:r>
              <w:rPr>
                <w:rFonts w:hint="eastAsia" w:ascii="仿宋" w:hAnsi="仿宋" w:eastAsia="仿宋" w:cs="仿宋_GB2312"/>
                <w:color w:val="000000"/>
                <w:kern w:val="2"/>
                <w:sz w:val="15"/>
                <w:szCs w:val="15"/>
              </w:rPr>
              <w:t>预算控制数</w:t>
            </w:r>
          </w:p>
        </w:tc>
        <w:tc>
          <w:tcPr>
            <w:tcW w:w="1134" w:type="dxa"/>
            <w:tcBorders>
              <w:top w:val="single" w:color="auto" w:sz="4" w:space="0"/>
              <w:left w:val="nil"/>
              <w:bottom w:val="single" w:color="auto" w:sz="4" w:space="0"/>
              <w:right w:val="single" w:color="auto" w:sz="4" w:space="0"/>
            </w:tcBorders>
            <w:vAlign w:val="center"/>
          </w:tcPr>
          <w:p>
            <w:pPr>
              <w:adjustRightInd/>
              <w:snapToGrid/>
              <w:spacing w:after="0" w:line="240" w:lineRule="exact"/>
              <w:rPr>
                <w:rFonts w:ascii="仿宋" w:hAnsi="仿宋" w:eastAsia="仿宋" w:cs="仿宋_GB2312"/>
                <w:color w:val="000000"/>
                <w:kern w:val="2"/>
                <w:sz w:val="15"/>
                <w:szCs w:val="15"/>
              </w:rPr>
            </w:pPr>
            <w:r>
              <w:rPr>
                <w:rFonts w:hint="eastAsia" w:ascii="仿宋" w:hAnsi="仿宋" w:eastAsia="仿宋" w:cs="仿宋_GB2312"/>
                <w:color w:val="000000"/>
                <w:kern w:val="2"/>
                <w:sz w:val="15"/>
                <w:szCs w:val="15"/>
              </w:rPr>
              <w:t>≤预算控制数</w:t>
            </w:r>
          </w:p>
        </w:tc>
        <w:tc>
          <w:tcPr>
            <w:tcW w:w="828" w:type="dxa"/>
            <w:tcBorders>
              <w:top w:val="single" w:color="auto" w:sz="4" w:space="0"/>
              <w:left w:val="nil"/>
              <w:bottom w:val="single" w:color="auto" w:sz="4" w:space="0"/>
              <w:right w:val="single" w:color="auto" w:sz="4" w:space="0"/>
            </w:tcBorders>
            <w:vAlign w:val="center"/>
          </w:tcPr>
          <w:p>
            <w:pPr>
              <w:adjustRightInd/>
              <w:snapToGrid/>
              <w:spacing w:after="0" w:line="24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10</w:t>
            </w:r>
          </w:p>
        </w:tc>
        <w:tc>
          <w:tcPr>
            <w:tcW w:w="868" w:type="dxa"/>
            <w:tcBorders>
              <w:top w:val="single" w:color="auto" w:sz="4" w:space="0"/>
              <w:left w:val="nil"/>
              <w:bottom w:val="single" w:color="auto" w:sz="4" w:space="0"/>
              <w:right w:val="single" w:color="auto" w:sz="4" w:space="0"/>
            </w:tcBorders>
            <w:vAlign w:val="center"/>
          </w:tcPr>
          <w:p>
            <w:pPr>
              <w:adjustRightInd/>
              <w:snapToGrid/>
              <w:spacing w:after="0" w:line="240" w:lineRule="exact"/>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rPr>
              <w:t>　</w:t>
            </w:r>
            <w:r>
              <w:rPr>
                <w:rFonts w:hint="eastAsia" w:ascii="仿宋" w:hAnsi="仿宋" w:eastAsia="仿宋" w:cs="仿宋_GB2312"/>
                <w:color w:val="000000"/>
                <w:kern w:val="2"/>
                <w:sz w:val="20"/>
                <w:szCs w:val="20"/>
                <w:lang w:val="en-US" w:eastAsia="zh-CN"/>
              </w:rPr>
              <w:t>20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restart"/>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效益指标</w:t>
            </w:r>
          </w:p>
          <w:p>
            <w:pPr>
              <w:adjustRightInd/>
              <w:snapToGrid/>
              <w:spacing w:after="0" w:line="260" w:lineRule="exact"/>
              <w:rPr>
                <w:rFonts w:ascii="仿宋" w:hAnsi="仿宋" w:eastAsia="仿宋" w:cs="仿宋_GB2312"/>
                <w:color w:val="000000"/>
                <w:kern w:val="2"/>
                <w:sz w:val="20"/>
                <w:szCs w:val="20"/>
              </w:rPr>
            </w:pPr>
          </w:p>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经济效</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益指标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化解社会矛盾</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695"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社会效</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益指标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化解社会矛盾</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生态效</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益指标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群众法律意识提升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群众法律意识提升率稳定增长</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稳定增长</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p>
        </w:tc>
        <w:tc>
          <w:tcPr>
            <w:tcW w:w="1080" w:type="dxa"/>
            <w:vMerge w:val="continue"/>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eastAsia" w:ascii="仿宋" w:hAnsi="仿宋" w:eastAsia="仿宋" w:cs="仿宋"/>
                <w:i w:val="0"/>
                <w:iCs w:val="0"/>
                <w:color w:val="000000"/>
                <w:kern w:val="0"/>
                <w:sz w:val="18"/>
                <w:szCs w:val="18"/>
                <w:u w:val="none"/>
                <w:lang w:val="en-US" w:eastAsia="zh-CN" w:bidi="ar"/>
              </w:rPr>
              <w:t>化解社会矛盾</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single" w:color="auto" w:sz="4" w:space="0"/>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trHeight w:val="602" w:hRule="atLeast"/>
          <w:jc w:val="center"/>
        </w:trPr>
        <w:tc>
          <w:tcPr>
            <w:tcW w:w="1080" w:type="dxa"/>
            <w:vMerge w:val="continue"/>
            <w:tcBorders>
              <w:left w:val="single" w:color="auto" w:sz="4" w:space="0"/>
              <w:right w:val="single" w:color="auto" w:sz="4" w:space="0"/>
            </w:tcBorders>
            <w:vAlign w:val="center"/>
          </w:tcPr>
          <w:p>
            <w:pPr>
              <w:widowControl w:val="0"/>
              <w:adjustRightInd/>
              <w:snapToGrid/>
              <w:spacing w:after="0" w:line="260" w:lineRule="exact"/>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满意度</w:t>
            </w:r>
          </w:p>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指标</w:t>
            </w:r>
          </w:p>
          <w:p>
            <w:pPr>
              <w:adjustRightInd/>
              <w:snapToGrid/>
              <w:spacing w:after="0" w:line="260" w:lineRule="exact"/>
              <w:jc w:val="center"/>
              <w:rPr>
                <w:rFonts w:ascii="仿宋" w:hAnsi="仿宋" w:eastAsia="仿宋" w:cs="仿宋_GB2312"/>
                <w:color w:val="000000"/>
                <w:kern w:val="2"/>
                <w:sz w:val="20"/>
                <w:szCs w:val="20"/>
              </w:rPr>
            </w:pPr>
          </w:p>
        </w:tc>
        <w:tc>
          <w:tcPr>
            <w:tcW w:w="1080" w:type="dxa"/>
            <w:tcBorders>
              <w:top w:val="single" w:color="auto" w:sz="4" w:space="0"/>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16"/>
                <w:szCs w:val="16"/>
              </w:rPr>
            </w:pPr>
            <w:r>
              <w:rPr>
                <w:rFonts w:hint="eastAsia" w:ascii="仿宋" w:hAnsi="仿宋" w:eastAsia="仿宋" w:cs="仿宋_GB2312"/>
                <w:color w:val="000000"/>
                <w:kern w:val="2"/>
                <w:sz w:val="16"/>
                <w:szCs w:val="16"/>
              </w:rPr>
              <w:t>服务对象满意度指标</w:t>
            </w:r>
          </w:p>
        </w:tc>
        <w:tc>
          <w:tcPr>
            <w:tcW w:w="12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16"/>
                <w:szCs w:val="16"/>
              </w:rPr>
            </w:pPr>
            <w:r>
              <w:rPr>
                <w:rFonts w:hint="eastAsia" w:ascii="仿宋" w:hAnsi="仿宋" w:eastAsia="仿宋" w:cs="仿宋"/>
                <w:i w:val="0"/>
                <w:iCs w:val="0"/>
                <w:color w:val="000000"/>
                <w:kern w:val="0"/>
                <w:sz w:val="18"/>
                <w:szCs w:val="18"/>
                <w:u w:val="none"/>
                <w:lang w:val="en-US" w:eastAsia="zh-CN" w:bidi="ar"/>
              </w:rPr>
              <w:t>服务对象满意度达到95%以上</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受援人满意率100%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100%</w:t>
            </w:r>
          </w:p>
        </w:tc>
        <w:tc>
          <w:tcPr>
            <w:tcW w:w="8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_GB2312"/>
                <w:color w:val="000000"/>
                <w:kern w:val="2"/>
                <w:sz w:val="20"/>
                <w:szCs w:val="20"/>
              </w:rPr>
            </w:pPr>
            <w:r>
              <w:rPr>
                <w:rFonts w:hint="default" w:ascii="仿宋_GB2312" w:hAnsi="宋体" w:eastAsia="仿宋_GB2312" w:cs="仿宋_GB2312"/>
                <w:i w:val="0"/>
                <w:iCs w:val="0"/>
                <w:color w:val="000000"/>
                <w:kern w:val="0"/>
                <w:sz w:val="18"/>
                <w:szCs w:val="18"/>
                <w:u w:val="none"/>
                <w:lang w:val="en-US" w:eastAsia="zh-CN" w:bidi="ar"/>
              </w:rPr>
              <w:t>酌情扣分</w:t>
            </w:r>
          </w:p>
        </w:tc>
        <w:tc>
          <w:tcPr>
            <w:tcW w:w="8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_GB2312"/>
                <w:color w:val="000000"/>
                <w:kern w:val="2"/>
                <w:sz w:val="20"/>
                <w:szCs w:val="20"/>
                <w:lang w:val="en-US"/>
              </w:rPr>
            </w:pPr>
            <w:r>
              <w:rPr>
                <w:rFonts w:hint="eastAsia" w:ascii="仿宋_GB2312" w:hAnsi="宋体" w:eastAsia="仿宋_GB2312" w:cs="仿宋_GB2312"/>
                <w:i w:val="0"/>
                <w:iCs w:val="0"/>
                <w:color w:val="000000"/>
                <w:kern w:val="0"/>
                <w:sz w:val="18"/>
                <w:szCs w:val="18"/>
                <w:u w:val="none"/>
                <w:lang w:val="en-US" w:eastAsia="zh-CN" w:bidi="ar"/>
              </w:rPr>
              <w:t>10</w:t>
            </w:r>
          </w:p>
        </w:tc>
        <w:tc>
          <w:tcPr>
            <w:tcW w:w="1423" w:type="dxa"/>
            <w:tcBorders>
              <w:top w:val="single" w:color="auto" w:sz="4" w:space="0"/>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总分</w:t>
            </w:r>
          </w:p>
        </w:tc>
        <w:tc>
          <w:tcPr>
            <w:tcW w:w="828" w:type="dxa"/>
            <w:tcBorders>
              <w:top w:val="nil"/>
              <w:left w:val="nil"/>
              <w:bottom w:val="single" w:color="auto" w:sz="4" w:space="0"/>
              <w:right w:val="single" w:color="auto" w:sz="4" w:space="0"/>
            </w:tcBorders>
            <w:vAlign w:val="center"/>
          </w:tcPr>
          <w:p>
            <w:pPr>
              <w:adjustRightInd/>
              <w:snapToGrid/>
              <w:spacing w:after="0" w:line="260" w:lineRule="exact"/>
              <w:jc w:val="center"/>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100</w:t>
            </w:r>
          </w:p>
        </w:tc>
        <w:tc>
          <w:tcPr>
            <w:tcW w:w="868" w:type="dxa"/>
            <w:tcBorders>
              <w:top w:val="nil"/>
              <w:left w:val="nil"/>
              <w:bottom w:val="single" w:color="auto" w:sz="4" w:space="0"/>
              <w:right w:val="single" w:color="auto" w:sz="4" w:space="0"/>
            </w:tcBorders>
            <w:vAlign w:val="center"/>
          </w:tcPr>
          <w:p>
            <w:pPr>
              <w:adjustRightInd/>
              <w:snapToGrid/>
              <w:spacing w:after="0" w:line="260" w:lineRule="exact"/>
              <w:jc w:val="center"/>
              <w:rPr>
                <w:rFonts w:hint="default" w:ascii="仿宋" w:hAnsi="仿宋" w:eastAsia="仿宋" w:cs="仿宋_GB2312"/>
                <w:color w:val="000000"/>
                <w:kern w:val="2"/>
                <w:sz w:val="20"/>
                <w:szCs w:val="20"/>
                <w:lang w:val="en-US" w:eastAsia="zh-CN"/>
              </w:rPr>
            </w:pPr>
            <w:r>
              <w:rPr>
                <w:rFonts w:hint="eastAsia" w:ascii="仿宋" w:hAnsi="仿宋" w:eastAsia="仿宋" w:cs="仿宋_GB2312"/>
                <w:color w:val="000000"/>
                <w:kern w:val="2"/>
                <w:sz w:val="20"/>
                <w:szCs w:val="20"/>
                <w:lang w:val="en-US" w:eastAsia="zh-CN"/>
              </w:rPr>
              <w:t>100</w:t>
            </w:r>
          </w:p>
        </w:tc>
        <w:tc>
          <w:tcPr>
            <w:tcW w:w="1423" w:type="dxa"/>
            <w:tcBorders>
              <w:top w:val="nil"/>
              <w:left w:val="nil"/>
              <w:bottom w:val="single" w:color="auto" w:sz="4" w:space="0"/>
              <w:right w:val="single" w:color="auto" w:sz="4" w:space="0"/>
            </w:tcBorders>
            <w:vAlign w:val="center"/>
          </w:tcPr>
          <w:p>
            <w:pPr>
              <w:adjustRightInd/>
              <w:snapToGrid/>
              <w:spacing w:after="0" w:line="260" w:lineRule="exact"/>
              <w:rPr>
                <w:rFonts w:ascii="仿宋" w:hAnsi="仿宋" w:eastAsia="仿宋" w:cs="仿宋_GB2312"/>
                <w:color w:val="000000"/>
                <w:kern w:val="2"/>
                <w:sz w:val="20"/>
                <w:szCs w:val="20"/>
              </w:rPr>
            </w:pPr>
            <w:r>
              <w:rPr>
                <w:rFonts w:hint="eastAsia" w:ascii="仿宋" w:hAnsi="仿宋" w:eastAsia="仿宋" w:cs="仿宋_GB2312"/>
                <w:color w:val="000000"/>
                <w:kern w:val="2"/>
                <w:sz w:val="20"/>
                <w:szCs w:val="20"/>
              </w:rPr>
              <w:t>　</w:t>
            </w:r>
          </w:p>
        </w:tc>
      </w:tr>
    </w:tbl>
    <w:p>
      <w:pPr>
        <w:spacing w:line="220" w:lineRule="atLeast"/>
        <w:rPr>
          <w:rFonts w:ascii="仿宋" w:hAnsi="仿宋" w:eastAsia="仿宋" w:cs="Times New Roman"/>
          <w:kern w:val="2"/>
        </w:rPr>
      </w:pPr>
    </w:p>
    <w:p>
      <w:pPr>
        <w:spacing w:line="600" w:lineRule="exact"/>
        <w:rPr>
          <w:rFonts w:eastAsia="仿宋_GB2312"/>
          <w:kern w:val="0"/>
          <w:sz w:val="32"/>
          <w:szCs w:val="32"/>
        </w:rPr>
      </w:pPr>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79F5260"/>
    <w:rsid w:val="082045CE"/>
    <w:rsid w:val="0BCB6C89"/>
    <w:rsid w:val="0DF3595F"/>
    <w:rsid w:val="14040B30"/>
    <w:rsid w:val="14EC40AC"/>
    <w:rsid w:val="1AF3438E"/>
    <w:rsid w:val="266D725C"/>
    <w:rsid w:val="2A3F463B"/>
    <w:rsid w:val="2C156A3E"/>
    <w:rsid w:val="2D8242A2"/>
    <w:rsid w:val="2D9F694B"/>
    <w:rsid w:val="320457EC"/>
    <w:rsid w:val="32E04556"/>
    <w:rsid w:val="33C04A95"/>
    <w:rsid w:val="36BA14D2"/>
    <w:rsid w:val="36C66B14"/>
    <w:rsid w:val="3E6C7BA4"/>
    <w:rsid w:val="3F346842"/>
    <w:rsid w:val="3F622575"/>
    <w:rsid w:val="43F95652"/>
    <w:rsid w:val="4B2D4656"/>
    <w:rsid w:val="50C66C58"/>
    <w:rsid w:val="51393E4B"/>
    <w:rsid w:val="5D9E77C3"/>
    <w:rsid w:val="66FE53EB"/>
    <w:rsid w:val="6CDF28E7"/>
    <w:rsid w:val="709B7D2C"/>
    <w:rsid w:val="71971F46"/>
    <w:rsid w:val="7252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2025-09-28T09:42:02Z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91248644F7E5452BBD39934163605154</vt:lpwstr>
  </property>
</Properties>
</file>