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2"/>
        <w:jc w:val="center"/>
        <w:rPr>
          <w:sz w:val="56"/>
          <w:szCs w:val="56"/>
        </w:rPr>
      </w:pPr>
    </w:p>
    <w:p w14:paraId="3BDF5AB8">
      <w:pPr>
        <w:pStyle w:val="12"/>
        <w:jc w:val="center"/>
        <w:rPr>
          <w:sz w:val="56"/>
          <w:szCs w:val="56"/>
        </w:rPr>
      </w:pPr>
    </w:p>
    <w:p w14:paraId="60CA4575">
      <w:pPr>
        <w:pStyle w:val="12"/>
        <w:jc w:val="center"/>
        <w:rPr>
          <w:sz w:val="84"/>
          <w:szCs w:val="84"/>
        </w:rPr>
      </w:pPr>
    </w:p>
    <w:p w14:paraId="215EB31D">
      <w:pPr>
        <w:pStyle w:val="12"/>
        <w:jc w:val="center"/>
        <w:rPr>
          <w:sz w:val="84"/>
          <w:szCs w:val="84"/>
        </w:rPr>
      </w:pPr>
    </w:p>
    <w:p w14:paraId="376C8602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15A44AF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岳阳市法律援助中心</w:t>
      </w:r>
    </w:p>
    <w:p w14:paraId="737BE22A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单位决算</w:t>
      </w:r>
    </w:p>
    <w:p w14:paraId="26CBB069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2"/>
        <w:jc w:val="center"/>
        <w:rPr>
          <w:sz w:val="56"/>
          <w:szCs w:val="56"/>
        </w:rPr>
      </w:pPr>
    </w:p>
    <w:p w14:paraId="25018D25">
      <w:pPr>
        <w:pStyle w:val="12"/>
        <w:jc w:val="center"/>
        <w:rPr>
          <w:sz w:val="56"/>
          <w:szCs w:val="56"/>
        </w:rPr>
      </w:pPr>
    </w:p>
    <w:p w14:paraId="5EE73A38">
      <w:pPr>
        <w:pStyle w:val="12"/>
        <w:jc w:val="center"/>
        <w:rPr>
          <w:sz w:val="56"/>
          <w:szCs w:val="56"/>
        </w:rPr>
      </w:pPr>
    </w:p>
    <w:p w14:paraId="297571C5">
      <w:pPr>
        <w:pStyle w:val="12"/>
        <w:jc w:val="center"/>
        <w:rPr>
          <w:sz w:val="32"/>
          <w:szCs w:val="32"/>
        </w:rPr>
      </w:pPr>
    </w:p>
    <w:p w14:paraId="08493D1E">
      <w:pPr>
        <w:pStyle w:val="12"/>
        <w:jc w:val="center"/>
        <w:rPr>
          <w:sz w:val="32"/>
          <w:szCs w:val="32"/>
        </w:rPr>
      </w:pPr>
    </w:p>
    <w:p w14:paraId="5BD6E8BD">
      <w:pPr>
        <w:pStyle w:val="12"/>
        <w:jc w:val="center"/>
        <w:rPr>
          <w:sz w:val="32"/>
          <w:szCs w:val="32"/>
        </w:rPr>
      </w:pPr>
    </w:p>
    <w:p w14:paraId="459C483D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1542D332">
      <w:pPr>
        <w:pStyle w:val="12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第一部分 岳阳市法律援助中心单位概况</w:t>
      </w:r>
    </w:p>
    <w:p w14:paraId="28C2969F">
      <w:pPr>
        <w:pStyle w:val="12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EE37361">
      <w:pPr>
        <w:pStyle w:val="12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二、机构设置及决算单位构成</w:t>
      </w:r>
    </w:p>
    <w:p w14:paraId="3CE431DD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409E1B4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84"/>
          <w:szCs w:val="8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84"/>
          <w:szCs w:val="84"/>
          <w:lang w:val="en-US" w:eastAsia="zh-CN" w:bidi="ar-SA"/>
        </w:rPr>
        <w:t>岳阳市法律援助中心</w:t>
      </w:r>
    </w:p>
    <w:p w14:paraId="55FD9101">
      <w:pPr>
        <w:pStyle w:val="7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84"/>
          <w:szCs w:val="84"/>
          <w:lang w:val="en-US" w:eastAsia="zh-CN" w:bidi="ar-SA"/>
        </w:rPr>
        <w:t>单位概况</w:t>
      </w:r>
    </w:p>
    <w:p w14:paraId="397AC3FB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3F2C40A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28B0AE2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ABE9209">
      <w:pPr>
        <w:pStyle w:val="13"/>
        <w:numPr>
          <w:ilvl w:val="0"/>
          <w:numId w:val="0"/>
        </w:numPr>
        <w:ind w:leftChars="0"/>
        <w:jc w:val="left"/>
        <w:rPr>
          <w:rFonts w:ascii="黑体" w:hAnsi="黑体" w:eastAsia="黑体" w:cs="黑体"/>
          <w:sz w:val="32"/>
          <w:szCs w:val="32"/>
        </w:rPr>
      </w:pPr>
    </w:p>
    <w:p w14:paraId="7EAF8187">
      <w:pPr>
        <w:pStyle w:val="13"/>
        <w:numPr>
          <w:ilvl w:val="0"/>
          <w:numId w:val="0"/>
        </w:numPr>
        <w:ind w:leftChars="0"/>
        <w:jc w:val="left"/>
        <w:rPr>
          <w:rFonts w:ascii="黑体" w:hAnsi="黑体" w:eastAsia="黑体" w:cs="黑体"/>
          <w:sz w:val="32"/>
          <w:szCs w:val="32"/>
        </w:rPr>
      </w:pPr>
    </w:p>
    <w:p w14:paraId="25E8F528">
      <w:pPr>
        <w:pStyle w:val="13"/>
        <w:numPr>
          <w:ilvl w:val="0"/>
          <w:numId w:val="0"/>
        </w:numPr>
        <w:ind w:leftChars="0"/>
        <w:jc w:val="left"/>
        <w:rPr>
          <w:rFonts w:ascii="黑体" w:hAnsi="黑体" w:eastAsia="黑体" w:cs="黑体"/>
          <w:sz w:val="32"/>
          <w:szCs w:val="32"/>
        </w:rPr>
      </w:pPr>
    </w:p>
    <w:p w14:paraId="3EC907AD"/>
    <w:p w14:paraId="09295D56">
      <w:pPr>
        <w:pStyle w:val="7"/>
      </w:pPr>
    </w:p>
    <w:p w14:paraId="247D8C71">
      <w:pPr>
        <w:pStyle w:val="3"/>
        <w:ind w:firstLine="480"/>
      </w:pPr>
    </w:p>
    <w:p w14:paraId="364E637B"/>
    <w:p w14:paraId="1DE41D85">
      <w:pPr>
        <w:pStyle w:val="7"/>
      </w:pPr>
    </w:p>
    <w:p w14:paraId="4B00354A">
      <w:pPr>
        <w:pStyle w:val="3"/>
        <w:ind w:firstLine="480"/>
      </w:pPr>
    </w:p>
    <w:p w14:paraId="5C95473A">
      <w:pPr>
        <w:pStyle w:val="13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</w:t>
      </w:r>
    </w:p>
    <w:p w14:paraId="75C15AC8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Times New Roman"/>
          <w:bCs/>
          <w:kern w:val="0"/>
          <w:sz w:val="32"/>
          <w:szCs w:val="32"/>
        </w:rPr>
        <w:t>岳阳市法律援助中心的主要工作职能：指导、检查法律援助法律法规和政策的执行工作；制定全市法律援助工作规划和年度计划；对县市区法律援助机构的工作进行指导、协调、监督；承办公民申请的和人民法院、检察院、公安机关指定的法律援助案件；负责岳阳市12348法律咨询热线的运行和管理。</w:t>
      </w:r>
    </w:p>
    <w:p w14:paraId="6A7A2A27">
      <w:pPr>
        <w:widowControl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二、机构设置及决算单位构成</w:t>
      </w:r>
    </w:p>
    <w:p w14:paraId="26CC9BEA">
      <w:pPr>
        <w:widowControl/>
        <w:spacing w:line="600" w:lineRule="exact"/>
        <w:rPr>
          <w:rFonts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1C52AB4D">
      <w:pPr>
        <w:widowControl/>
        <w:spacing w:line="600" w:lineRule="exact"/>
        <w:ind w:firstLine="640" w:firstLineChars="200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Cs/>
          <w:kern w:val="0"/>
          <w:sz w:val="32"/>
          <w:szCs w:val="32"/>
        </w:rPr>
        <w:t>市法律援助中心内设三个股（室）：业务股、财务股、办公室。我中心共有在职干部</w:t>
      </w:r>
      <w:r>
        <w:rPr>
          <w:rFonts w:hint="eastAsia" w:ascii="宋体" w:hAnsi="宋体" w:eastAsia="宋体" w:cs="Times New Roman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Times New Roman"/>
          <w:bCs/>
          <w:kern w:val="0"/>
          <w:sz w:val="32"/>
          <w:szCs w:val="32"/>
        </w:rPr>
        <w:t>人，全部为行政编制。</w:t>
      </w:r>
    </w:p>
    <w:p w14:paraId="722CD93C">
      <w:pPr>
        <w:widowControl/>
        <w:spacing w:line="600" w:lineRule="exact"/>
        <w:rPr>
          <w:rFonts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</w:p>
    <w:p w14:paraId="35EED3AC"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本单位无独立核算的下属单位，202</w:t>
      </w:r>
      <w:r>
        <w:rPr>
          <w:rFonts w:hint="eastAsia" w:ascii="宋体" w:hAnsi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Cs/>
          <w:kern w:val="0"/>
          <w:sz w:val="32"/>
          <w:szCs w:val="32"/>
        </w:rPr>
        <w:t>年度部门决算汇总公开单位仅包括岳阳市法律援助中心本级。</w:t>
      </w:r>
    </w:p>
    <w:p w14:paraId="1D68B474">
      <w:pPr>
        <w:jc w:val="left"/>
      </w:pPr>
    </w:p>
    <w:p w14:paraId="2B887CF5">
      <w:pPr>
        <w:pStyle w:val="7"/>
      </w:pPr>
    </w:p>
    <w:p w14:paraId="24F8805B">
      <w:pPr>
        <w:pStyle w:val="3"/>
        <w:ind w:firstLine="480"/>
      </w:pPr>
    </w:p>
    <w:p w14:paraId="604A1F69"/>
    <w:p w14:paraId="7B01BB6A">
      <w:pPr>
        <w:pStyle w:val="7"/>
      </w:pPr>
    </w:p>
    <w:p w14:paraId="370CB54B">
      <w:pPr>
        <w:pStyle w:val="3"/>
        <w:ind w:firstLine="480"/>
      </w:pPr>
    </w:p>
    <w:p w14:paraId="75A8925B"/>
    <w:p w14:paraId="03E618D5">
      <w:pPr>
        <w:pStyle w:val="7"/>
      </w:pPr>
    </w:p>
    <w:p w14:paraId="5CFE4E4A">
      <w:pPr>
        <w:pStyle w:val="3"/>
        <w:ind w:firstLine="480"/>
      </w:pPr>
    </w:p>
    <w:p w14:paraId="6F1B9CA3"/>
    <w:p w14:paraId="5025C39E">
      <w:pPr>
        <w:pStyle w:val="7"/>
      </w:pPr>
    </w:p>
    <w:p w14:paraId="0DA9DF29">
      <w:pPr>
        <w:pStyle w:val="3"/>
        <w:ind w:firstLine="480"/>
      </w:pPr>
    </w:p>
    <w:p w14:paraId="3238ADEE"/>
    <w:p w14:paraId="5267F12B">
      <w:pPr>
        <w:pStyle w:val="7"/>
      </w:pPr>
    </w:p>
    <w:p w14:paraId="28828498">
      <w:pPr>
        <w:pStyle w:val="3"/>
      </w:pPr>
    </w:p>
    <w:p w14:paraId="04E62672"/>
    <w:p w14:paraId="1D6D7A8B">
      <w:pPr>
        <w:pStyle w:val="7"/>
      </w:pPr>
    </w:p>
    <w:p w14:paraId="2E47952B">
      <w:pPr>
        <w:pStyle w:val="3"/>
      </w:pPr>
    </w:p>
    <w:p w14:paraId="18A19BE5"/>
    <w:p w14:paraId="7CCBF86D">
      <w:pPr>
        <w:pStyle w:val="7"/>
      </w:pPr>
    </w:p>
    <w:p w14:paraId="0017F5EC">
      <w:pPr>
        <w:pStyle w:val="3"/>
      </w:pPr>
    </w:p>
    <w:p w14:paraId="76181D4E"/>
    <w:p w14:paraId="1A174866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49F2B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EF1049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E4B3CF9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14C072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5CDCBAD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363.06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增2024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年我中心法律援助案件办理数量增加，增设各类法律援助工作站，咨询人数增大，中心法律援助相关业务工作量增大，为维护中心正常运行和工作顺利开展的各项收入和支出增加。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</w:t>
      </w:r>
    </w:p>
    <w:p w14:paraId="07DA9E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2A53B2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99.87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%；其他收入0.41万元，占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年度支出合计362.57万元，其中：基本支出174.29万元，占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48.07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%；项目支出188.28万元，占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51.93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98575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年度财政拨款收、支总计314.17万元，与上年相比，增加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34.41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年我中心法律援助案件办理数量增加，增设各类法律援助工作站，咨询人数增大，中心法律援助相关业务工作量增大，为维护中心正常运行和工作顺利开展的各项收入和支出增加。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BB30A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2"/>
        <w:spacing w:line="600" w:lineRule="exact"/>
        <w:ind w:firstLine="800" w:firstLineChars="250"/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  <w:t>（一）一般公共预算财政拨款支出决算总体情况</w:t>
      </w:r>
    </w:p>
    <w:p w14:paraId="1073EEFC">
      <w:pPr>
        <w:keepNext w:val="0"/>
        <w:keepLines w:val="0"/>
        <w:widowControl/>
        <w:suppressLineNumbers w:val="0"/>
        <w:ind w:firstLine="420" w:firstLineChars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年度财政拨款支出314.17万元，占本年支出合计的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86.65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34.41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年我中心法律援助案件办理数量增加，增设各类法律援助工作站，咨询人数增大，中心法律援助相关业务工作量增大，为维护中心正常运行和工作顺利开展的各项支出增加。</w:t>
      </w:r>
    </w:p>
    <w:p w14:paraId="66C54C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  <w:t>（二）一般公共预算财政拨款支出决算结构情况</w:t>
      </w:r>
    </w:p>
    <w:p w14:paraId="12089E65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年度财政拨款支出314.17万元，主要用于以下方面：</w:t>
      </w:r>
      <w:r>
        <w:rPr>
          <w:rFonts w:hint="eastAsia" w:ascii="仿宋" w:hAnsi="仿宋" w:eastAsia="仿宋" w:cs="仿宋_GB2312"/>
          <w:sz w:val="32"/>
          <w:szCs w:val="32"/>
        </w:rPr>
        <w:t>公共安全（类）支出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278.97</w:t>
      </w:r>
      <w:r>
        <w:rPr>
          <w:rFonts w:hint="eastAsia" w:ascii="仿宋" w:hAnsi="仿宋" w:eastAsia="仿宋" w:cs="仿宋_GB2312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88.80</w:t>
      </w:r>
      <w:r>
        <w:rPr>
          <w:rFonts w:hint="eastAsia" w:ascii="仿宋" w:hAnsi="仿宋" w:eastAsia="仿宋" w:cs="仿宋_GB2312"/>
          <w:sz w:val="32"/>
          <w:szCs w:val="32"/>
        </w:rPr>
        <w:t>%；社会保障和就业（类）支出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16.81</w:t>
      </w:r>
      <w:r>
        <w:rPr>
          <w:rFonts w:hint="eastAsia" w:ascii="仿宋" w:hAnsi="仿宋" w:eastAsia="仿宋" w:cs="仿宋_GB2312"/>
          <w:sz w:val="32"/>
          <w:szCs w:val="32"/>
        </w:rPr>
        <w:t>万元，占5.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%；卫生健康（类）支出6.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_GB2312"/>
          <w:sz w:val="32"/>
          <w:szCs w:val="32"/>
        </w:rPr>
        <w:t>万元，占2.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_GB2312"/>
          <w:sz w:val="32"/>
          <w:szCs w:val="32"/>
        </w:rPr>
        <w:t>%；住房保障（类）支出12.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_GB2312"/>
          <w:sz w:val="32"/>
          <w:szCs w:val="32"/>
        </w:rPr>
        <w:t>万元，占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3.84</w:t>
      </w:r>
      <w:r>
        <w:rPr>
          <w:rFonts w:hint="eastAsia" w:ascii="仿宋" w:hAnsi="仿宋" w:eastAsia="仿宋" w:cs="仿宋_GB2312"/>
          <w:sz w:val="32"/>
          <w:szCs w:val="32"/>
        </w:rPr>
        <w:t>%。</w:t>
      </w:r>
    </w:p>
    <w:p w14:paraId="5CDBADF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</w:rPr>
        <w:t>（三）一般公共预算财政拨款支出决算具体情况</w:t>
      </w:r>
    </w:p>
    <w:p w14:paraId="5B07DAE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万元，支出决算数为314.17万元，完成年初预算的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166.84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498BE5D7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1、公共安全（类）司法（款）行政运行（项）。</w:t>
      </w:r>
    </w:p>
    <w:p w14:paraId="33C92107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万元，支出决算为117.26万元，完成年初预算的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99.84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Times New Roman" w:hAnsi="Times New Roman" w:eastAsia="仿宋_GB2312"/>
          <w:sz w:val="32"/>
          <w:szCs w:val="32"/>
        </w:rPr>
        <w:t>决算数与年初预算数基本持平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2988DA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2、公共安全（类）司法（款）一般行政事务管理（项）。</w:t>
      </w:r>
    </w:p>
    <w:p w14:paraId="44221FA3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万元，支出决算为26.18万元，完成年初预算的11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/>
          <w:sz w:val="32"/>
          <w:szCs w:val="32"/>
        </w:rPr>
        <w:t>存在人员晋级晋档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CB9DAC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3、公共安全（类）司法（款）公共法律服务（项）。</w:t>
      </w:r>
    </w:p>
    <w:p w14:paraId="13788C9D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万元，支出决算为60.9万元，完成年初预算的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676.67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仿宋" w:hAnsi="仿宋" w:eastAsia="仿宋" w:cs="仿宋_GB2312"/>
          <w:sz w:val="32"/>
          <w:szCs w:val="32"/>
        </w:rPr>
        <w:t>年中追加了相关指标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DFD6F2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4、公共安全（类）司法（款）其他司法支出（项）。</w:t>
      </w:r>
    </w:p>
    <w:p w14:paraId="06D4F12C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年初预算为0万元，支出决算为48.7万元，决算数大于年初预算数的主要原因是：年中追加了相关指标。</w:t>
      </w:r>
    </w:p>
    <w:p w14:paraId="7D6EE6A8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5、公共安全（类）其他公共安全支出（类）其他公共安全支出（项）。</w:t>
      </w:r>
    </w:p>
    <w:p w14:paraId="6AF8390A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年初预算为0万元，支出决算为25.93万元，决算数大于年初预算数的主要原因是：年中追加了相关指标。</w:t>
      </w:r>
    </w:p>
    <w:p w14:paraId="39E018D7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6、社会保障和就业支出（类）行政事业单位养老支出（类）机关事业单位基本养老保险缴费支出（项）。</w:t>
      </w:r>
    </w:p>
    <w:p w14:paraId="2DA2210E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万元，支出决算为15.66万元，完成年初预算的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94.22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我中心人员减少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06867F">
      <w:pPr>
        <w:pStyle w:val="12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社会保障和就业支出（类）行政事业单位养老支出（类）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其他残疾人事业支出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 w14:paraId="5EF8C2C5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万元，支出决算为1.15万元，完成年初预算的100%，决算数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仿宋" w:hAnsi="仿宋" w:eastAsia="仿宋" w:cs="仿宋_GB2312"/>
          <w:sz w:val="32"/>
          <w:szCs w:val="32"/>
        </w:rPr>
        <w:t>我中心严格执行预算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A7B8E9">
      <w:pPr>
        <w:pStyle w:val="12"/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0F7CDC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、卫生健康支出（类）行政事业单位医疗（款）行政单位医疗（项）。</w:t>
      </w:r>
    </w:p>
    <w:p w14:paraId="22481A1C">
      <w:pPr>
        <w:pStyle w:val="1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万元，支出决算为6.33万元，完成年初预算的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96.20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我中心人员减少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FCF6A71">
      <w:pPr>
        <w:pStyle w:val="12"/>
        <w:spacing w:line="60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、住房保障支出（类）住房改革支出（款）住房公积金（项）。</w:t>
      </w:r>
    </w:p>
    <w:p w14:paraId="7E230B73">
      <w:pPr>
        <w:widowControl w:val="0"/>
        <w:autoSpaceDE w:val="0"/>
        <w:autoSpaceDN w:val="0"/>
        <w:adjustRightInd w:val="0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年初预算为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12.07</w:t>
      </w:r>
      <w:r>
        <w:rPr>
          <w:rFonts w:hint="eastAsia" w:ascii="仿宋" w:hAnsi="仿宋" w:eastAsia="仿宋" w:cs="仿宋_GB2312"/>
          <w:sz w:val="32"/>
          <w:szCs w:val="32"/>
        </w:rPr>
        <w:t>万元，支出决算为12.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_GB2312"/>
          <w:sz w:val="32"/>
          <w:szCs w:val="32"/>
        </w:rPr>
        <w:t>万元，完成年初预算的10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%，决算数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_GB2312"/>
          <w:sz w:val="32"/>
          <w:szCs w:val="32"/>
        </w:rPr>
        <w:t>于年初预算数的主要原因是：我中心严格执行预算。</w:t>
      </w:r>
    </w:p>
    <w:p w14:paraId="373E8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763B78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160.2万元，占基本支出的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91.92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14.08万元，占基本支出的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8.08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</w:t>
      </w:r>
      <w:r>
        <w:rPr>
          <w:rFonts w:hint="eastAsia" w:ascii="仿宋" w:hAnsi="仿宋" w:eastAsia="仿宋" w:cs="仿宋_GB2312"/>
          <w:sz w:val="32"/>
          <w:szCs w:val="32"/>
        </w:rPr>
        <w:t>工会经费、其他交通费用等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8B27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1BAE16F6"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年度政府性基金预算财政拨款收入0万元；年初结转和结余0万元；支出0万元，其中基本支出0万元，项目支出0万元；年末结转和结余0万元。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64D19482"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/>
        </w:rPr>
        <w:t>2024年度国有资本经营预算财政拨款收入0万元；年初结转和结余0万；支出0万元，其中：基本支出0万元，项目支出0万元；年末结转和结余0万元。</w:t>
      </w:r>
    </w:p>
    <w:p w14:paraId="5876C2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298EF1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0DCA448E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116.67</w:t>
      </w:r>
      <w:r>
        <w:rPr>
          <w:rFonts w:ascii="Times New Roman" w:hAnsi="Times New Roman" w:eastAsia="仿宋_GB2312" w:cs="Times New Roman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于预算数的主要原因是</w:t>
      </w:r>
      <w:r>
        <w:rPr>
          <w:rFonts w:hint="eastAsia" w:ascii="仿宋" w:hAnsi="仿宋" w:eastAsia="仿宋" w:cs="仿宋_GB2312"/>
          <w:sz w:val="32"/>
          <w:szCs w:val="32"/>
        </w:rPr>
        <w:t>厉行节约，减少开支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52D03A7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1CF083E8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8007BD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公务用车购置费及运行维护费支出预算为0万元，支出决算为0万元，决算数等于预算数；与上年一致，无增减变动。其中：</w:t>
      </w:r>
    </w:p>
    <w:p w14:paraId="36C208D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公务用车购置费支出预算为0万元，支出决算为0万元，决算数等于预算数，主要原因是我单位严格按预算执行决算；与上年一致，无增减变动，主要原因是两年均未购置公务用车。本单位更新公务用车0辆。</w:t>
      </w:r>
    </w:p>
    <w:p w14:paraId="57D59ABF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公务用车运行维护费支出预算为0万元，支出决算为0万元，决算数等于预算数，主要原因是我单位严格按预算执行决算；与上年一致，无增减变动，主要原因是两年均无公务用车需要运行维护。 截止到2024年12月31日，我单位开支财政拨款的公务用车保有量为0辆。</w:t>
      </w:r>
    </w:p>
    <w:p w14:paraId="039328FA"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0.07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116.67</w:t>
      </w:r>
      <w:r>
        <w:rPr>
          <w:rFonts w:ascii="Times New Roman" w:hAnsi="Times New Roman" w:eastAsia="仿宋_GB2312" w:cs="Times New Roman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于预算数的主要原因是</w:t>
      </w:r>
      <w:r>
        <w:rPr>
          <w:rFonts w:hint="eastAsia" w:ascii="仿宋" w:hAnsi="仿宋" w:eastAsia="仿宋" w:cs="仿宋_GB2312"/>
          <w:sz w:val="32"/>
          <w:szCs w:val="32"/>
        </w:rPr>
        <w:t>厉行节约，减少开支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人次，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主要是汇报工作发生的接待支出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D06AC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2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年度机关运行经费支出14.08万元，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比年初预算数减少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%。主要原因是：</w:t>
      </w:r>
      <w:r>
        <w:rPr>
          <w:rFonts w:hint="eastAsia" w:ascii="仿宋" w:hAnsi="仿宋" w:eastAsia="仿宋" w:cs="仿宋_GB2312"/>
          <w:sz w:val="32"/>
          <w:szCs w:val="32"/>
        </w:rPr>
        <w:t>厉行节约，减少开支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9684E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5E588319"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年度，会议费年初预算0万元，支出决算为0万元。本单位无会议费的预算和支出决算数</w:t>
      </w:r>
    </w:p>
    <w:p w14:paraId="256E2E71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培训费年初预算0万元，支出决算为0万元。本单位无培训费的预算和支出决算数；</w:t>
      </w:r>
    </w:p>
    <w:p w14:paraId="39C2EAB5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举办节庆、晚会、论坛、赛事活动年初预算0万元，支出决算为0万元。本单位无举办节庆、晚会、论坛、赛事等活动的预算和支出决算数。</w:t>
      </w:r>
    </w:p>
    <w:p w14:paraId="252D0B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87F52B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部门2024年度政府采购支出总额0万元，其中：政府采购货物支出0万元、政府采购工程支出0万元、政府采购服务支出0万元。授予中小企业合同金额0万元（由于政府采购支出总额为0，故无法计算占政府采购支出总额的比重），其中：授予小微企业合同金额0万元（由于授予中小企业合同金额为0，故无法计算占授予中小企业合同金额的比重）。货物采购授予中小企业合同金额占货物支出金额的比重，工程采购授予中小企业合同金额占工程支出金额的比重，服务采购授予中小企业合同金额占服务支出金额的比重，由于以上各项合同金额为0，故无法计算各项占比。</w:t>
      </w:r>
    </w:p>
    <w:p w14:paraId="246A0D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十三、关于国有资产占用情况说明</w:t>
      </w:r>
    </w:p>
    <w:p w14:paraId="0044E3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截至2024年12月31日，本单位共有车辆0辆，其中，副部（省）级及以上领导用车0辆、主要负责人用车0辆、机要通信用车0辆、应急保障用车0辆、执法执勤用车0辆、特种专业技术用车0辆、离退休干部服务用车0辆、其他用车0辆；单位价值100万元以上设备（不含车辆）0台（套）。</w:t>
      </w:r>
    </w:p>
    <w:p w14:paraId="0A8224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组织对2024年度本单位整体支出开展绩效自评，涉及项目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74.06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74.06万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元，占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20.43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%。</w:t>
      </w:r>
    </w:p>
    <w:p w14:paraId="7566DEE6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本单位为二级预算单位，部门评价开展情况可详见上级部门决算公开说明。</w:t>
      </w:r>
      <w:bookmarkStart w:id="0" w:name="_GoBack"/>
      <w:bookmarkEnd w:id="0"/>
    </w:p>
    <w:p w14:paraId="679894B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。本单位为二级预算单位，事前绩效评估开展情况可详见上级部门决算公开说明。</w:t>
      </w: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7827F41E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1.绩效自评结果。2024年度本单位整体支出全年预算数393.74万元，执行数362.56万元，完成预算的92.08%，绩效自评得分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97.21分，评价等级为“优秀”。</w:t>
      </w:r>
    </w:p>
    <w:p w14:paraId="40B13CB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绩效目标完成情况：一是全年共受理法律援助案件489件；接待各类咨询15834人次，其中现场咨询3182人次，来电咨询12635人次（其中12348热线10822人次），网络咨询17人次；二是为受援人挽回经济损失1000余万元，群众对法援项目扫码评价977条，满意率100%，收到受援人赠送的锦旗20面；三是联合岳阳广播电视台推出《巴陵法援民生故事》专栏，每期全网播放量和阅读量超10万人次；通过司法部官网、湖南司法行政网、湖南日报、岳阳市司法局官网等平台推送法律援助相关稿件150余篇；市中心城区四条路线公交车车身、1000台电梯云屏以及雨伞、餐巾纸包装上印制法律援助宣传标语和图示；开展“法援惠民生”系列主题宣传活动5次；向省厅报送典型案例12个。</w:t>
      </w:r>
    </w:p>
    <w:p w14:paraId="279DD7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发</w:t>
      </w:r>
      <w:r>
        <w:rPr>
          <w:rFonts w:ascii="Times New Roman" w:hAnsi="Times New Roman" w:eastAsia="仿宋_GB2312" w:cs="Times New Roman"/>
          <w:sz w:val="32"/>
          <w:szCs w:val="32"/>
        </w:rPr>
        <w:t>现的主要问题及原因：一是</w:t>
      </w:r>
      <w:r>
        <w:rPr>
          <w:rFonts w:hint="eastAsia" w:eastAsia="仿宋" w:cs="仿宋"/>
          <w:bCs/>
          <w:sz w:val="32"/>
          <w:szCs w:val="32"/>
        </w:rPr>
        <w:t>预算绩效评价指标体系制度需进一步完善，目前预算绩效指标设定较为符合实际，但是可测算性不强，很难进行量化分析及同质化比较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eastAsia="仿宋" w:cs="仿宋"/>
          <w:bCs/>
          <w:sz w:val="32"/>
          <w:szCs w:val="32"/>
        </w:rPr>
        <w:t>由于预算绩效管理工作需要多部门配合，业务股室人员对于预算绩效工作认识较浅显，加上缺乏系统的培训，个体对预算绩效管理认识不一定到位，对预算绩效管理业务不了解、不熟悉，对工作重点把握不到位情况仍然存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87E0598">
      <w:pPr>
        <w:widowControl/>
        <w:spacing w:line="640" w:lineRule="exact"/>
        <w:ind w:firstLine="640" w:firstLineChars="200"/>
        <w:rPr>
          <w:rFonts w:eastAsia="仿宋" w:cs="仿宋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下一步改进措施：一是</w:t>
      </w:r>
      <w:r>
        <w:rPr>
          <w:rFonts w:hint="eastAsia" w:eastAsia="仿宋" w:cs="仿宋"/>
          <w:bCs/>
          <w:sz w:val="32"/>
          <w:szCs w:val="32"/>
        </w:rPr>
        <w:t>加强制度解读，提高预算精准度</w:t>
      </w:r>
      <w:r>
        <w:rPr>
          <w:rFonts w:hint="eastAsia" w:eastAsia="仿宋" w:cs="仿宋"/>
          <w:bCs/>
          <w:sz w:val="32"/>
          <w:szCs w:val="32"/>
          <w:lang w:eastAsia="zh-CN"/>
        </w:rPr>
        <w:t>。</w:t>
      </w:r>
      <w:r>
        <w:rPr>
          <w:rFonts w:hint="eastAsia" w:eastAsia="仿宋" w:cs="仿宋"/>
          <w:bCs/>
          <w:sz w:val="32"/>
          <w:szCs w:val="32"/>
        </w:rPr>
        <w:t>加强对预算编制的培训和指导，提升全中心干部预算绩效意识。在申请年度经费预算的同时编制预算绩效目标，根据业务工作需求，编实编准编细年度预算，减少年中调整事项，保证预算编制口径的一致性和可比性。把有限的财政资金花在最需要的地方、最有效的地方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eastAsia="仿宋" w:cs="仿宋"/>
          <w:bCs/>
          <w:sz w:val="32"/>
          <w:szCs w:val="32"/>
        </w:rPr>
        <w:t>建设指标体系，完善项目库管理</w:t>
      </w:r>
      <w:r>
        <w:rPr>
          <w:rFonts w:hint="eastAsia" w:eastAsia="仿宋" w:cs="仿宋"/>
          <w:bCs/>
          <w:sz w:val="32"/>
          <w:szCs w:val="32"/>
          <w:lang w:eastAsia="zh-CN"/>
        </w:rPr>
        <w:t>。</w:t>
      </w:r>
      <w:r>
        <w:rPr>
          <w:rFonts w:hint="eastAsia" w:eastAsia="仿宋" w:cs="仿宋"/>
          <w:bCs/>
          <w:sz w:val="32"/>
          <w:szCs w:val="32"/>
        </w:rPr>
        <w:t>设置科学合理的绩效指标，提高绩效目标与指标设定的科学性、合理性、可操作性。做实做细项目库管理，梳理以前年度制定的指标，建立指标更新机制，及时淘模糊失效指标，强化个性指标建设。</w:t>
      </w:r>
    </w:p>
    <w:p w14:paraId="132AF97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本单位为二级预算单位，部门评价结果可详见上级部门决算公开说明。</w:t>
      </w:r>
    </w:p>
    <w:p w14:paraId="5DC4775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本单位为二级预算单位，事前绩效评估结果可详见上级部门决算公开说明。</w:t>
      </w:r>
    </w:p>
    <w:p w14:paraId="2C89E516"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7C61C31B">
      <w:pPr>
        <w:widowControl/>
        <w:spacing w:line="6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" w:cs="仿宋"/>
          <w:bCs/>
          <w:sz w:val="32"/>
          <w:szCs w:val="32"/>
          <w:lang w:val="en-US" w:eastAsia="zh-CN"/>
        </w:rPr>
        <w:t>2025年度要</w:t>
      </w:r>
      <w:r>
        <w:rPr>
          <w:rFonts w:hint="eastAsia" w:eastAsia="仿宋" w:cs="仿宋"/>
          <w:bCs/>
          <w:sz w:val="32"/>
          <w:szCs w:val="32"/>
        </w:rPr>
        <w:t>严格落实“先有预算后有支出”，实时监控各项经费使用情况。贯彻落实党中央、国务院关于过“紧日子”和坚持厉行节约反对浪费有关要求，继续压缩一般性支出，保障重点项目开支。</w:t>
      </w:r>
      <w:r>
        <w:rPr>
          <w:rFonts w:hint="eastAsia" w:eastAsia="仿宋" w:cs="仿宋"/>
          <w:bCs/>
          <w:sz w:val="32"/>
          <w:szCs w:val="32"/>
          <w:lang w:eastAsia="zh-CN"/>
        </w:rPr>
        <w:t>建</w:t>
      </w:r>
      <w:r>
        <w:rPr>
          <w:rFonts w:hint="eastAsia" w:eastAsia="仿宋" w:cs="仿宋"/>
          <w:bCs/>
          <w:sz w:val="32"/>
          <w:szCs w:val="32"/>
        </w:rPr>
        <w:t>立绩效监控结果的反馈与整改、激励与问责制度，将监控结果作为预算调整的重要依据。发现预算支出绩效运行与年初计划发生偏离时，及时采取措施予以纠正</w:t>
      </w:r>
      <w:r>
        <w:rPr>
          <w:rFonts w:hint="eastAsia" w:eastAsia="仿宋" w:cs="仿宋"/>
          <w:bCs/>
          <w:sz w:val="32"/>
          <w:szCs w:val="32"/>
          <w:lang w:eastAsia="zh-CN"/>
        </w:rPr>
        <w:t>。同时要</w:t>
      </w:r>
      <w:r>
        <w:rPr>
          <w:rFonts w:hint="eastAsia" w:eastAsia="仿宋" w:cs="仿宋"/>
          <w:bCs/>
          <w:sz w:val="32"/>
          <w:szCs w:val="32"/>
        </w:rPr>
        <w:t>广泛参加各类业务知识培训</w:t>
      </w:r>
      <w:r>
        <w:rPr>
          <w:rFonts w:hint="eastAsia" w:eastAsia="仿宋" w:cs="仿宋"/>
          <w:bCs/>
          <w:sz w:val="32"/>
          <w:szCs w:val="32"/>
          <w:lang w:eastAsia="zh-CN"/>
        </w:rPr>
        <w:t>，</w:t>
      </w:r>
      <w:r>
        <w:rPr>
          <w:rFonts w:hint="eastAsia" w:eastAsia="仿宋" w:cs="仿宋"/>
          <w:bCs/>
          <w:sz w:val="32"/>
          <w:szCs w:val="32"/>
        </w:rPr>
        <w:t>不断提高业务能力、知识水平及综合协调能力</w:t>
      </w:r>
      <w:r>
        <w:rPr>
          <w:rFonts w:hint="eastAsia" w:eastAsia="仿宋" w:cs="仿宋"/>
          <w:bCs/>
          <w:sz w:val="32"/>
          <w:szCs w:val="32"/>
          <w:lang w:eastAsia="zh-CN"/>
        </w:rPr>
        <w:t>，</w:t>
      </w:r>
      <w:r>
        <w:rPr>
          <w:rFonts w:hint="eastAsia" w:eastAsia="仿宋" w:cs="仿宋"/>
          <w:bCs/>
          <w:sz w:val="32"/>
          <w:szCs w:val="32"/>
        </w:rPr>
        <w:t>贯彻落实全面实施预算绩效管理和新会计制度改革的新要求，进一步提升绩效管理人员的业务素质。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62BEA247">
      <w:pPr>
        <w:pStyle w:val="7"/>
        <w:rPr>
          <w:rFonts w:hint="eastAsia"/>
          <w:lang w:val="en-US" w:eastAsia="zh-CN"/>
        </w:rPr>
      </w:pPr>
    </w:p>
    <w:p w14:paraId="47586AB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147E06D0">
      <w:pPr>
        <w:pStyle w:val="12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3D83FDA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7"/>
      </w:pPr>
    </w:p>
    <w:p w14:paraId="5331F884">
      <w:pPr>
        <w:pStyle w:val="3"/>
      </w:pPr>
    </w:p>
    <w:p w14:paraId="2CCAD852"/>
    <w:p w14:paraId="440E89DF">
      <w:pPr>
        <w:pStyle w:val="7"/>
      </w:pPr>
    </w:p>
    <w:p w14:paraId="645B9B76">
      <w:pPr>
        <w:pStyle w:val="3"/>
      </w:pPr>
    </w:p>
    <w:p w14:paraId="539F25AC"/>
    <w:p w14:paraId="47AFAB8F">
      <w:pPr>
        <w:pStyle w:val="7"/>
      </w:pPr>
    </w:p>
    <w:p w14:paraId="479D6353">
      <w:pPr>
        <w:pStyle w:val="3"/>
      </w:pPr>
    </w:p>
    <w:p w14:paraId="648103ED"/>
    <w:p w14:paraId="08A5EA8F">
      <w:pPr>
        <w:pStyle w:val="7"/>
      </w:pPr>
    </w:p>
    <w:p w14:paraId="3FD0BAB6">
      <w:pPr>
        <w:pStyle w:val="3"/>
      </w:pPr>
    </w:p>
    <w:p w14:paraId="1CAE18D7"/>
    <w:p w14:paraId="5994BDDC">
      <w:pPr>
        <w:pStyle w:val="7"/>
      </w:pPr>
    </w:p>
    <w:p w14:paraId="51F60F8D">
      <w:pPr>
        <w:pStyle w:val="3"/>
      </w:pPr>
    </w:p>
    <w:p w14:paraId="715B8195"/>
    <w:p w14:paraId="3F608935">
      <w:pPr>
        <w:pStyle w:val="7"/>
      </w:pPr>
    </w:p>
    <w:p w14:paraId="274FE3C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741E604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E5903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CE71B9">
      <w:pPr>
        <w:pStyle w:val="7"/>
        <w:rPr>
          <w:rFonts w:hint="eastAsia"/>
        </w:rPr>
      </w:pPr>
    </w:p>
    <w:p w14:paraId="793F6BC2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2AE81CE8"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3"/>
      </w:pPr>
    </w:p>
    <w:p w14:paraId="580CF8E4"/>
    <w:p w14:paraId="0C17744C">
      <w:pPr>
        <w:pStyle w:val="7"/>
      </w:pPr>
    </w:p>
    <w:p w14:paraId="7B8BABF4">
      <w:pPr>
        <w:pStyle w:val="3"/>
      </w:pPr>
    </w:p>
    <w:p w14:paraId="1942C0DC"/>
    <w:p w14:paraId="6E2D1EEF">
      <w:pPr>
        <w:pStyle w:val="7"/>
      </w:pPr>
    </w:p>
    <w:p w14:paraId="5F6ABC3B">
      <w:pPr>
        <w:pStyle w:val="3"/>
      </w:pPr>
    </w:p>
    <w:p w14:paraId="51BE6437"/>
    <w:p w14:paraId="05344CBA">
      <w:pPr>
        <w:pStyle w:val="7"/>
      </w:pPr>
    </w:p>
    <w:p w14:paraId="5C9170AD">
      <w:pPr>
        <w:pStyle w:val="3"/>
      </w:pPr>
    </w:p>
    <w:p w14:paraId="29D3A91E"/>
    <w:p w14:paraId="0D2A994E">
      <w:pPr>
        <w:pStyle w:val="7"/>
      </w:pPr>
    </w:p>
    <w:p w14:paraId="59CBCCA7">
      <w:pPr>
        <w:pStyle w:val="3"/>
      </w:pPr>
    </w:p>
    <w:p w14:paraId="67806EBD"/>
    <w:p w14:paraId="7C18BB03">
      <w:pPr>
        <w:pStyle w:val="7"/>
      </w:pPr>
    </w:p>
    <w:p w14:paraId="29230CAD">
      <w:pPr>
        <w:pStyle w:val="3"/>
      </w:pPr>
    </w:p>
    <w:p w14:paraId="724E0A54"/>
    <w:p w14:paraId="496F732E">
      <w:pPr>
        <w:pStyle w:val="7"/>
      </w:pPr>
    </w:p>
    <w:p w14:paraId="354ECFD8">
      <w:pPr>
        <w:pStyle w:val="3"/>
      </w:pPr>
    </w:p>
    <w:p w14:paraId="51C67B38"/>
    <w:p w14:paraId="4D131F3E"/>
    <w:p w14:paraId="7CFBCE3C">
      <w:pPr>
        <w:pStyle w:val="7"/>
      </w:pPr>
    </w:p>
    <w:p w14:paraId="5C3DE094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8C24A73"/>
    <w:rsid w:val="0FC3BC08"/>
    <w:rsid w:val="11944E2C"/>
    <w:rsid w:val="12583BA5"/>
    <w:rsid w:val="13BA5B9C"/>
    <w:rsid w:val="1457DAAE"/>
    <w:rsid w:val="1D97DEFF"/>
    <w:rsid w:val="1DFF72E5"/>
    <w:rsid w:val="1EFC6F07"/>
    <w:rsid w:val="1F0527A6"/>
    <w:rsid w:val="22AC03C2"/>
    <w:rsid w:val="283B15FE"/>
    <w:rsid w:val="2FDF85B8"/>
    <w:rsid w:val="2FFFEE04"/>
    <w:rsid w:val="31C95635"/>
    <w:rsid w:val="34DF85B0"/>
    <w:rsid w:val="3B8F36BC"/>
    <w:rsid w:val="3C7F25CE"/>
    <w:rsid w:val="3DF76A95"/>
    <w:rsid w:val="43EB5BA5"/>
    <w:rsid w:val="491FF225"/>
    <w:rsid w:val="4DEFBFDB"/>
    <w:rsid w:val="4EC310A1"/>
    <w:rsid w:val="4FFD214C"/>
    <w:rsid w:val="5352765A"/>
    <w:rsid w:val="5777D4F5"/>
    <w:rsid w:val="57F22B6F"/>
    <w:rsid w:val="59DD8326"/>
    <w:rsid w:val="5DEF592A"/>
    <w:rsid w:val="5FC6BB1E"/>
    <w:rsid w:val="5FF720F1"/>
    <w:rsid w:val="5FF74252"/>
    <w:rsid w:val="622964C1"/>
    <w:rsid w:val="67FF5C0B"/>
    <w:rsid w:val="6B653165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9FF515B"/>
    <w:rsid w:val="7A9FBF06"/>
    <w:rsid w:val="7BFDE7C1"/>
    <w:rsid w:val="7DF31F33"/>
    <w:rsid w:val="7DFBFF20"/>
    <w:rsid w:val="7E9E1962"/>
    <w:rsid w:val="7E9F11B4"/>
    <w:rsid w:val="7F1BE8AF"/>
    <w:rsid w:val="7F37EC1E"/>
    <w:rsid w:val="7F5D806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8FFE52D0"/>
    <w:rsid w:val="95FB2B98"/>
    <w:rsid w:val="9A639BC2"/>
    <w:rsid w:val="9FF7D786"/>
    <w:rsid w:val="ABBFB23D"/>
    <w:rsid w:val="AF3F43B4"/>
    <w:rsid w:val="B6BE5A03"/>
    <w:rsid w:val="B8C93228"/>
    <w:rsid w:val="C3B4DA5A"/>
    <w:rsid w:val="C4FF458C"/>
    <w:rsid w:val="C7BBD038"/>
    <w:rsid w:val="CBFF70E0"/>
    <w:rsid w:val="CFF50B82"/>
    <w:rsid w:val="CFFFAD89"/>
    <w:rsid w:val="D74F0A21"/>
    <w:rsid w:val="DACE10B5"/>
    <w:rsid w:val="DFDD95BB"/>
    <w:rsid w:val="DFFE359E"/>
    <w:rsid w:val="DFFE4FFD"/>
    <w:rsid w:val="DFFF5403"/>
    <w:rsid w:val="EBC3E00A"/>
    <w:rsid w:val="EDFBE100"/>
    <w:rsid w:val="EEABED75"/>
    <w:rsid w:val="EF7E8003"/>
    <w:rsid w:val="EFAE7478"/>
    <w:rsid w:val="EFF311E8"/>
    <w:rsid w:val="F08F9197"/>
    <w:rsid w:val="F56FDF51"/>
    <w:rsid w:val="F5F3EE78"/>
    <w:rsid w:val="F6B69F17"/>
    <w:rsid w:val="F6DD5468"/>
    <w:rsid w:val="F6E5BB3A"/>
    <w:rsid w:val="F77F1D61"/>
    <w:rsid w:val="F7FED3A9"/>
    <w:rsid w:val="F8C9DB26"/>
    <w:rsid w:val="F97E8EAE"/>
    <w:rsid w:val="FB36E1A6"/>
    <w:rsid w:val="FB3BE134"/>
    <w:rsid w:val="FBBF414E"/>
    <w:rsid w:val="FCFF4275"/>
    <w:rsid w:val="FD7FEEEA"/>
    <w:rsid w:val="FDFB8F1A"/>
    <w:rsid w:val="FDFFB577"/>
    <w:rsid w:val="FEC384DC"/>
    <w:rsid w:val="FEEA50FE"/>
    <w:rsid w:val="FF7D47A9"/>
    <w:rsid w:val="FFCF21CB"/>
    <w:rsid w:val="FFF71DD2"/>
    <w:rsid w:val="FFF7AC57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1347</Words>
  <Characters>7679</Characters>
  <Lines>63</Lines>
  <Paragraphs>18</Paragraphs>
  <TotalTime>15</TotalTime>
  <ScaleCrop>false</ScaleCrop>
  <LinksUpToDate>false</LinksUpToDate>
  <CharactersWithSpaces>9008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2020-07-11T10:32:00Z</dcterms:created>
  <dc:creator>李航 null</dc:creator>
  <cp:lastModifiedBy>kylin</cp:lastModifiedBy>
  <cp:lastPrinted>2024-08-11T18:20:00Z</cp:lastPrinted>
  <dcterms:modified xsi:type="dcterms:W3CDTF">2025-09-18T15:10:11Z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EAB623B4008FB871E614CA68822D1C81_43</vt:lpwstr>
  </property>
</Properties>
</file>