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jc w:val="center"/>
        <w:rPr>
          <w:color w:val="auto"/>
          <w:sz w:val="56"/>
          <w:szCs w:val="56"/>
        </w:rPr>
      </w:pPr>
    </w:p>
    <w:p>
      <w:pPr>
        <w:pStyle w:val="15"/>
        <w:jc w:val="center"/>
        <w:rPr>
          <w:color w:val="auto"/>
          <w:sz w:val="56"/>
          <w:szCs w:val="56"/>
        </w:rPr>
      </w:pPr>
    </w:p>
    <w:p>
      <w:pPr>
        <w:pStyle w:val="15"/>
        <w:jc w:val="center"/>
        <w:rPr>
          <w:color w:val="auto"/>
          <w:sz w:val="84"/>
          <w:szCs w:val="84"/>
        </w:rPr>
      </w:pPr>
    </w:p>
    <w:p>
      <w:pPr>
        <w:pStyle w:val="15"/>
        <w:jc w:val="center"/>
        <w:rPr>
          <w:color w:val="auto"/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</w:rPr>
        <w:t>年度</w:t>
      </w: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  <w:lang w:val="en-US" w:eastAsia="zh-CN"/>
        </w:rPr>
        <w:t>岳阳市公安局</w:t>
      </w:r>
      <w:r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</w:rPr>
        <w:t>部门决算</w:t>
      </w: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56"/>
          <w:szCs w:val="56"/>
        </w:rPr>
      </w:pPr>
    </w:p>
    <w:p>
      <w:pPr>
        <w:pStyle w:val="15"/>
        <w:jc w:val="center"/>
        <w:rPr>
          <w:color w:val="auto"/>
          <w:sz w:val="56"/>
          <w:szCs w:val="56"/>
        </w:rPr>
      </w:pPr>
    </w:p>
    <w:p>
      <w:pPr>
        <w:pStyle w:val="15"/>
        <w:jc w:val="center"/>
        <w:rPr>
          <w:color w:val="auto"/>
          <w:sz w:val="56"/>
          <w:szCs w:val="56"/>
        </w:rPr>
      </w:pPr>
    </w:p>
    <w:p>
      <w:pPr>
        <w:pStyle w:val="15"/>
        <w:jc w:val="center"/>
        <w:rPr>
          <w:color w:val="auto"/>
          <w:sz w:val="56"/>
          <w:szCs w:val="56"/>
        </w:rPr>
      </w:pPr>
    </w:p>
    <w:p>
      <w:pPr>
        <w:pStyle w:val="15"/>
        <w:jc w:val="center"/>
        <w:rPr>
          <w:color w:val="auto"/>
          <w:sz w:val="32"/>
          <w:szCs w:val="32"/>
        </w:rPr>
      </w:pPr>
    </w:p>
    <w:p>
      <w:pPr>
        <w:pStyle w:val="15"/>
        <w:jc w:val="center"/>
        <w:rPr>
          <w:color w:val="auto"/>
          <w:sz w:val="32"/>
          <w:szCs w:val="32"/>
        </w:rPr>
      </w:pPr>
    </w:p>
    <w:p>
      <w:pPr>
        <w:pStyle w:val="15"/>
        <w:jc w:val="center"/>
        <w:rPr>
          <w:color w:val="auto"/>
          <w:sz w:val="32"/>
          <w:szCs w:val="32"/>
        </w:rPr>
      </w:pPr>
    </w:p>
    <w:p>
      <w:pPr>
        <w:pStyle w:val="15"/>
        <w:jc w:val="center"/>
        <w:rPr>
          <w:color w:val="auto"/>
          <w:sz w:val="32"/>
          <w:szCs w:val="32"/>
        </w:rPr>
      </w:pPr>
    </w:p>
    <w:p>
      <w:pPr>
        <w:pStyle w:val="15"/>
        <w:jc w:val="center"/>
        <w:rPr>
          <w:color w:val="auto"/>
          <w:sz w:val="32"/>
          <w:szCs w:val="32"/>
        </w:rPr>
      </w:pPr>
    </w:p>
    <w:p>
      <w:pPr>
        <w:pStyle w:val="15"/>
        <w:spacing w:line="500" w:lineRule="exact"/>
        <w:jc w:val="both"/>
        <w:rPr>
          <w:b/>
          <w:color w:val="auto"/>
          <w:sz w:val="36"/>
          <w:szCs w:val="28"/>
        </w:rPr>
      </w:pPr>
    </w:p>
    <w:p>
      <w:pPr>
        <w:pStyle w:val="15"/>
        <w:spacing w:line="500" w:lineRule="exact"/>
        <w:jc w:val="center"/>
        <w:rPr>
          <w:b/>
          <w:color w:val="auto"/>
          <w:sz w:val="36"/>
          <w:szCs w:val="28"/>
        </w:rPr>
      </w:pPr>
      <w:r>
        <w:rPr>
          <w:rFonts w:hint="eastAsia"/>
          <w:b/>
          <w:color w:val="auto"/>
          <w:sz w:val="36"/>
          <w:szCs w:val="28"/>
        </w:rPr>
        <w:t>目录</w:t>
      </w:r>
    </w:p>
    <w:p>
      <w:pPr>
        <w:pStyle w:val="15"/>
        <w:spacing w:line="500" w:lineRule="exact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第一部分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color w:val="auto"/>
          <w:sz w:val="28"/>
          <w:szCs w:val="28"/>
          <w:lang w:val="en-US" w:eastAsia="zh-CN"/>
        </w:rPr>
        <w:t>岳阳市公安局单位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概况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一、部门职责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二、机构设置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及决算单位构成</w:t>
      </w:r>
    </w:p>
    <w:p>
      <w:pPr>
        <w:pStyle w:val="15"/>
        <w:spacing w:line="500" w:lineRule="exact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第二部分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部门决算表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一、收入支出决算总表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二、收入决算表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三、支出决算表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四、财政拨款收入支出决算总表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五、一般公共预算财政拨款支出决算表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六、一般公共预算财政拨款基本支出决算明细表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七、政府性基金预算财政拨款收入支出决算表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八、国有资本经营预算财政拨款支出决算表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九、财政拨款“三公”经费支出决算表</w:t>
      </w:r>
    </w:p>
    <w:p>
      <w:pPr>
        <w:pStyle w:val="15"/>
        <w:spacing w:line="500" w:lineRule="exact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第三部分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部门决算情况说明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一、收入支出决算总体情况说明</w:t>
      </w:r>
    </w:p>
    <w:p>
      <w:pPr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二、收入决算情况说明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三、支出决算情况说明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四、财政拨款收入支出决算总体情况说明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五、一般公共预算财政拨款支出决算情况说明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六、一般公共预算财政拨款基本支出决算情况说明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七、政府性基金预算收入支出决算情况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八、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国有资本经营预算财政拨款支出决算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九、财政拨款三公经费支出决算情况说明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十、关于机关运行经费支出说明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十一、一般性支出情况说明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十二、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关于政府采购支出说明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>十三、关于国有资产占用情况说明</w:t>
      </w:r>
    </w:p>
    <w:p>
      <w:pPr>
        <w:pStyle w:val="15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十四、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关于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预算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绩效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情况的说明</w:t>
      </w:r>
    </w:p>
    <w:p>
      <w:pPr>
        <w:pStyle w:val="15"/>
        <w:spacing w:line="500" w:lineRule="exact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第四部分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名词解释</w:t>
      </w:r>
    </w:p>
    <w:p>
      <w:pPr>
        <w:pStyle w:val="15"/>
        <w:spacing w:line="500" w:lineRule="exact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第</w:t>
      </w:r>
      <w:r>
        <w:rPr>
          <w:rFonts w:hint="eastAsia" w:hAnsi="黑体" w:cs="黑体"/>
          <w:b w:val="0"/>
          <w:bCs/>
          <w:color w:val="auto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部分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color w:val="auto"/>
          <w:sz w:val="28"/>
          <w:szCs w:val="28"/>
          <w:lang w:eastAsia="zh-CN"/>
        </w:rPr>
        <w:t>附件</w:t>
      </w: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</w:rPr>
        <w:t xml:space="preserve">第一部分 </w:t>
      </w: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  <w:lang w:val="en-US" w:eastAsia="zh-CN"/>
        </w:rPr>
        <w:t>岳阳市公安局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  <w:lang w:val="en-US" w:eastAsia="zh-CN"/>
        </w:rPr>
        <w:t>单位</w:t>
      </w:r>
      <w:r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</w:rPr>
        <w:t>概况</w:t>
      </w:r>
    </w:p>
    <w:p>
      <w:pPr>
        <w:pStyle w:val="9"/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</w:rPr>
      </w:pPr>
    </w:p>
    <w:p>
      <w:pPr>
        <w:pStyle w:val="5"/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</w:rPr>
      </w:pPr>
    </w:p>
    <w:p>
      <w:pPr>
        <w:pStyle w:val="5"/>
        <w:ind w:left="0" w:leftChars="0" w:firstLine="0" w:firstLineChars="0"/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</w:rPr>
      </w:pPr>
    </w:p>
    <w:p>
      <w:pPr>
        <w:rPr>
          <w:rFonts w:hint="eastAsia"/>
          <w:color w:val="auto"/>
        </w:rPr>
      </w:pPr>
    </w:p>
    <w:p>
      <w:pPr>
        <w:pStyle w:val="3"/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pStyle w:val="16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部门职责</w:t>
      </w:r>
    </w:p>
    <w:p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  <w:t>一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  <w:t>预防、制止和侦查违法犯罪活动；</w:t>
      </w:r>
    </w:p>
    <w:p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  <w:t>二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  <w:t>维护社会治安秩序，制止危害社会治安秩序的行为；</w:t>
      </w:r>
    </w:p>
    <w:p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  <w:t>三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  <w:t>维护交通安全和交通秩序，处理交通事故；</w:t>
      </w:r>
    </w:p>
    <w:p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  <w:t>四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  <w:t>组织、实施消防工作，实行消防监督；</w:t>
      </w:r>
    </w:p>
    <w:p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  <w:t>五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  <w:t>管理枪支弹药、管制刀具和易燃易爆、剧毒、放射等危险物品；</w:t>
      </w:r>
    </w:p>
    <w:p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  <w:t>六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  <w:t>对法律、法规制定的特种行业进行管理；</w:t>
      </w:r>
    </w:p>
    <w:p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  <w:t>七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  <w:t>警卫国家规定的特定人员，守卫重要的场所和设施；</w:t>
      </w:r>
    </w:p>
    <w:p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  <w:t>八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  <w:t>管理集会、游行、示威活动；</w:t>
      </w:r>
    </w:p>
    <w:p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  <w:t>九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  <w:t>管理户政、国籍、入境出境事务和外国人在中国境内居留、旅行的有关事务；</w:t>
      </w:r>
    </w:p>
    <w:p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  <w:t>十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  <w:t>维护国（边）境地区的治安秩序；</w:t>
      </w:r>
    </w:p>
    <w:p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  <w:t>十一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  <w:t>对被判处管制、拘役、剥夺政治权利的罪犯和监外执行的罪犯执行刑罚，对被宣告缓刑、假释的罪犯实行监督、考察；</w:t>
      </w:r>
    </w:p>
    <w:p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  <w:t>十二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  <w:t>监督管理计算机信息系统的安全保护工作；</w:t>
      </w:r>
    </w:p>
    <w:p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  <w:t>十三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  <w:t>指导和监督国家机关、社会团体、企业事业组织和重点建设工程的治安保卫工作，指导治安保卫委员会等群众性组织的治安防范工作；</w:t>
      </w:r>
    </w:p>
    <w:p>
      <w:pPr>
        <w:ind w:firstLine="640" w:firstLineChars="200"/>
        <w:jc w:val="left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（十四）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/>
        </w:rPr>
        <w:t>法律、法规规定的其他职责。</w:t>
      </w: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二、机构设置及决算单位构成</w:t>
      </w:r>
    </w:p>
    <w:p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</w:rPr>
        <w:t>内设机构设置。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根据市委编办核定，岳阳市公安局内设警令部、政治部、警务保障处、党风廉政室、审计室等综合管理机构；警官培训中心、交通警察支队、监所管理支队、机场分局等执法勤务机构；派出机构有岳阳楼分局、云溪分局、君山分局、经济技术开发区分局。除派出机构外，属于财务独立核算单位的有机场分局、交通警察支队、监所管理支队，其余内设机构纳入市公安局本级财务统一核算。</w:t>
      </w:r>
    </w:p>
    <w:p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</w:rPr>
        <w:t>（二）决算单位构成。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岳阳市公安局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</w:rPr>
        <w:t>年部门决算汇总公开单位构成包括：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岳阳市公安局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</w:rPr>
        <w:t>本级以及岳阳楼公安分局、云溪公安分局、君山公安分局、三荷机场公安分局、交通警察支队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监所管理支队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eastAsia="zh-CN"/>
        </w:rPr>
        <w:t>。</w:t>
      </w:r>
    </w:p>
    <w:p>
      <w:pPr>
        <w:rPr>
          <w:color w:val="auto"/>
        </w:rPr>
      </w:pPr>
    </w:p>
    <w:p>
      <w:pPr>
        <w:widowControl/>
        <w:spacing w:line="600" w:lineRule="exact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</w:rPr>
      </w:pPr>
    </w:p>
    <w:p>
      <w:pPr>
        <w:rPr>
          <w:color w:val="auto"/>
        </w:rPr>
      </w:pPr>
    </w:p>
    <w:p>
      <w:pPr>
        <w:pStyle w:val="9"/>
        <w:rPr>
          <w:color w:val="auto"/>
        </w:rPr>
      </w:pPr>
    </w:p>
    <w:p>
      <w:pPr>
        <w:pStyle w:val="5"/>
        <w:rPr>
          <w:color w:val="auto"/>
        </w:rPr>
      </w:pPr>
    </w:p>
    <w:p>
      <w:pPr>
        <w:rPr>
          <w:color w:val="auto"/>
        </w:rPr>
      </w:pPr>
    </w:p>
    <w:p>
      <w:pPr>
        <w:pStyle w:val="9"/>
        <w:rPr>
          <w:color w:val="auto"/>
        </w:rPr>
      </w:pPr>
    </w:p>
    <w:p>
      <w:pPr>
        <w:pStyle w:val="5"/>
        <w:rPr>
          <w:color w:val="auto"/>
        </w:rPr>
      </w:pPr>
    </w:p>
    <w:p>
      <w:pPr>
        <w:rPr>
          <w:color w:val="auto"/>
        </w:rPr>
      </w:pPr>
    </w:p>
    <w:p>
      <w:pPr>
        <w:pStyle w:val="9"/>
        <w:rPr>
          <w:color w:val="auto"/>
        </w:rPr>
      </w:pPr>
    </w:p>
    <w:p>
      <w:pPr>
        <w:pStyle w:val="5"/>
        <w:rPr>
          <w:color w:val="auto"/>
        </w:rPr>
      </w:pPr>
    </w:p>
    <w:p>
      <w:pPr>
        <w:rPr>
          <w:color w:val="auto"/>
        </w:rPr>
      </w:pPr>
    </w:p>
    <w:p>
      <w:pPr>
        <w:pStyle w:val="9"/>
        <w:rPr>
          <w:color w:val="auto"/>
        </w:rPr>
      </w:pPr>
    </w:p>
    <w:p>
      <w:pPr>
        <w:pStyle w:val="5"/>
        <w:rPr>
          <w:color w:val="auto"/>
        </w:rPr>
      </w:pPr>
    </w:p>
    <w:p>
      <w:pPr>
        <w:rPr>
          <w:color w:val="auto"/>
        </w:rPr>
      </w:pPr>
    </w:p>
    <w:p>
      <w:pPr>
        <w:pStyle w:val="9"/>
        <w:rPr>
          <w:color w:val="auto"/>
        </w:rPr>
      </w:pPr>
    </w:p>
    <w:p>
      <w:pPr>
        <w:pStyle w:val="5"/>
        <w:rPr>
          <w:color w:val="auto"/>
        </w:rPr>
      </w:pPr>
    </w:p>
    <w:p>
      <w:pPr>
        <w:rPr>
          <w:color w:val="auto"/>
        </w:rPr>
      </w:pPr>
    </w:p>
    <w:p>
      <w:pPr>
        <w:pStyle w:val="9"/>
        <w:rPr>
          <w:color w:val="auto"/>
        </w:rPr>
      </w:pPr>
    </w:p>
    <w:p>
      <w:pPr>
        <w:pStyle w:val="5"/>
        <w:rPr>
          <w:color w:val="auto"/>
        </w:rPr>
      </w:pPr>
    </w:p>
    <w:p>
      <w:pPr>
        <w:rPr>
          <w:color w:val="auto"/>
        </w:rPr>
      </w:pPr>
    </w:p>
    <w:p>
      <w:pPr>
        <w:pStyle w:val="9"/>
        <w:rPr>
          <w:color w:val="auto"/>
        </w:rPr>
      </w:pPr>
    </w:p>
    <w:p>
      <w:pPr>
        <w:pStyle w:val="5"/>
        <w:rPr>
          <w:color w:val="auto"/>
        </w:rPr>
      </w:pPr>
    </w:p>
    <w:p>
      <w:pPr>
        <w:rPr>
          <w:color w:val="auto"/>
        </w:rPr>
      </w:pPr>
    </w:p>
    <w:p>
      <w:pPr>
        <w:pStyle w:val="9"/>
        <w:rPr>
          <w:color w:val="auto"/>
        </w:rPr>
      </w:pPr>
    </w:p>
    <w:p>
      <w:pPr>
        <w:pStyle w:val="5"/>
        <w:rPr>
          <w:color w:val="auto"/>
        </w:rPr>
      </w:pPr>
    </w:p>
    <w:p>
      <w:pPr>
        <w:rPr>
          <w:color w:val="auto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</w:rPr>
        <w:t>第二部分</w:t>
      </w: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</w:rPr>
        <w:t>部门决算表</w:t>
      </w:r>
    </w:p>
    <w:p>
      <w:pPr>
        <w:pStyle w:val="15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72"/>
          <w:szCs w:val="7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72"/>
          <w:szCs w:val="72"/>
          <w:lang w:eastAsia="zh-CN"/>
        </w:rPr>
        <w:t>（见附件）</w:t>
      </w:r>
    </w:p>
    <w:p>
      <w:pPr>
        <w:pStyle w:val="15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72"/>
          <w:szCs w:val="72"/>
          <w:lang w:eastAsia="zh-CN"/>
        </w:rPr>
      </w:pPr>
    </w:p>
    <w:p>
      <w:pPr>
        <w:pStyle w:val="15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72"/>
          <w:szCs w:val="72"/>
          <w:lang w:eastAsia="zh-CN"/>
        </w:rPr>
      </w:pPr>
    </w:p>
    <w:p>
      <w:pPr>
        <w:pStyle w:val="15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72"/>
          <w:szCs w:val="72"/>
          <w:lang w:eastAsia="zh-CN"/>
        </w:rPr>
      </w:pPr>
    </w:p>
    <w:p>
      <w:pPr>
        <w:pStyle w:val="15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72"/>
          <w:szCs w:val="72"/>
          <w:lang w:eastAsia="zh-CN"/>
        </w:rPr>
      </w:pPr>
    </w:p>
    <w:p>
      <w:pPr>
        <w:pStyle w:val="15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72"/>
          <w:szCs w:val="72"/>
          <w:lang w:eastAsia="zh-CN"/>
        </w:rPr>
      </w:pPr>
    </w:p>
    <w:p>
      <w:pPr>
        <w:pStyle w:val="15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72"/>
          <w:szCs w:val="72"/>
          <w:lang w:eastAsia="zh-CN"/>
        </w:rPr>
      </w:pPr>
    </w:p>
    <w:p>
      <w:pPr>
        <w:pStyle w:val="15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72"/>
          <w:szCs w:val="72"/>
          <w:lang w:eastAsia="zh-CN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72"/>
          <w:szCs w:val="72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72"/>
          <w:szCs w:val="72"/>
        </w:rPr>
      </w:pPr>
    </w:p>
    <w:p>
      <w:pPr>
        <w:pStyle w:val="15"/>
        <w:jc w:val="both"/>
        <w:rPr>
          <w:rFonts w:hint="eastAsia" w:ascii="方正小标宋_GBK" w:hAnsi="方正小标宋_GBK" w:eastAsia="方正小标宋_GBK" w:cs="方正小标宋_GBK"/>
          <w:color w:val="auto"/>
          <w:sz w:val="72"/>
          <w:szCs w:val="72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72"/>
          <w:szCs w:val="72"/>
        </w:rPr>
        <w:t>第三部分</w:t>
      </w: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70"/>
          <w:szCs w:val="70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70"/>
          <w:szCs w:val="70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70"/>
          <w:szCs w:val="7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auto"/>
          <w:sz w:val="70"/>
          <w:szCs w:val="70"/>
        </w:rPr>
        <w:t>年度部门决算情况说明</w:t>
      </w: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70"/>
          <w:szCs w:val="70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70"/>
          <w:szCs w:val="70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70"/>
          <w:szCs w:val="70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70"/>
          <w:szCs w:val="70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70"/>
          <w:szCs w:val="70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70"/>
          <w:szCs w:val="70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决算编制时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明细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至“金额单位：元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”，而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本套部门决算文字说明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和公开表格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取数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转换为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金额单位：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万元”，可能导致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以下文字说明中的各项数据取数以及公开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表格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中的各项数据取数之间存在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0.01的尾数差异。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2、以下文字说明中，部分科目由于预算数为0，无法计算完成年初预算的百分比，故未描述“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完成年初预算的XX%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一、收入支出决算总体情况说明</w:t>
      </w:r>
    </w:p>
    <w:p>
      <w:pPr>
        <w:widowControl w:val="0"/>
        <w:tabs>
          <w:tab w:val="left" w:pos="5250"/>
        </w:tabs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年度收、支总计105357.39万元。与上年相比，增加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12511.73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%，主要是因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城市治安电子防控项目、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智能交通项目的建设，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云溪分局大额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开支，</w:t>
      </w:r>
      <w:r>
        <w:rPr>
          <w:rFonts w:hint="eastAsia" w:ascii="Times New Roman" w:hAnsi="Times New Roman" w:eastAsia="仿宋_GB2312" w:cs="黑体"/>
          <w:color w:val="auto"/>
          <w:kern w:val="0"/>
          <w:sz w:val="32"/>
          <w:szCs w:val="32"/>
          <w:lang w:val="en-US" w:eastAsia="zh-CN" w:bidi="ar-SA"/>
        </w:rPr>
        <w:t>防汛救灾、维护社会治安等公安专项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二、收入决算情况说明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年度收入合计104440.71万元，其中：财政拨款收入94680.79万元，占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90.66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%；上级补助收入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%；事业收入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%；经营收入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%；附属单位上缴收入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%；其他收入9759.9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9.34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三、支出决算情况说明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年度支出合计103255.77万元，其中：基本支出58245.27万元，占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56.41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%；项目支出45010.5万元，占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43.59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%；上缴上级支出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%；经营支出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%；对附属单位补助支出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四、财政拨款收入支出决算总体情况说明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年度财政拨款收、支总计94680.79万元，与上年相比，增加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10720.95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万元,增长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%，主要是因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城市治安电子防控项目、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智能交通项目的建设；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云溪分局大额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开支；</w:t>
      </w:r>
      <w:r>
        <w:rPr>
          <w:rFonts w:hint="eastAsia" w:ascii="Times New Roman" w:hAnsi="Times New Roman" w:eastAsia="仿宋_GB2312" w:cs="黑体"/>
          <w:color w:val="auto"/>
          <w:kern w:val="0"/>
          <w:sz w:val="32"/>
          <w:szCs w:val="32"/>
          <w:lang w:val="en-US" w:eastAsia="zh-CN" w:bidi="ar-SA"/>
        </w:rPr>
        <w:t>防汛救灾、维护社会治安等公安专项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五、一般公共预算财政拨款支出决算情况说明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（一）一般公共预算财政拨款支出决算总体情况</w:t>
      </w:r>
    </w:p>
    <w:p>
      <w:pPr>
        <w:pStyle w:val="15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年度财政拨款支出94389.19万元，占本年支出合计的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91.41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%，与上年相比，财政拨款支出增加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10429.35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12.42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%，主要是因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城市治安电子防控项目、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智能交通项目的建设；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云溪分局大额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开支；</w:t>
      </w:r>
      <w:r>
        <w:rPr>
          <w:rFonts w:hint="eastAsia" w:ascii="Times New Roman" w:hAnsi="Times New Roman" w:eastAsia="仿宋_GB2312" w:cs="黑体"/>
          <w:color w:val="auto"/>
          <w:kern w:val="0"/>
          <w:sz w:val="32"/>
          <w:szCs w:val="32"/>
          <w:lang w:val="en-US" w:eastAsia="zh-CN" w:bidi="ar-SA"/>
        </w:rPr>
        <w:t>防汛救灾、维护社会治安等公安专项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</w:rPr>
        <w:t>（二）一般公共预算财政拨款支出决算结构情况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年度财政拨款支出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94389.19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万元，主要用于以下方面：公共安全（类）支出84604.61万元，占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89.634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%；文化旅游体育与传媒（类）支出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2.00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0.002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%;社会保障和就业（类）支出4993.53万元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5.291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；卫生健康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（类）支出2006.21万元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2.125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；城乡社区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（类）支出192.88万元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0.204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；住房保障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（类）支出2589.96万元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2.744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（三）一般公共预算财政拨款支出决算具体情况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年度财政拨款支出年初预算数为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63829.13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万元，支出决算数为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94389.19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147.88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%，其中：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1、公共安全支出（类）公安（款）行政运行（项）。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39271.48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万元，支出决算为40053.14万元，完成年初预算的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101.99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%，决算数大于年初预算数的主要原因是：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/>
        </w:rPr>
        <w:t>人员工资调标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/>
          <w:lang w:val="en-US" w:eastAsia="zh-CN"/>
        </w:rPr>
        <w:t>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2、公共安全支出（类）公安（款）一般行政管理事务（项）。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3631.60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万元，支出决算为12252.52万元，完成年初预算的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337.39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%，决算数大于年初预算数的主要原因是：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/>
        </w:rPr>
        <w:t>非税收入超收安排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/>
          <w:lang w:val="en-US" w:eastAsia="zh-CN"/>
        </w:rPr>
        <w:t>及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fill="FFFFFF" w:themeFill="background1"/>
        </w:rPr>
        <w:t>转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/>
        </w:rPr>
        <w:t>移支付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/>
          <w:lang w:val="en-US" w:eastAsia="zh-CN"/>
        </w:rPr>
        <w:t>等专项经费的追加。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ind w:left="0" w:leftChars="0" w:firstLine="838" w:firstLineChars="26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3、公共安全支出（类）公安（款）执法办案（项）。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ind w:left="0" w:leftChars="0" w:firstLine="838" w:firstLineChars="26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年初预算为10502.26万元，支出决算为8416.65万元，完成年初预算的80.14%，决算数小于年初预算数的主要原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因是：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年初预算中的办案费、非税收入征管经费以及部分偿还智能交通建设款（审批专项）未下达。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ind w:left="0" w:leftChars="0" w:firstLine="838" w:firstLineChars="26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4、公共安全支出（类）公安（款）其他公安支出（项）。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年初预算为300万元，支出决算为23745.84万元，完成年初预算的7915.28%，决算数大于年初预算数的主要原因是：年中追加公安专项工作经费，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其他资金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及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非税收入超收返回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等通过该科目下达。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公共安全支出（类）其他公共安全支出（款）其他公共安全支出（项）。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万元，支出决算为136.46万元，决算数大于年初预算数的主要原因是：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追加在职民警伤亡补助等经费。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文化旅游体育与传媒支出（类）新闻出版电影（款）出版发行（项）。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万元，决算数大于年初预算数的主要原因是：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下达省级专项经费补助。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、社会保障和就业支出（类）行政事业单位养老支出（款）行政单位离退休（项）。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958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万元，支出决算为948.43万元，完成年初预算的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于年初预算数的主要原因是：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离退休人员死亡。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、社会保障和就业支出（类）行政事业单位养老支出（款）机关事业单位基本养老保险缴费支出（项）。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3549.55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万元，支出决算为3337.33万元，完成年初预算的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94.02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于年初预算数的主要原因是：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人员异动。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、社会保障和就业支出（类）抚恤（款）其他优抚支出（项）。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万元，支出决算为371.41万元，决算数大于年初预算数的主要原因是：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年中追加死亡抚恤金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和遗属生活困难补助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、社会保障和就业支出（类）残疾人事业（款）其他残疾人事业支出（项）。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336.36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万元，支出决算为336.36万元，完成年初预算的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决算数等于年初预算数的主要原因是：支出按年初预算精准落实。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、卫生健康支出（类）行政事业单位医疗（款）行政单位医疗（项）。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2034.62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万元，支出决算为2006.21万元，完成年初预算的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98.60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于年初预算数的主要原因是：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人员异动以及缴费基数变动。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、卫生健康支出（类）行政事业单位医疗（款）公务员医疗补助（项）。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674.66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万元，决算数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于年初预算数的主要原因是：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资金指标未下单位，由财政代扣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代缴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、城乡社区支出（类）城乡社区规划与管理（款）城乡社区规划与管理（项）。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万元，支出决算为192.88万元，决算数大于年初预算数的主要原因是：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财政追加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交警支队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预算及下达其上年单位指标结余结转资金等。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、住房保障支出（类）住房改革支出（款）住房公积金（项）。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2570.60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万元，支出决算为2589.96万元，完成年初预算的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100.75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于年初预算数的主要原因是：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人员异动。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六、一般公共预算财政拨款基本支出决算情况说明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财政拨款基本支出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52455.54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万元，其中：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人员经费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39775.99万元，占基本支出的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75.83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%,主要包括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基本工资、津贴补贴、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zh-CN"/>
        </w:rPr>
        <w:t>奖金、伙食补助费、绩效工资、机关事业单位基本养老保险缴费、职业年金缴费、职工基本医疗保险缴费、公务员医疗补助缴费、其他社会保障缴费、住房公积金、医疗费、其他工资福利支出、离休费、退休费、抚恤金、生活补助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救济费、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zh-CN"/>
        </w:rPr>
        <w:t>医疗费补助、奖励金、其他对个人和家庭的补助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公用经费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12679.55万元，占基本支出的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24.17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%，主要包括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办公费、印刷费、咨询费、手续费、水费、电费、邮电费、物业管理费、差旅费、维修（护）费、租赁费、会议费、培训费、公务接待费、专用材料费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被装购置费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劳务费、委托业务费、工会经费、福利费、公务用车运行维护费、其他交通费用、其他商品和服务支出、办公设备购置、专用设备购置、信息网络及软件购置更新、公务用车购置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七、政府性基金预算收入支出决算情况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2024年度政府性基金预算财政拨款收入0万元；年初结转和结余0万元；支出0万元，其中基本支出0万元，项目支出0万元；年末结转和结余0万元。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-SA"/>
        </w:rPr>
        <w:t>八、国有资本经营预算财政拨款支出决算情况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firstLine="838" w:firstLineChars="262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2024年度国有资本经营预算财政拨款收入0万元；年初结转和结余0万；支出0万元，其中：基本支出0万元，项目支出0万元；年末结转和结余0万元。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九、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  <w:t>财政拨款三公经费支出决算情况说明</w:t>
      </w:r>
    </w:p>
    <w:p>
      <w:pPr>
        <w:pStyle w:val="15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eastAsia="zh-CN"/>
        </w:rPr>
        <w:t>“三公”</w:t>
      </w:r>
      <w:r>
        <w:rPr>
          <w:rFonts w:ascii="Times New Roman" w:hAnsi="Times New Roman" w:eastAsia="楷体_GB2312" w:cs="Times New Roman"/>
          <w:b/>
          <w:color w:val="auto"/>
          <w:sz w:val="32"/>
          <w:szCs w:val="32"/>
        </w:rPr>
        <w:t>经费财政拨款支出决算总体情况说明</w:t>
      </w:r>
    </w:p>
    <w:p>
      <w:pPr>
        <w:pStyle w:val="15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2024年度“三公”经费财政拨款支出预算为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1260.27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1150.43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91.28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%；与上年相比减少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214.28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万元，降低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15.70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%。决算数小于预算数的主要原因是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厉行节约，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严格按预算执行决算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。决算数小于上年数的主要原因是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严格落实“过紧日子”精神，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厉行节约，严控经费支出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Style w:val="15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eastAsia="zh-CN"/>
        </w:rPr>
        <w:t>“三公”</w:t>
      </w:r>
      <w:r>
        <w:rPr>
          <w:rFonts w:ascii="Times New Roman" w:hAnsi="Times New Roman" w:eastAsia="楷体_GB2312" w:cs="Times New Roman"/>
          <w:b/>
          <w:color w:val="auto"/>
          <w:sz w:val="32"/>
          <w:szCs w:val="32"/>
        </w:rPr>
        <w:t>经费财政拨款支出决算具体情况说明</w:t>
      </w:r>
    </w:p>
    <w:p>
      <w:pPr>
        <w:pStyle w:val="15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" w:cs="Times New Roman"/>
          <w:b/>
          <w:bCs/>
          <w:i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1.因公出国（境）费支出预算为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决算数等于预算数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，主要原因是我单位严格按预算执行决算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与上年一致，无增减变动，主要原因是未安排因公出国（境）活动。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2024年度安排因公出国（境）团组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个，累计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人次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pStyle w:val="15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2.公务用车购置费及运行维护费支出预算为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1256.95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1149.44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91.45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%；与上年相比减少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212.74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万元，降低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15.62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%。其中：</w:t>
      </w:r>
    </w:p>
    <w:p>
      <w:pPr>
        <w:pStyle w:val="15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公务用车购置费支出预算为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201.42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188.72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93.69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%；与上年相比减少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365.64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万元，降低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65.96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%。决算数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于预算数的主要原因是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严格按预算执行决算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，决算数小于上年数的主要原因是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厉行节约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规范管理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公安局本级更新公务用车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岳阳楼分局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更新公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/>
        </w:rPr>
        <w:t>务用车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auto"/>
          <w:sz w:val="32"/>
          <w:szCs w:val="32"/>
          <w:shd w:val="clear"/>
        </w:rPr>
        <w:t>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交通警察支队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更新公务用车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15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pStyle w:val="15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公务用车运行维护费支出预算为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1055.54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960.72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</w:t>
      </w:r>
    </w:p>
    <w:p>
      <w:pPr>
        <w:pStyle w:val="15"/>
        <w:overflowPunct w:val="0"/>
        <w:autoSpaceDE/>
        <w:autoSpaceDN/>
        <w:spacing w:line="600" w:lineRule="exact"/>
        <w:jc w:val="both"/>
        <w:rPr>
          <w:rFonts w:ascii="Times New Roman" w:hAnsi="Times New Roman" w:eastAsia="楷体" w:cs="Times New Roman"/>
          <w:b/>
          <w:bCs/>
          <w:i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主要是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公车油料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、车辆维修保养、车辆过路过桥费和车辆保险费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支出，完成预算的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91.02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%；与上年相比增加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152.91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18.93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%。决算数小于预算数的主要原因是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严格按预算执行决算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。决算数大于上年数的主要原因是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支付上年度因提前关账未支付的部分款项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截止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2024年12月31日，我单位开支财政拨款的公务用车保有量为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339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辆。</w:t>
      </w:r>
    </w:p>
    <w:p>
      <w:pPr>
        <w:numPr>
          <w:ilvl w:val="0"/>
          <w:numId w:val="2"/>
        </w:num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公务接待费支出预算为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3.32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0.99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29.82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%；与上年相比减少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1.55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万元，降低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61.02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%。决算数小于预算数的主要原因是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严格按预算执行决算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。决算数小于上年数的主要原因是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厉行节约，严控公务接待支出；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提前关账导致部分款项未支付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。2024年度共接待来访团组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个、来宾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87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人次，主要是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开展执法调研督察、全省春运交通安保督导、省整治办督查组检查工作、城区停车秩序治理工作学习等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公安业务工作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发生的接待支出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、关于机关运行经费支出说明</w:t>
      </w:r>
    </w:p>
    <w:p>
      <w:pPr>
        <w:pStyle w:val="15"/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本部门202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年度机关运行经费支出12679.55万元，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比上年决算数减少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2182.63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万元，降低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14.69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%。主要原因是：按有关政策厉行节约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严控机关运行经费；交警支队根据财政预算批复项目进行了账务调整。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、一般性支出情况说明</w:t>
      </w:r>
    </w:p>
    <w:p>
      <w:pPr>
        <w:pStyle w:val="15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年度，会议费年初预算1万元，支出决算为4万元，完成年初预算的400%。用于召开政治业务“双督察”推进会、专项工作会议等，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人，内容为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公安业务部署推进等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widowControl w:val="0"/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培训费年初预算29.5万元，支出决算为105.22万元，完成年初预算的356.68%。用于开展各类公安专项业务培训，人数2527人，内容为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新警培训、民警大练兵考核、公安各类专项警务技能培训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widowControl w:val="0"/>
        <w:autoSpaceDE w:val="0"/>
        <w:autoSpaceDN w:val="0"/>
        <w:adjustRightInd w:val="0"/>
        <w:ind w:firstLine="640" w:firstLineChars="200"/>
        <w:rPr>
          <w:rFonts w:hint="eastAsia" w:ascii="楷体" w:hAnsi="楷体" w:eastAsia="楷体" w:cs="楷体"/>
          <w:b/>
          <w:bCs/>
          <w:i w:val="0"/>
          <w:iCs w:val="0"/>
          <w:color w:val="auto"/>
          <w:kern w:val="0"/>
          <w:sz w:val="40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本单位无举办节庆、晚会、论坛、赛事等活动的预算和支出决算数。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、关于政府采购支出说明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本部门202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年度政府采购支出总额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9424.60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万元，其中：政府采购货物支出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1623.28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万元、政府采购工程支出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1869.90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万元、政府采购服务支出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5931.42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万元。授予中小企业合同金额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7822.57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万元，占政府采购支出总额的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%，其中：授予小微企业合同金额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7181.57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授予中小企业合同金额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91.81%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。货物采购授予中小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企业合同金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额占货物支出金额的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79.23%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，工程采购授予中小企业合同金额占工程支出金额的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89.51%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，服务采购授予中小企业合同金额占服务支出金额的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81.97%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、关于国有资产占用情况说明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部门（单位）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共有车辆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339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，副部（省）级及以上领导用车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机要通信用车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辆、应急保障用车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辆、执法执勤用车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辆、特种专业技术用车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离退休干部服务用车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辆、其他用车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，其他用车主要是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云溪分局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一般公务用车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和交警支队其他专用车辆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；单位价值100万元以上设备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（不含车辆）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台（套）。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、关于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年度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预算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绩效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管理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情况的说明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>（一）绩效评价工作开展情况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t>绩</w:t>
      </w:r>
      <w:r>
        <w:rPr>
          <w:rFonts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  <w:t>效自评开展情况。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组织对2024年度本部门（单位）整体支出开展绩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效自评，涉及项目个，共涉及资金8610.13万元。其中，一般公共预算项目20个8610.13万元，占一般公共预算支出总额的9.12%；政府性基金预算项目0个0万元，占政府性基金预算支出总额的0%；国有资本经营预算项目0个0 万元，占国有资本经营预算支出总额的0%；社会保险基金预算项目0个0万元，占社会保险基金预算支出总额的0%。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绩效目标完成情况：2024年，我单位紧紧围绕部门职责与行业发展规划，以预算资金管理为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主线，全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面完成年度绩效目标，实现了高质量的公共服务产出与显著的综合效益。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在运行成本与管理效率方面，通过优化预算执行和资产配置，有效控制了行政运行成本，提升了资源使用效益和管理精细化水平。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全市公安机关在维护政治安全、打击违法犯罪、保障监所安全、整治交通秩序等核心业务领域成效突出，实现监所安全“零事故”和重大交通安保任务圆满完成，有力维护了社会大局稳定和公共安全秩序，增强了人民群众的安全感与获得感。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通过深化政治建警、落实暖警惠警政策、完善教育培训机制，队伍专业素养和履职能力得到提升，为公安工作长远发展奠定了坚实基础。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通过“放管服”改革、摩托车送考上门、事故快处、校园护学岗等便民利民举措，积极回应群众关切，辖区群众对公安工作的满意度保持较高水平。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  <w:t>部门评价开展情况。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组织对所属单位2024年度“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科技强警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”“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扫黑除恶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”等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个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项目开展了部门评价，涉及一般公共预算支出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8610.13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万元，政府性基金预算支出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万元，国有资本经营预算支出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万元，社会保险基金预算支出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万元。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  <w:t>事前绩效评估开展情况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本单位及所属单位本年度未新增重大政策和重大项目，所以无事前绩效评估开展情况。</w:t>
      </w:r>
    </w:p>
    <w:p>
      <w:pPr>
        <w:pStyle w:val="2"/>
        <w:rPr>
          <w:color w:val="auto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>（二）绩效评价结果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  <w:t>绩效自评结果。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2024年度本部门（单位）整体支出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全年预算数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104199.05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万元，执行数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100854.05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96.79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%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，绩效自评得分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94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分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，评价等级为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优秀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”。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绩效目标完成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情况：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本单位在2024年整体运行高效、履职到位，预算资金使用效益显著，全面实现了年度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整体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绩效目标，实现了良好的社会效应和可持续的发展态势。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在维护政治安全与社会稳定、打击违法犯罪、保障监所安全“零事故”、整治交通秩序、提升应急处突能力等方面取得了预期成效。同时，警用装备得到更新升级，队伍履职能力和社会满意度保持稳定，为全市高质量发展提供了有力的公安保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发现的主要问题及原因：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一是部分项目绩效目标设定仍显笼统；二是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保障资源与一线实战需求存在矛盾；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资金使用效益有待提升，压减一般性支出压力较大；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现有保障资源总量有限，制约了管理效率提升。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五是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前瞻性和精准性有待加强，预算管理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业务需求的结合不够紧密。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下一步改进措施：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强化预算绩效管理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加强培训与制度宣传，将绩效管理深度嵌入业务环节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强化绩效结果应用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加强需求调研，优化资源统筹配置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加强专业人才引进与培养，提升队伍专业化水平。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深化资金与资产管理改革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严格落实过“紧日子”要求，优化支出结构，保障重点领域投入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细化预算编制，强化预算约束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提升资产配置计划与管理的科学化、精细化水平。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  <w:t>部门评价结果。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20个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项目全年预算数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8832.7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万元，执行数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8610.13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97.48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%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部门评价得分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97.24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分，评价等级为“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优秀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发现的主要问题及原因：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绩效意识薄弱，绩效目标设定空泛、量化不足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二是预算绩效管理与业务决策流程融合不够，难以完全满足实战需求；三是资金使用的精细化管理程度不足，部分支出成本控制不严，资金使用效益未能达到最大化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下一步改进措施：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深化绩效管理改革，提升预算精准性。强化绩效目标的质量审核，推动指标设定具体化、量化。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优化资源配置模式，建立更加科学的需求调研和响应机制，在资源分配上优先保障重点领域和基层一线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最大限度盘活存量，提高资源使用效益。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强化精细化管理，严守规范高效底线。 严格成本控制，确保每一笔资金都用在刀刃上，发挥最大效益。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事</w:t>
      </w:r>
      <w:r>
        <w:rPr>
          <w:rFonts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前绩效评估结果。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本单位及所属单位本年度未开展事前绩效评估，所以无事前绩效评估结果。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>
      <w:pPr>
        <w:numPr>
          <w:ilvl w:val="0"/>
          <w:numId w:val="3"/>
        </w:num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评价结果应用情况</w:t>
      </w:r>
    </w:p>
    <w:p>
      <w:pPr>
        <w:numPr>
          <w:ilvl w:val="0"/>
          <w:numId w:val="0"/>
        </w:num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根据2024年度各项绩效评价结果，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我单位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将对2025年度预算与管理进行如下优化与调整，强化结果运用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切实将绩效评价结果转化为预算安排、支出优化和管理提升的具体行动，推动绩效管理水平再上新台阶。</w:t>
      </w:r>
    </w:p>
    <w:p>
      <w:pPr>
        <w:numPr>
          <w:ilvl w:val="0"/>
          <w:numId w:val="0"/>
        </w:numPr>
        <w:autoSpaceDE w:val="0"/>
        <w:autoSpaceDN w:val="0"/>
        <w:adjustRightInd w:val="0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推动资源向核心业务和高效领域集中。坚决落实过“紧日子”要求，持续压缩一般性、非急需非刚性支出，将节省的资金重点用于保障一线实战、信息化建设、人才培养等关键环节。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强化全过程绩效监控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加强事中绩效监控与预警，对执行进度缓慢或偏离绩效目标的项目及时纠偏，确保资金支出与预期效益相匹配。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提升资金使用效益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确保财政资金发挥最大效益。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四是建立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制度与长效管理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形成靠制度管人、管事、管钱的长效机制。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预算绩效管理开展情况、绩效目标和绩效评价报告等，已在市政府部门财政预决算公开平台上向社会公开，详见附件。</w:t>
      </w:r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ascii="楷体" w:hAnsi="楷体" w:eastAsia="楷体" w:cs="楷体"/>
          <w:b/>
          <w:bCs/>
          <w:i w:val="0"/>
          <w:iCs w:val="0"/>
          <w:color w:val="auto"/>
          <w:kern w:val="0"/>
          <w:sz w:val="36"/>
          <w:szCs w:val="36"/>
          <w:lang w:val="en-US" w:eastAsia="zh-CN"/>
        </w:rPr>
      </w:pPr>
    </w:p>
    <w:p>
      <w:pPr>
        <w:pStyle w:val="3"/>
        <w:rPr>
          <w:rFonts w:hint="eastAsia" w:ascii="楷体" w:hAnsi="楷体" w:eastAsia="楷体" w:cs="楷体"/>
          <w:b/>
          <w:bCs/>
          <w:i w:val="0"/>
          <w:iCs w:val="0"/>
          <w:color w:val="auto"/>
          <w:kern w:val="0"/>
          <w:sz w:val="36"/>
          <w:szCs w:val="36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color w:val="auto"/>
          <w:sz w:val="72"/>
          <w:szCs w:val="72"/>
        </w:rPr>
      </w:pPr>
    </w:p>
    <w:p>
      <w:pPr>
        <w:pStyle w:val="15"/>
        <w:jc w:val="both"/>
        <w:rPr>
          <w:rFonts w:hint="eastAsia" w:ascii="方正小标宋_GBK" w:hAnsi="方正小标宋_GBK" w:eastAsia="方正小标宋_GBK" w:cs="方正小标宋_GBK"/>
          <w:color w:val="auto"/>
          <w:sz w:val="24"/>
          <w:szCs w:val="24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72"/>
          <w:szCs w:val="72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72"/>
          <w:szCs w:val="72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72"/>
          <w:szCs w:val="72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72"/>
          <w:szCs w:val="72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72"/>
          <w:szCs w:val="72"/>
        </w:rPr>
        <w:t>第四部分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70"/>
          <w:szCs w:val="70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70"/>
          <w:szCs w:val="70"/>
        </w:rPr>
        <w:t>名词解释</w:t>
      </w:r>
    </w:p>
    <w:p>
      <w:pPr>
        <w:pStyle w:val="9"/>
        <w:rPr>
          <w:color w:val="auto"/>
        </w:rPr>
      </w:pPr>
    </w:p>
    <w:p>
      <w:pPr>
        <w:pStyle w:val="5"/>
        <w:rPr>
          <w:color w:val="auto"/>
        </w:rPr>
      </w:pPr>
    </w:p>
    <w:p>
      <w:pPr>
        <w:rPr>
          <w:color w:val="auto"/>
        </w:rPr>
      </w:pPr>
    </w:p>
    <w:p>
      <w:pPr>
        <w:pStyle w:val="9"/>
        <w:rPr>
          <w:color w:val="auto"/>
        </w:rPr>
      </w:pPr>
    </w:p>
    <w:p>
      <w:pPr>
        <w:pStyle w:val="5"/>
        <w:rPr>
          <w:color w:val="auto"/>
        </w:rPr>
      </w:pPr>
    </w:p>
    <w:p>
      <w:pPr>
        <w:rPr>
          <w:color w:val="auto"/>
        </w:rPr>
      </w:pPr>
    </w:p>
    <w:p>
      <w:pPr>
        <w:pStyle w:val="9"/>
        <w:rPr>
          <w:color w:val="auto"/>
        </w:rPr>
      </w:pPr>
    </w:p>
    <w:p>
      <w:pPr>
        <w:pStyle w:val="5"/>
        <w:rPr>
          <w:color w:val="auto"/>
        </w:rPr>
      </w:pPr>
    </w:p>
    <w:p>
      <w:pPr>
        <w:rPr>
          <w:color w:val="auto"/>
        </w:rPr>
      </w:pPr>
    </w:p>
    <w:p>
      <w:pPr>
        <w:pStyle w:val="9"/>
        <w:rPr>
          <w:color w:val="auto"/>
        </w:rPr>
      </w:pPr>
    </w:p>
    <w:p>
      <w:pPr>
        <w:pStyle w:val="5"/>
        <w:rPr>
          <w:color w:val="auto"/>
        </w:rPr>
      </w:pPr>
    </w:p>
    <w:p>
      <w:pPr>
        <w:rPr>
          <w:color w:val="auto"/>
        </w:rPr>
      </w:pPr>
    </w:p>
    <w:p>
      <w:pPr>
        <w:pStyle w:val="9"/>
        <w:rPr>
          <w:color w:val="auto"/>
        </w:rPr>
      </w:pPr>
    </w:p>
    <w:p>
      <w:pPr>
        <w:pStyle w:val="5"/>
        <w:rPr>
          <w:color w:val="auto"/>
        </w:rPr>
      </w:pPr>
    </w:p>
    <w:p>
      <w:pPr>
        <w:rPr>
          <w:color w:val="auto"/>
        </w:rPr>
      </w:pPr>
    </w:p>
    <w:p>
      <w:pPr>
        <w:pStyle w:val="9"/>
        <w:rPr>
          <w:color w:val="auto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Style w:val="9"/>
        <w:rPr>
          <w:rFonts w:hint="eastAsia"/>
          <w:color w:val="auto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二、机关运行经费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，指为保障行政单位（包括参照公务员法管理的事业单位）运行用于购买货物和服务的各项资金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，包括办公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费、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印刷费、邮电费、差旅费、会议费、日常维修费、专用材料及一般设备购置费、办公用房水电费、办公用房取暖费、办公用房物业管理费、公务用车运行维护费以及其他费用。</w:t>
      </w:r>
    </w:p>
    <w:p>
      <w:pPr>
        <w:pStyle w:val="15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5"/>
        <w:rPr>
          <w:color w:val="auto"/>
        </w:rPr>
      </w:pPr>
    </w:p>
    <w:p>
      <w:pPr>
        <w:rPr>
          <w:color w:val="auto"/>
        </w:rPr>
      </w:pPr>
    </w:p>
    <w:p>
      <w:pPr>
        <w:pStyle w:val="9"/>
        <w:rPr>
          <w:color w:val="auto"/>
        </w:rPr>
      </w:pPr>
    </w:p>
    <w:p>
      <w:pPr>
        <w:pStyle w:val="5"/>
        <w:rPr>
          <w:color w:val="auto"/>
        </w:rPr>
      </w:pPr>
    </w:p>
    <w:p>
      <w:pPr>
        <w:rPr>
          <w:color w:val="auto"/>
        </w:rPr>
      </w:pPr>
    </w:p>
    <w:p>
      <w:pPr>
        <w:pStyle w:val="9"/>
        <w:rPr>
          <w:color w:val="auto"/>
        </w:rPr>
      </w:pPr>
    </w:p>
    <w:p>
      <w:pPr>
        <w:pStyle w:val="5"/>
        <w:rPr>
          <w:color w:val="auto"/>
        </w:rPr>
      </w:pPr>
    </w:p>
    <w:p>
      <w:pPr>
        <w:rPr>
          <w:color w:val="auto"/>
        </w:rPr>
      </w:pPr>
    </w:p>
    <w:p>
      <w:pPr>
        <w:pStyle w:val="9"/>
        <w:rPr>
          <w:color w:val="auto"/>
        </w:rPr>
      </w:pPr>
    </w:p>
    <w:p>
      <w:pPr>
        <w:pStyle w:val="5"/>
        <w:rPr>
          <w:color w:val="auto"/>
        </w:rPr>
      </w:pPr>
    </w:p>
    <w:p>
      <w:pPr>
        <w:rPr>
          <w:color w:val="auto"/>
        </w:rPr>
      </w:pPr>
    </w:p>
    <w:p>
      <w:pPr>
        <w:pStyle w:val="9"/>
        <w:rPr>
          <w:color w:val="auto"/>
        </w:rPr>
      </w:pPr>
    </w:p>
    <w:p>
      <w:pPr>
        <w:pStyle w:val="5"/>
        <w:rPr>
          <w:color w:val="auto"/>
        </w:rPr>
      </w:pPr>
    </w:p>
    <w:p>
      <w:pPr>
        <w:rPr>
          <w:color w:val="auto"/>
        </w:rPr>
      </w:pPr>
    </w:p>
    <w:p>
      <w:pPr>
        <w:pStyle w:val="9"/>
        <w:rPr>
          <w:color w:val="auto"/>
        </w:rPr>
      </w:pPr>
    </w:p>
    <w:p>
      <w:pPr>
        <w:pStyle w:val="5"/>
        <w:rPr>
          <w:color w:val="auto"/>
        </w:rPr>
      </w:pPr>
    </w:p>
    <w:p>
      <w:pPr>
        <w:rPr>
          <w:color w:val="auto"/>
        </w:rPr>
      </w:pPr>
    </w:p>
    <w:p>
      <w:pPr>
        <w:pStyle w:val="9"/>
        <w:rPr>
          <w:color w:val="auto"/>
        </w:rPr>
      </w:pPr>
    </w:p>
    <w:p>
      <w:pPr>
        <w:pStyle w:val="5"/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pStyle w:val="9"/>
        <w:rPr>
          <w:color w:val="auto"/>
        </w:rPr>
      </w:pPr>
    </w:p>
    <w:p>
      <w:pPr>
        <w:pStyle w:val="15"/>
        <w:jc w:val="both"/>
        <w:rPr>
          <w:rFonts w:hint="eastAsia" w:ascii="方正小标宋_GBK" w:hAnsi="方正小标宋_GBK" w:eastAsia="方正小标宋_GBK" w:cs="方正小标宋_GBK"/>
          <w:color w:val="auto"/>
          <w:sz w:val="72"/>
          <w:szCs w:val="72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72"/>
          <w:szCs w:val="72"/>
        </w:rPr>
        <w:t>第</w:t>
      </w:r>
      <w:r>
        <w:rPr>
          <w:rFonts w:hint="eastAsia" w:ascii="方正小标宋_GBK" w:hAnsi="方正小标宋_GBK" w:eastAsia="方正小标宋_GBK" w:cs="方正小标宋_GBK"/>
          <w:color w:val="auto"/>
          <w:sz w:val="72"/>
          <w:szCs w:val="72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color w:val="auto"/>
          <w:sz w:val="72"/>
          <w:szCs w:val="72"/>
        </w:rPr>
        <w:t>部分</w:t>
      </w:r>
    </w:p>
    <w:p>
      <w:pPr>
        <w:pStyle w:val="15"/>
        <w:jc w:val="both"/>
        <w:rPr>
          <w:rFonts w:hint="eastAsia" w:ascii="方正小标宋_GBK" w:hAnsi="方正小标宋_GBK" w:eastAsia="方正小标宋_GBK" w:cs="方正小标宋_GBK"/>
          <w:color w:val="auto"/>
          <w:sz w:val="70"/>
          <w:szCs w:val="70"/>
          <w:lang w:eastAsia="zh-CN"/>
        </w:rPr>
      </w:pPr>
    </w:p>
    <w:p>
      <w:pPr>
        <w:pStyle w:val="15"/>
        <w:jc w:val="center"/>
        <w:rPr>
          <w:rFonts w:hint="eastAsia" w:ascii="方正小标宋_GBK" w:hAnsi="方正小标宋_GBK" w:eastAsia="方正小标宋_GBK" w:cs="方正小标宋_GBK"/>
          <w:color w:val="auto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70"/>
          <w:szCs w:val="70"/>
          <w:lang w:eastAsia="zh-CN"/>
        </w:rPr>
        <w:t>附</w:t>
      </w:r>
      <w:r>
        <w:rPr>
          <w:rFonts w:hint="eastAsia" w:ascii="方正小标宋_GBK" w:hAnsi="方正小标宋_GBK" w:eastAsia="方正小标宋_GBK" w:cs="方正小标宋_GBK"/>
          <w:color w:val="auto"/>
          <w:sz w:val="70"/>
          <w:szCs w:val="7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auto"/>
          <w:sz w:val="70"/>
          <w:szCs w:val="70"/>
          <w:lang w:eastAsia="zh-CN"/>
        </w:rPr>
        <w:t>件</w:t>
      </w:r>
    </w:p>
    <w:p>
      <w:pPr>
        <w:ind w:firstLine="640" w:firstLineChars="200"/>
        <w:jc w:val="left"/>
        <w:rPr>
          <w:rFonts w:hint="eastAsia" w:ascii="宋体" w:hAnsi="宋体" w:eastAsia="宋体" w:cs="黑体"/>
          <w:b/>
          <w:color w:val="auto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宋体" w:hAnsi="宋体" w:eastAsia="宋体" w:cs="黑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黑体"/>
          <w:b/>
          <w:color w:val="auto"/>
          <w:kern w:val="0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黑体"/>
          <w:b/>
          <w:color w:val="auto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宋体" w:hAnsi="宋体" w:eastAsia="宋体" w:cs="黑体"/>
          <w:b/>
          <w:color w:val="auto"/>
          <w:kern w:val="0"/>
          <w:sz w:val="32"/>
          <w:szCs w:val="32"/>
          <w:lang w:val="en-US" w:eastAsia="zh-CN"/>
        </w:rPr>
        <w:t>年部门决算公开表格</w:t>
      </w:r>
    </w:p>
    <w:p>
      <w:pPr>
        <w:ind w:firstLine="640" w:firstLineChars="200"/>
        <w:jc w:val="left"/>
        <w:rPr>
          <w:color w:val="auto"/>
        </w:rPr>
      </w:pPr>
      <w:r>
        <w:rPr>
          <w:rFonts w:hint="eastAsia" w:ascii="宋体" w:hAnsi="宋体" w:eastAsia="宋体" w:cs="黑体"/>
          <w:b/>
          <w:color w:val="auto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黑体"/>
          <w:b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宋体" w:hAnsi="宋体" w:eastAsia="宋体" w:cs="黑体"/>
          <w:b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宋体" w:cs="黑体"/>
          <w:b/>
          <w:color w:val="auto"/>
          <w:kern w:val="0"/>
          <w:sz w:val="32"/>
          <w:szCs w:val="32"/>
        </w:rPr>
        <w:t>年度部门整体支出绩效评价报告</w:t>
      </w:r>
    </w:p>
    <w:p>
      <w:pPr>
        <w:ind w:firstLine="640" w:firstLineChars="200"/>
        <w:jc w:val="left"/>
        <w:rPr>
          <w:rFonts w:hint="eastAsia" w:ascii="宋体" w:hAnsi="宋体" w:eastAsia="宋体" w:cs="黑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黑体"/>
          <w:b/>
          <w:color w:val="auto"/>
          <w:kern w:val="0"/>
          <w:sz w:val="32"/>
          <w:szCs w:val="32"/>
          <w:lang w:val="en-US" w:eastAsia="zh-CN"/>
        </w:rPr>
        <w:t>3、岳阳市公安局2024年度部门整体支出绩效自评表</w:t>
      </w:r>
    </w:p>
    <w:p>
      <w:pPr>
        <w:ind w:firstLine="640" w:firstLineChars="200"/>
        <w:jc w:val="left"/>
        <w:rPr>
          <w:rFonts w:hint="default" w:ascii="宋体" w:hAnsi="宋体" w:eastAsia="宋体" w:cs="黑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黑体"/>
          <w:b/>
          <w:color w:val="auto"/>
          <w:kern w:val="0"/>
          <w:sz w:val="32"/>
          <w:szCs w:val="32"/>
          <w:lang w:val="en-US" w:eastAsia="zh-CN"/>
        </w:rPr>
        <w:t>4、岳阳市公安局2024年度项目支出绩效自评表</w:t>
      </w:r>
    </w:p>
    <w:p>
      <w:pPr>
        <w:ind w:firstLine="640" w:firstLineChars="200"/>
        <w:jc w:val="left"/>
        <w:rPr>
          <w:rFonts w:hint="eastAsia" w:ascii="宋体" w:hAnsi="宋体" w:eastAsia="宋体" w:cs="黑体"/>
          <w:b/>
          <w:color w:val="auto"/>
          <w:kern w:val="0"/>
          <w:sz w:val="32"/>
          <w:szCs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DECFD4"/>
    <w:multiLevelType w:val="singleLevel"/>
    <w:tmpl w:val="8EDECFD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3CBC331"/>
    <w:multiLevelType w:val="singleLevel"/>
    <w:tmpl w:val="E3CBC33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F9"/>
    <w:rsid w:val="0002229B"/>
    <w:rsid w:val="00026AFD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0E078E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42B"/>
    <w:rsid w:val="00473DF3"/>
    <w:rsid w:val="00487911"/>
    <w:rsid w:val="00491741"/>
    <w:rsid w:val="004A2CAF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D1441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B4D8E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4FEF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12371D5"/>
    <w:rsid w:val="013E06F2"/>
    <w:rsid w:val="0145091E"/>
    <w:rsid w:val="0169192E"/>
    <w:rsid w:val="018A4AB4"/>
    <w:rsid w:val="019A3EBD"/>
    <w:rsid w:val="01C5405E"/>
    <w:rsid w:val="01EA636A"/>
    <w:rsid w:val="01F064FE"/>
    <w:rsid w:val="01F426D7"/>
    <w:rsid w:val="02046ACB"/>
    <w:rsid w:val="02140092"/>
    <w:rsid w:val="021E4577"/>
    <w:rsid w:val="023648C7"/>
    <w:rsid w:val="026D05D9"/>
    <w:rsid w:val="027B7160"/>
    <w:rsid w:val="02893218"/>
    <w:rsid w:val="02A4556C"/>
    <w:rsid w:val="02C02F82"/>
    <w:rsid w:val="02D36C2F"/>
    <w:rsid w:val="02EB1D5F"/>
    <w:rsid w:val="034E6696"/>
    <w:rsid w:val="03514FD8"/>
    <w:rsid w:val="035F2516"/>
    <w:rsid w:val="03742B91"/>
    <w:rsid w:val="037601D3"/>
    <w:rsid w:val="03E44687"/>
    <w:rsid w:val="03E85E9C"/>
    <w:rsid w:val="042B7C1E"/>
    <w:rsid w:val="0483221B"/>
    <w:rsid w:val="04DB2E45"/>
    <w:rsid w:val="04EB6B91"/>
    <w:rsid w:val="05453A0B"/>
    <w:rsid w:val="058842D3"/>
    <w:rsid w:val="059958AD"/>
    <w:rsid w:val="05AC52FA"/>
    <w:rsid w:val="060D3D89"/>
    <w:rsid w:val="062476D0"/>
    <w:rsid w:val="0651163D"/>
    <w:rsid w:val="066026DA"/>
    <w:rsid w:val="068260C6"/>
    <w:rsid w:val="06873309"/>
    <w:rsid w:val="069137BD"/>
    <w:rsid w:val="06A53639"/>
    <w:rsid w:val="06B43C79"/>
    <w:rsid w:val="06C857E7"/>
    <w:rsid w:val="06FB3F46"/>
    <w:rsid w:val="0702779E"/>
    <w:rsid w:val="070A54E0"/>
    <w:rsid w:val="070B5712"/>
    <w:rsid w:val="071E664A"/>
    <w:rsid w:val="07732A83"/>
    <w:rsid w:val="07A87DA2"/>
    <w:rsid w:val="07B50D6F"/>
    <w:rsid w:val="08315245"/>
    <w:rsid w:val="0852080C"/>
    <w:rsid w:val="08C24A73"/>
    <w:rsid w:val="09432F99"/>
    <w:rsid w:val="0995018D"/>
    <w:rsid w:val="09971DA9"/>
    <w:rsid w:val="09C76D31"/>
    <w:rsid w:val="09DF53B0"/>
    <w:rsid w:val="0A2D1EB0"/>
    <w:rsid w:val="0A87125B"/>
    <w:rsid w:val="0A9C4308"/>
    <w:rsid w:val="0B1231BE"/>
    <w:rsid w:val="0B1D7F23"/>
    <w:rsid w:val="0B2A66A7"/>
    <w:rsid w:val="0B337A44"/>
    <w:rsid w:val="0B656D4E"/>
    <w:rsid w:val="0BB52A96"/>
    <w:rsid w:val="0BCE0081"/>
    <w:rsid w:val="0BDF126A"/>
    <w:rsid w:val="0C265CBD"/>
    <w:rsid w:val="0C6C11AB"/>
    <w:rsid w:val="0C791D2B"/>
    <w:rsid w:val="0C7E5397"/>
    <w:rsid w:val="0CBA58FD"/>
    <w:rsid w:val="0CC96C8A"/>
    <w:rsid w:val="0CFF1B90"/>
    <w:rsid w:val="0D9D1CBC"/>
    <w:rsid w:val="0DA47D15"/>
    <w:rsid w:val="0DA73FC7"/>
    <w:rsid w:val="0DD163D7"/>
    <w:rsid w:val="0DD54FF0"/>
    <w:rsid w:val="0DEE69B5"/>
    <w:rsid w:val="0E0719CC"/>
    <w:rsid w:val="0E0754AC"/>
    <w:rsid w:val="0E435753"/>
    <w:rsid w:val="0E704319"/>
    <w:rsid w:val="0EAB37AE"/>
    <w:rsid w:val="0ECB0478"/>
    <w:rsid w:val="0ECE4AD2"/>
    <w:rsid w:val="0EF75C4E"/>
    <w:rsid w:val="0F1420A3"/>
    <w:rsid w:val="0F2A1029"/>
    <w:rsid w:val="0F37484C"/>
    <w:rsid w:val="0F4D1573"/>
    <w:rsid w:val="0F503246"/>
    <w:rsid w:val="0F7864FE"/>
    <w:rsid w:val="0F7B7634"/>
    <w:rsid w:val="0F806B90"/>
    <w:rsid w:val="0F816E74"/>
    <w:rsid w:val="0F8355AF"/>
    <w:rsid w:val="0FBE255D"/>
    <w:rsid w:val="0FE96F6B"/>
    <w:rsid w:val="0FEF2DAA"/>
    <w:rsid w:val="0FF508E8"/>
    <w:rsid w:val="10180C93"/>
    <w:rsid w:val="101A42BE"/>
    <w:rsid w:val="101D3CC5"/>
    <w:rsid w:val="10200F43"/>
    <w:rsid w:val="10325D24"/>
    <w:rsid w:val="10B14A69"/>
    <w:rsid w:val="10D312F8"/>
    <w:rsid w:val="10E36F24"/>
    <w:rsid w:val="10F554CE"/>
    <w:rsid w:val="10F86020"/>
    <w:rsid w:val="11042AAC"/>
    <w:rsid w:val="116213F0"/>
    <w:rsid w:val="11944E2C"/>
    <w:rsid w:val="11B46BF9"/>
    <w:rsid w:val="11FC3D4F"/>
    <w:rsid w:val="12237B86"/>
    <w:rsid w:val="123C78EA"/>
    <w:rsid w:val="12583BA5"/>
    <w:rsid w:val="12587F7B"/>
    <w:rsid w:val="125942E0"/>
    <w:rsid w:val="12637A93"/>
    <w:rsid w:val="128931AE"/>
    <w:rsid w:val="12BE6736"/>
    <w:rsid w:val="12E57228"/>
    <w:rsid w:val="130A0C66"/>
    <w:rsid w:val="13144785"/>
    <w:rsid w:val="13873FF6"/>
    <w:rsid w:val="13BA5B9C"/>
    <w:rsid w:val="13F175A2"/>
    <w:rsid w:val="13F92BBB"/>
    <w:rsid w:val="14297A36"/>
    <w:rsid w:val="14327E80"/>
    <w:rsid w:val="147E7C9B"/>
    <w:rsid w:val="149A6CCF"/>
    <w:rsid w:val="14A62D0D"/>
    <w:rsid w:val="14AC54CE"/>
    <w:rsid w:val="14F31FC8"/>
    <w:rsid w:val="14FF3AEA"/>
    <w:rsid w:val="150C4F1C"/>
    <w:rsid w:val="15484D7F"/>
    <w:rsid w:val="15DA0C44"/>
    <w:rsid w:val="15FB6774"/>
    <w:rsid w:val="160F5822"/>
    <w:rsid w:val="16137AD3"/>
    <w:rsid w:val="163358DB"/>
    <w:rsid w:val="163B7261"/>
    <w:rsid w:val="164E7CDD"/>
    <w:rsid w:val="168030B5"/>
    <w:rsid w:val="16846F92"/>
    <w:rsid w:val="16CF61C1"/>
    <w:rsid w:val="16E42EBE"/>
    <w:rsid w:val="17327E93"/>
    <w:rsid w:val="173C1320"/>
    <w:rsid w:val="17923370"/>
    <w:rsid w:val="189F030A"/>
    <w:rsid w:val="18A02944"/>
    <w:rsid w:val="18A72DC5"/>
    <w:rsid w:val="194D3C40"/>
    <w:rsid w:val="199F29E6"/>
    <w:rsid w:val="1A0F5DB0"/>
    <w:rsid w:val="1A2E378C"/>
    <w:rsid w:val="1A330031"/>
    <w:rsid w:val="1A5C5495"/>
    <w:rsid w:val="1A710CE1"/>
    <w:rsid w:val="1A713A29"/>
    <w:rsid w:val="1A800D1A"/>
    <w:rsid w:val="1B2101C2"/>
    <w:rsid w:val="1B3C18E8"/>
    <w:rsid w:val="1B4114C4"/>
    <w:rsid w:val="1B5F3067"/>
    <w:rsid w:val="1B8859DE"/>
    <w:rsid w:val="1BB92BDD"/>
    <w:rsid w:val="1BED796A"/>
    <w:rsid w:val="1C183A81"/>
    <w:rsid w:val="1C57645D"/>
    <w:rsid w:val="1C7403F0"/>
    <w:rsid w:val="1C765A93"/>
    <w:rsid w:val="1CB0429C"/>
    <w:rsid w:val="1CBB5A97"/>
    <w:rsid w:val="1CDE276F"/>
    <w:rsid w:val="1CFD019E"/>
    <w:rsid w:val="1D010314"/>
    <w:rsid w:val="1D120F14"/>
    <w:rsid w:val="1D53175F"/>
    <w:rsid w:val="1D8D6463"/>
    <w:rsid w:val="1D97DEFF"/>
    <w:rsid w:val="1DDA6F53"/>
    <w:rsid w:val="1DFF72E5"/>
    <w:rsid w:val="1E1E4837"/>
    <w:rsid w:val="1E4122CF"/>
    <w:rsid w:val="1E522AAD"/>
    <w:rsid w:val="1E833DE9"/>
    <w:rsid w:val="1EAA0133"/>
    <w:rsid w:val="1EC649EA"/>
    <w:rsid w:val="1EFB1464"/>
    <w:rsid w:val="1EFC6F07"/>
    <w:rsid w:val="1F0527A6"/>
    <w:rsid w:val="1F0C580D"/>
    <w:rsid w:val="1F2A5AFC"/>
    <w:rsid w:val="1F5752D1"/>
    <w:rsid w:val="1F5B07E5"/>
    <w:rsid w:val="1F753279"/>
    <w:rsid w:val="1FA514C1"/>
    <w:rsid w:val="1FF6270C"/>
    <w:rsid w:val="201510A8"/>
    <w:rsid w:val="202041CA"/>
    <w:rsid w:val="20233C63"/>
    <w:rsid w:val="20DE4C6B"/>
    <w:rsid w:val="212546B4"/>
    <w:rsid w:val="213509EA"/>
    <w:rsid w:val="21367AF7"/>
    <w:rsid w:val="21490F9F"/>
    <w:rsid w:val="218678AB"/>
    <w:rsid w:val="21896AC5"/>
    <w:rsid w:val="218A6063"/>
    <w:rsid w:val="218B5B15"/>
    <w:rsid w:val="21F321D6"/>
    <w:rsid w:val="22120490"/>
    <w:rsid w:val="221F6625"/>
    <w:rsid w:val="224659BB"/>
    <w:rsid w:val="225E513E"/>
    <w:rsid w:val="2261484C"/>
    <w:rsid w:val="227835D3"/>
    <w:rsid w:val="229000BB"/>
    <w:rsid w:val="22AC03C2"/>
    <w:rsid w:val="22D7739D"/>
    <w:rsid w:val="22DF1C0E"/>
    <w:rsid w:val="23006F64"/>
    <w:rsid w:val="232260ED"/>
    <w:rsid w:val="23227EA7"/>
    <w:rsid w:val="232E49AF"/>
    <w:rsid w:val="233E76C7"/>
    <w:rsid w:val="23657174"/>
    <w:rsid w:val="236B5672"/>
    <w:rsid w:val="23AC6A57"/>
    <w:rsid w:val="23C52BA8"/>
    <w:rsid w:val="23F374D7"/>
    <w:rsid w:val="23F57C42"/>
    <w:rsid w:val="240A09B0"/>
    <w:rsid w:val="241815DF"/>
    <w:rsid w:val="25287A7A"/>
    <w:rsid w:val="25651AEC"/>
    <w:rsid w:val="25754F5D"/>
    <w:rsid w:val="258C5057"/>
    <w:rsid w:val="25AE69D8"/>
    <w:rsid w:val="25D61656"/>
    <w:rsid w:val="25E745B5"/>
    <w:rsid w:val="25F906AB"/>
    <w:rsid w:val="26082A36"/>
    <w:rsid w:val="26603966"/>
    <w:rsid w:val="268C0984"/>
    <w:rsid w:val="26AE3626"/>
    <w:rsid w:val="26BD2520"/>
    <w:rsid w:val="26F4693B"/>
    <w:rsid w:val="26FD1677"/>
    <w:rsid w:val="270A02DB"/>
    <w:rsid w:val="270D5BF3"/>
    <w:rsid w:val="2727235B"/>
    <w:rsid w:val="273807F4"/>
    <w:rsid w:val="277D2CE3"/>
    <w:rsid w:val="27B95F52"/>
    <w:rsid w:val="27D413E5"/>
    <w:rsid w:val="27E12314"/>
    <w:rsid w:val="27FA790A"/>
    <w:rsid w:val="283B15FE"/>
    <w:rsid w:val="28780228"/>
    <w:rsid w:val="287D1F4F"/>
    <w:rsid w:val="288E0F4E"/>
    <w:rsid w:val="289A571B"/>
    <w:rsid w:val="289D3850"/>
    <w:rsid w:val="28B626ED"/>
    <w:rsid w:val="28F81A8F"/>
    <w:rsid w:val="2902721C"/>
    <w:rsid w:val="290838EE"/>
    <w:rsid w:val="290D11E8"/>
    <w:rsid w:val="2912654C"/>
    <w:rsid w:val="299C183F"/>
    <w:rsid w:val="29AA54B1"/>
    <w:rsid w:val="2A2A0DA6"/>
    <w:rsid w:val="2A85185C"/>
    <w:rsid w:val="2A856538"/>
    <w:rsid w:val="2AAC66EF"/>
    <w:rsid w:val="2ABA6F03"/>
    <w:rsid w:val="2AD009CF"/>
    <w:rsid w:val="2B146C6B"/>
    <w:rsid w:val="2B550481"/>
    <w:rsid w:val="2B8E5AF9"/>
    <w:rsid w:val="2BD32AE3"/>
    <w:rsid w:val="2C217B2A"/>
    <w:rsid w:val="2C375F95"/>
    <w:rsid w:val="2C573B7D"/>
    <w:rsid w:val="2C607782"/>
    <w:rsid w:val="2C7B15D2"/>
    <w:rsid w:val="2C8F54C9"/>
    <w:rsid w:val="2CA837FE"/>
    <w:rsid w:val="2CAA1F61"/>
    <w:rsid w:val="2CAF6D15"/>
    <w:rsid w:val="2CD81C55"/>
    <w:rsid w:val="2D057A18"/>
    <w:rsid w:val="2D440E4C"/>
    <w:rsid w:val="2D51513B"/>
    <w:rsid w:val="2D593E6A"/>
    <w:rsid w:val="2D717BDC"/>
    <w:rsid w:val="2D8C4F75"/>
    <w:rsid w:val="2D9F2014"/>
    <w:rsid w:val="2DD81087"/>
    <w:rsid w:val="2DF03297"/>
    <w:rsid w:val="2E265F9C"/>
    <w:rsid w:val="2E500DD1"/>
    <w:rsid w:val="2E557E90"/>
    <w:rsid w:val="2EA233B8"/>
    <w:rsid w:val="2ECA5FE5"/>
    <w:rsid w:val="2F290B02"/>
    <w:rsid w:val="2F3F76A2"/>
    <w:rsid w:val="2F6D7874"/>
    <w:rsid w:val="2F7206E7"/>
    <w:rsid w:val="2FDF85B8"/>
    <w:rsid w:val="2FFFEE04"/>
    <w:rsid w:val="302E680D"/>
    <w:rsid w:val="303A6B8E"/>
    <w:rsid w:val="30475429"/>
    <w:rsid w:val="30483134"/>
    <w:rsid w:val="305642DB"/>
    <w:rsid w:val="30AD1B8A"/>
    <w:rsid w:val="30EB06F3"/>
    <w:rsid w:val="30F7306D"/>
    <w:rsid w:val="30FE5CCF"/>
    <w:rsid w:val="310035E7"/>
    <w:rsid w:val="313A7EC4"/>
    <w:rsid w:val="3154722F"/>
    <w:rsid w:val="31770DFD"/>
    <w:rsid w:val="31AE7460"/>
    <w:rsid w:val="31C95635"/>
    <w:rsid w:val="31CC095D"/>
    <w:rsid w:val="31E53B3D"/>
    <w:rsid w:val="31F279DB"/>
    <w:rsid w:val="32030095"/>
    <w:rsid w:val="32193F2C"/>
    <w:rsid w:val="326B7A13"/>
    <w:rsid w:val="326C6EA7"/>
    <w:rsid w:val="32B00131"/>
    <w:rsid w:val="330408B4"/>
    <w:rsid w:val="33141183"/>
    <w:rsid w:val="332B1888"/>
    <w:rsid w:val="333427E4"/>
    <w:rsid w:val="334B1496"/>
    <w:rsid w:val="336479E9"/>
    <w:rsid w:val="33D8163F"/>
    <w:rsid w:val="33DD6312"/>
    <w:rsid w:val="33E33380"/>
    <w:rsid w:val="33F1116C"/>
    <w:rsid w:val="342235BE"/>
    <w:rsid w:val="342D000C"/>
    <w:rsid w:val="344F5DA1"/>
    <w:rsid w:val="347B19CF"/>
    <w:rsid w:val="347F4FFF"/>
    <w:rsid w:val="3490291E"/>
    <w:rsid w:val="349C1BF5"/>
    <w:rsid w:val="349D6576"/>
    <w:rsid w:val="349F4558"/>
    <w:rsid w:val="34C7738A"/>
    <w:rsid w:val="34DF379E"/>
    <w:rsid w:val="34DF85B0"/>
    <w:rsid w:val="34FA654C"/>
    <w:rsid w:val="35055BEE"/>
    <w:rsid w:val="352A3675"/>
    <w:rsid w:val="35510E21"/>
    <w:rsid w:val="358C61AC"/>
    <w:rsid w:val="358E5AE3"/>
    <w:rsid w:val="359109B4"/>
    <w:rsid w:val="35947A30"/>
    <w:rsid w:val="35B562A8"/>
    <w:rsid w:val="35E80F39"/>
    <w:rsid w:val="360A6027"/>
    <w:rsid w:val="36982676"/>
    <w:rsid w:val="36A41CDA"/>
    <w:rsid w:val="36D04BE9"/>
    <w:rsid w:val="377A560B"/>
    <w:rsid w:val="377F34CF"/>
    <w:rsid w:val="37F42D84"/>
    <w:rsid w:val="380B6E90"/>
    <w:rsid w:val="382C425F"/>
    <w:rsid w:val="3847030C"/>
    <w:rsid w:val="384734B9"/>
    <w:rsid w:val="388A58EC"/>
    <w:rsid w:val="388D0627"/>
    <w:rsid w:val="388F2587"/>
    <w:rsid w:val="388F4957"/>
    <w:rsid w:val="38E51F51"/>
    <w:rsid w:val="38F44DFD"/>
    <w:rsid w:val="39015412"/>
    <w:rsid w:val="39290A49"/>
    <w:rsid w:val="39306114"/>
    <w:rsid w:val="394F3402"/>
    <w:rsid w:val="39517162"/>
    <w:rsid w:val="398B440B"/>
    <w:rsid w:val="39BA65F4"/>
    <w:rsid w:val="3A07326A"/>
    <w:rsid w:val="3A39023E"/>
    <w:rsid w:val="3AE8063C"/>
    <w:rsid w:val="3AF64E5C"/>
    <w:rsid w:val="3B032605"/>
    <w:rsid w:val="3B1C2EBC"/>
    <w:rsid w:val="3B2A3C05"/>
    <w:rsid w:val="3B562849"/>
    <w:rsid w:val="3B5A21C2"/>
    <w:rsid w:val="3B8F36BC"/>
    <w:rsid w:val="3B922FA8"/>
    <w:rsid w:val="3B973764"/>
    <w:rsid w:val="3BC80DF6"/>
    <w:rsid w:val="3BDE7235"/>
    <w:rsid w:val="3BF323F5"/>
    <w:rsid w:val="3C0555B2"/>
    <w:rsid w:val="3C0703C8"/>
    <w:rsid w:val="3C5744DA"/>
    <w:rsid w:val="3CAE54E5"/>
    <w:rsid w:val="3CE805A0"/>
    <w:rsid w:val="3D064D51"/>
    <w:rsid w:val="3D204955"/>
    <w:rsid w:val="3D75217E"/>
    <w:rsid w:val="3D891D4F"/>
    <w:rsid w:val="3DAB4E92"/>
    <w:rsid w:val="3DB56126"/>
    <w:rsid w:val="3DD31FFD"/>
    <w:rsid w:val="3DEB2E7D"/>
    <w:rsid w:val="3DEE2365"/>
    <w:rsid w:val="3E4F64F7"/>
    <w:rsid w:val="3E853C47"/>
    <w:rsid w:val="3E990B01"/>
    <w:rsid w:val="3EA45656"/>
    <w:rsid w:val="3EC93452"/>
    <w:rsid w:val="3ECF0CB1"/>
    <w:rsid w:val="3F3374AC"/>
    <w:rsid w:val="3F3C29A4"/>
    <w:rsid w:val="3F5C1F98"/>
    <w:rsid w:val="3F6541CC"/>
    <w:rsid w:val="3F9F5FB0"/>
    <w:rsid w:val="3FAF4A88"/>
    <w:rsid w:val="3FB524CB"/>
    <w:rsid w:val="3FD43D5C"/>
    <w:rsid w:val="3FE71F76"/>
    <w:rsid w:val="400027B4"/>
    <w:rsid w:val="400A506F"/>
    <w:rsid w:val="400B5D55"/>
    <w:rsid w:val="40A2570E"/>
    <w:rsid w:val="40AB08A7"/>
    <w:rsid w:val="40AD52C8"/>
    <w:rsid w:val="41076E97"/>
    <w:rsid w:val="41374E57"/>
    <w:rsid w:val="413A2CA4"/>
    <w:rsid w:val="41423FB5"/>
    <w:rsid w:val="415450CA"/>
    <w:rsid w:val="415C6917"/>
    <w:rsid w:val="415E4198"/>
    <w:rsid w:val="417647A8"/>
    <w:rsid w:val="41916C93"/>
    <w:rsid w:val="42330910"/>
    <w:rsid w:val="424B7A2A"/>
    <w:rsid w:val="428E728B"/>
    <w:rsid w:val="42B3324F"/>
    <w:rsid w:val="42CD7D83"/>
    <w:rsid w:val="42EC5036"/>
    <w:rsid w:val="430401F7"/>
    <w:rsid w:val="43150BC2"/>
    <w:rsid w:val="43486FC5"/>
    <w:rsid w:val="43A82406"/>
    <w:rsid w:val="43E477E7"/>
    <w:rsid w:val="43EB5BA5"/>
    <w:rsid w:val="43F4170D"/>
    <w:rsid w:val="44023528"/>
    <w:rsid w:val="444B5844"/>
    <w:rsid w:val="44737DD0"/>
    <w:rsid w:val="45280700"/>
    <w:rsid w:val="456071FF"/>
    <w:rsid w:val="45D219CE"/>
    <w:rsid w:val="45E63259"/>
    <w:rsid w:val="45E6775B"/>
    <w:rsid w:val="45F21C6D"/>
    <w:rsid w:val="45F75F67"/>
    <w:rsid w:val="4617623F"/>
    <w:rsid w:val="462D3B70"/>
    <w:rsid w:val="46FA7F86"/>
    <w:rsid w:val="46FC2BCB"/>
    <w:rsid w:val="471049F2"/>
    <w:rsid w:val="47400BF3"/>
    <w:rsid w:val="4758365D"/>
    <w:rsid w:val="475A3243"/>
    <w:rsid w:val="477073BE"/>
    <w:rsid w:val="478C21BE"/>
    <w:rsid w:val="47F464F4"/>
    <w:rsid w:val="489D36D5"/>
    <w:rsid w:val="48D1507C"/>
    <w:rsid w:val="49154AB3"/>
    <w:rsid w:val="491FF225"/>
    <w:rsid w:val="49253171"/>
    <w:rsid w:val="49276E1D"/>
    <w:rsid w:val="494E58B1"/>
    <w:rsid w:val="496B6513"/>
    <w:rsid w:val="49EA51B5"/>
    <w:rsid w:val="49F011E4"/>
    <w:rsid w:val="4A091D61"/>
    <w:rsid w:val="4A6348E1"/>
    <w:rsid w:val="4A7F22C4"/>
    <w:rsid w:val="4A9C5757"/>
    <w:rsid w:val="4AA479B4"/>
    <w:rsid w:val="4ABB274C"/>
    <w:rsid w:val="4AEF5FE9"/>
    <w:rsid w:val="4B2E4669"/>
    <w:rsid w:val="4B66413A"/>
    <w:rsid w:val="4B9324B9"/>
    <w:rsid w:val="4BAB727C"/>
    <w:rsid w:val="4BDB063B"/>
    <w:rsid w:val="4BE41DA2"/>
    <w:rsid w:val="4BEF549D"/>
    <w:rsid w:val="4BF70D59"/>
    <w:rsid w:val="4C194E4E"/>
    <w:rsid w:val="4C297E16"/>
    <w:rsid w:val="4C505A95"/>
    <w:rsid w:val="4C733B39"/>
    <w:rsid w:val="4CC90731"/>
    <w:rsid w:val="4D036B3E"/>
    <w:rsid w:val="4D091436"/>
    <w:rsid w:val="4D5708FC"/>
    <w:rsid w:val="4DA52B68"/>
    <w:rsid w:val="4DBF0123"/>
    <w:rsid w:val="4DC20065"/>
    <w:rsid w:val="4E002DF5"/>
    <w:rsid w:val="4E0524F5"/>
    <w:rsid w:val="4E1B61C5"/>
    <w:rsid w:val="4E311944"/>
    <w:rsid w:val="4E335C67"/>
    <w:rsid w:val="4EC310A1"/>
    <w:rsid w:val="4EDA56AD"/>
    <w:rsid w:val="4F7E3501"/>
    <w:rsid w:val="4F8E16AF"/>
    <w:rsid w:val="4F965EC1"/>
    <w:rsid w:val="4FCF150E"/>
    <w:rsid w:val="4FFD214C"/>
    <w:rsid w:val="505F26C5"/>
    <w:rsid w:val="50AD63B6"/>
    <w:rsid w:val="50C93033"/>
    <w:rsid w:val="50D65745"/>
    <w:rsid w:val="50DB754D"/>
    <w:rsid w:val="51086CC9"/>
    <w:rsid w:val="51142272"/>
    <w:rsid w:val="511476D6"/>
    <w:rsid w:val="51244E21"/>
    <w:rsid w:val="517003EE"/>
    <w:rsid w:val="5191231A"/>
    <w:rsid w:val="51CF606E"/>
    <w:rsid w:val="51DB17C5"/>
    <w:rsid w:val="521803E7"/>
    <w:rsid w:val="522B3994"/>
    <w:rsid w:val="52361FAB"/>
    <w:rsid w:val="52384746"/>
    <w:rsid w:val="52444636"/>
    <w:rsid w:val="524A1602"/>
    <w:rsid w:val="52562B28"/>
    <w:rsid w:val="52564530"/>
    <w:rsid w:val="52613E2A"/>
    <w:rsid w:val="52867D35"/>
    <w:rsid w:val="52A95649"/>
    <w:rsid w:val="52B57A2C"/>
    <w:rsid w:val="52D817E5"/>
    <w:rsid w:val="52FD5DFA"/>
    <w:rsid w:val="53281DFC"/>
    <w:rsid w:val="533C389E"/>
    <w:rsid w:val="5352765A"/>
    <w:rsid w:val="537B4857"/>
    <w:rsid w:val="53913653"/>
    <w:rsid w:val="53966DBC"/>
    <w:rsid w:val="54114713"/>
    <w:rsid w:val="543C43B6"/>
    <w:rsid w:val="544133D8"/>
    <w:rsid w:val="545829E4"/>
    <w:rsid w:val="549B56E2"/>
    <w:rsid w:val="54E93EAB"/>
    <w:rsid w:val="54F96D0B"/>
    <w:rsid w:val="552B6B70"/>
    <w:rsid w:val="553D35F3"/>
    <w:rsid w:val="554F4003"/>
    <w:rsid w:val="556563B3"/>
    <w:rsid w:val="55767440"/>
    <w:rsid w:val="5578130C"/>
    <w:rsid w:val="55B50ABC"/>
    <w:rsid w:val="55DB7BB2"/>
    <w:rsid w:val="55F873A4"/>
    <w:rsid w:val="561F12B8"/>
    <w:rsid w:val="564C4CD7"/>
    <w:rsid w:val="56682291"/>
    <w:rsid w:val="56696C98"/>
    <w:rsid w:val="56711A06"/>
    <w:rsid w:val="567302A7"/>
    <w:rsid w:val="5675274C"/>
    <w:rsid w:val="56781A31"/>
    <w:rsid w:val="56E36C87"/>
    <w:rsid w:val="56F65FFB"/>
    <w:rsid w:val="5777D4F5"/>
    <w:rsid w:val="57C24802"/>
    <w:rsid w:val="57C70943"/>
    <w:rsid w:val="57F22B6F"/>
    <w:rsid w:val="58031E43"/>
    <w:rsid w:val="580A2DB7"/>
    <w:rsid w:val="584B072A"/>
    <w:rsid w:val="585810FB"/>
    <w:rsid w:val="587B3EA6"/>
    <w:rsid w:val="589437FA"/>
    <w:rsid w:val="58C87F90"/>
    <w:rsid w:val="58CA79CC"/>
    <w:rsid w:val="590469F8"/>
    <w:rsid w:val="59131DC9"/>
    <w:rsid w:val="591A1082"/>
    <w:rsid w:val="595E001C"/>
    <w:rsid w:val="59800C64"/>
    <w:rsid w:val="59854115"/>
    <w:rsid w:val="598663E2"/>
    <w:rsid w:val="59A97E54"/>
    <w:rsid w:val="59DD8326"/>
    <w:rsid w:val="5A026461"/>
    <w:rsid w:val="5A091665"/>
    <w:rsid w:val="5A0E316A"/>
    <w:rsid w:val="5A112605"/>
    <w:rsid w:val="5A2C4559"/>
    <w:rsid w:val="5A5A4872"/>
    <w:rsid w:val="5A9C0047"/>
    <w:rsid w:val="5AA17D13"/>
    <w:rsid w:val="5AA56A48"/>
    <w:rsid w:val="5AB36E38"/>
    <w:rsid w:val="5ACF2609"/>
    <w:rsid w:val="5AD574B4"/>
    <w:rsid w:val="5AE33D63"/>
    <w:rsid w:val="5AEE32C3"/>
    <w:rsid w:val="5AF92CB2"/>
    <w:rsid w:val="5AFC1F32"/>
    <w:rsid w:val="5AFC6C28"/>
    <w:rsid w:val="5AFF0EB9"/>
    <w:rsid w:val="5B313557"/>
    <w:rsid w:val="5B421765"/>
    <w:rsid w:val="5B5A12FD"/>
    <w:rsid w:val="5B69252D"/>
    <w:rsid w:val="5B8727DA"/>
    <w:rsid w:val="5BE1436E"/>
    <w:rsid w:val="5BE91FA0"/>
    <w:rsid w:val="5BEA3591"/>
    <w:rsid w:val="5C1D12F3"/>
    <w:rsid w:val="5C352EC2"/>
    <w:rsid w:val="5C416D05"/>
    <w:rsid w:val="5C540084"/>
    <w:rsid w:val="5CC53139"/>
    <w:rsid w:val="5CEF2118"/>
    <w:rsid w:val="5D0E0F1F"/>
    <w:rsid w:val="5D331AE8"/>
    <w:rsid w:val="5D612D95"/>
    <w:rsid w:val="5D960A1F"/>
    <w:rsid w:val="5DBC642D"/>
    <w:rsid w:val="5DE44C3B"/>
    <w:rsid w:val="5DE81C59"/>
    <w:rsid w:val="5DEF592A"/>
    <w:rsid w:val="5DF65D51"/>
    <w:rsid w:val="5E375A5C"/>
    <w:rsid w:val="5EB442D3"/>
    <w:rsid w:val="5EDA0943"/>
    <w:rsid w:val="5EDF6B22"/>
    <w:rsid w:val="5EE32C5B"/>
    <w:rsid w:val="5EFC4FC8"/>
    <w:rsid w:val="5F1E39A3"/>
    <w:rsid w:val="5F4A7A41"/>
    <w:rsid w:val="5F784537"/>
    <w:rsid w:val="5F851A29"/>
    <w:rsid w:val="5F857810"/>
    <w:rsid w:val="5FAE1272"/>
    <w:rsid w:val="5FC6BB1E"/>
    <w:rsid w:val="5FF720F1"/>
    <w:rsid w:val="5FF86F5E"/>
    <w:rsid w:val="601B3F51"/>
    <w:rsid w:val="605343B2"/>
    <w:rsid w:val="60B913EB"/>
    <w:rsid w:val="611A01B3"/>
    <w:rsid w:val="617D5386"/>
    <w:rsid w:val="6182637A"/>
    <w:rsid w:val="61843B11"/>
    <w:rsid w:val="61A76BA9"/>
    <w:rsid w:val="61B41191"/>
    <w:rsid w:val="61ED4CE2"/>
    <w:rsid w:val="62027112"/>
    <w:rsid w:val="620C492D"/>
    <w:rsid w:val="622964C1"/>
    <w:rsid w:val="622E5F18"/>
    <w:rsid w:val="624C3CA2"/>
    <w:rsid w:val="62C45347"/>
    <w:rsid w:val="63D95657"/>
    <w:rsid w:val="63E708DB"/>
    <w:rsid w:val="63EC5EAE"/>
    <w:rsid w:val="64026AC0"/>
    <w:rsid w:val="64172E22"/>
    <w:rsid w:val="647804AA"/>
    <w:rsid w:val="648A557F"/>
    <w:rsid w:val="648D6E01"/>
    <w:rsid w:val="649577D2"/>
    <w:rsid w:val="64B77742"/>
    <w:rsid w:val="64F2487D"/>
    <w:rsid w:val="65515B2B"/>
    <w:rsid w:val="65593A42"/>
    <w:rsid w:val="65B01008"/>
    <w:rsid w:val="65CC582E"/>
    <w:rsid w:val="65EF32D4"/>
    <w:rsid w:val="660A39CD"/>
    <w:rsid w:val="66426594"/>
    <w:rsid w:val="666C079D"/>
    <w:rsid w:val="66B97160"/>
    <w:rsid w:val="66F71A2E"/>
    <w:rsid w:val="6747066A"/>
    <w:rsid w:val="674E4B33"/>
    <w:rsid w:val="67887EC2"/>
    <w:rsid w:val="67C34916"/>
    <w:rsid w:val="67CA177A"/>
    <w:rsid w:val="67DF03F2"/>
    <w:rsid w:val="67F36D33"/>
    <w:rsid w:val="67FF5C0B"/>
    <w:rsid w:val="682E665E"/>
    <w:rsid w:val="6831406D"/>
    <w:rsid w:val="68444B1A"/>
    <w:rsid w:val="684D6F41"/>
    <w:rsid w:val="685B0E88"/>
    <w:rsid w:val="68605027"/>
    <w:rsid w:val="68715A1E"/>
    <w:rsid w:val="68731451"/>
    <w:rsid w:val="68B30F3C"/>
    <w:rsid w:val="68CF0766"/>
    <w:rsid w:val="69094973"/>
    <w:rsid w:val="690E36B1"/>
    <w:rsid w:val="692A3F8E"/>
    <w:rsid w:val="694834B0"/>
    <w:rsid w:val="69693912"/>
    <w:rsid w:val="69AF6586"/>
    <w:rsid w:val="69C96580"/>
    <w:rsid w:val="69FA40BE"/>
    <w:rsid w:val="6A127E19"/>
    <w:rsid w:val="6A4B4CDA"/>
    <w:rsid w:val="6AA318DE"/>
    <w:rsid w:val="6B1348EE"/>
    <w:rsid w:val="6B1B1DBC"/>
    <w:rsid w:val="6B461598"/>
    <w:rsid w:val="6B977FCD"/>
    <w:rsid w:val="6BAA4A2F"/>
    <w:rsid w:val="6BAC6244"/>
    <w:rsid w:val="6BDB299E"/>
    <w:rsid w:val="6BDE0C51"/>
    <w:rsid w:val="6BE1633E"/>
    <w:rsid w:val="6C1144B5"/>
    <w:rsid w:val="6C17134C"/>
    <w:rsid w:val="6C1C6A98"/>
    <w:rsid w:val="6C262165"/>
    <w:rsid w:val="6C5B3D2E"/>
    <w:rsid w:val="6C8B2F56"/>
    <w:rsid w:val="6C9F52A0"/>
    <w:rsid w:val="6CA93707"/>
    <w:rsid w:val="6CC05821"/>
    <w:rsid w:val="6D505505"/>
    <w:rsid w:val="6D562AE4"/>
    <w:rsid w:val="6D91058B"/>
    <w:rsid w:val="6D967C55"/>
    <w:rsid w:val="6D9E2FFD"/>
    <w:rsid w:val="6DDEC5C0"/>
    <w:rsid w:val="6DE96842"/>
    <w:rsid w:val="6E0A63FB"/>
    <w:rsid w:val="6E1004F4"/>
    <w:rsid w:val="6E1D7EAD"/>
    <w:rsid w:val="6E3C1820"/>
    <w:rsid w:val="6E4823B1"/>
    <w:rsid w:val="6E647352"/>
    <w:rsid w:val="6EA84DF2"/>
    <w:rsid w:val="6EFC0924"/>
    <w:rsid w:val="6F331AB6"/>
    <w:rsid w:val="6F644D2E"/>
    <w:rsid w:val="6F82746D"/>
    <w:rsid w:val="6F954E4C"/>
    <w:rsid w:val="6FA67A6F"/>
    <w:rsid w:val="6FB74722"/>
    <w:rsid w:val="6FCE63F5"/>
    <w:rsid w:val="6FEF8B7E"/>
    <w:rsid w:val="70952446"/>
    <w:rsid w:val="70961E97"/>
    <w:rsid w:val="70BB17FF"/>
    <w:rsid w:val="70CF0AFD"/>
    <w:rsid w:val="70ED7038"/>
    <w:rsid w:val="71015931"/>
    <w:rsid w:val="711E2B9A"/>
    <w:rsid w:val="7139078A"/>
    <w:rsid w:val="715E3FFC"/>
    <w:rsid w:val="71741AFB"/>
    <w:rsid w:val="717FE77F"/>
    <w:rsid w:val="718E06B7"/>
    <w:rsid w:val="71A6591B"/>
    <w:rsid w:val="71BB2B09"/>
    <w:rsid w:val="71E2790D"/>
    <w:rsid w:val="72245268"/>
    <w:rsid w:val="7235326D"/>
    <w:rsid w:val="726A35DF"/>
    <w:rsid w:val="727932FA"/>
    <w:rsid w:val="72894085"/>
    <w:rsid w:val="72A26384"/>
    <w:rsid w:val="73482DAB"/>
    <w:rsid w:val="737C00DB"/>
    <w:rsid w:val="737D59BA"/>
    <w:rsid w:val="737F32B1"/>
    <w:rsid w:val="73AC4E3F"/>
    <w:rsid w:val="73B65B8E"/>
    <w:rsid w:val="73B92770"/>
    <w:rsid w:val="73BD3FCA"/>
    <w:rsid w:val="73CA53A8"/>
    <w:rsid w:val="74150B8B"/>
    <w:rsid w:val="747C4735"/>
    <w:rsid w:val="74AB0B0E"/>
    <w:rsid w:val="74DA4CE7"/>
    <w:rsid w:val="74DB2F32"/>
    <w:rsid w:val="74E049D7"/>
    <w:rsid w:val="74FF0673"/>
    <w:rsid w:val="751153DF"/>
    <w:rsid w:val="75314A84"/>
    <w:rsid w:val="756B3BB7"/>
    <w:rsid w:val="75703F65"/>
    <w:rsid w:val="75857DBC"/>
    <w:rsid w:val="75AE03B6"/>
    <w:rsid w:val="75C36548"/>
    <w:rsid w:val="75C9144B"/>
    <w:rsid w:val="75E176F1"/>
    <w:rsid w:val="75F63693"/>
    <w:rsid w:val="76715D5E"/>
    <w:rsid w:val="76840A88"/>
    <w:rsid w:val="76B02CF2"/>
    <w:rsid w:val="76CB1660"/>
    <w:rsid w:val="772A1BD3"/>
    <w:rsid w:val="776BDA01"/>
    <w:rsid w:val="77C13B0E"/>
    <w:rsid w:val="77C37683"/>
    <w:rsid w:val="77E3133E"/>
    <w:rsid w:val="77EB439F"/>
    <w:rsid w:val="780D4793"/>
    <w:rsid w:val="782029D5"/>
    <w:rsid w:val="78B426A8"/>
    <w:rsid w:val="78E02F76"/>
    <w:rsid w:val="7929086E"/>
    <w:rsid w:val="7936116C"/>
    <w:rsid w:val="79462A64"/>
    <w:rsid w:val="79640322"/>
    <w:rsid w:val="79D466E0"/>
    <w:rsid w:val="79F35ADE"/>
    <w:rsid w:val="79FF515B"/>
    <w:rsid w:val="7A085599"/>
    <w:rsid w:val="7A397F2D"/>
    <w:rsid w:val="7A4A5008"/>
    <w:rsid w:val="7A4D5F65"/>
    <w:rsid w:val="7A5A0CA1"/>
    <w:rsid w:val="7A6F52F7"/>
    <w:rsid w:val="7A820896"/>
    <w:rsid w:val="7A915F5A"/>
    <w:rsid w:val="7AAC2265"/>
    <w:rsid w:val="7AB436DA"/>
    <w:rsid w:val="7AD3561A"/>
    <w:rsid w:val="7AE25674"/>
    <w:rsid w:val="7B7D70B5"/>
    <w:rsid w:val="7B8F45C5"/>
    <w:rsid w:val="7BD949A1"/>
    <w:rsid w:val="7C110986"/>
    <w:rsid w:val="7C237440"/>
    <w:rsid w:val="7C7B0DCD"/>
    <w:rsid w:val="7CA61FEF"/>
    <w:rsid w:val="7CB67D3C"/>
    <w:rsid w:val="7CBF1DCF"/>
    <w:rsid w:val="7CC63C94"/>
    <w:rsid w:val="7CF2386E"/>
    <w:rsid w:val="7CF5259D"/>
    <w:rsid w:val="7CF82B11"/>
    <w:rsid w:val="7D574686"/>
    <w:rsid w:val="7D6976B7"/>
    <w:rsid w:val="7D8229FA"/>
    <w:rsid w:val="7DB66158"/>
    <w:rsid w:val="7DFBFF20"/>
    <w:rsid w:val="7E211E06"/>
    <w:rsid w:val="7E21359B"/>
    <w:rsid w:val="7E587D27"/>
    <w:rsid w:val="7E9E1962"/>
    <w:rsid w:val="7E9F11B4"/>
    <w:rsid w:val="7ECA4EE3"/>
    <w:rsid w:val="7F37EC1E"/>
    <w:rsid w:val="7F4A62EC"/>
    <w:rsid w:val="7F662D7E"/>
    <w:rsid w:val="7F7C0DDA"/>
    <w:rsid w:val="7F7DCD9D"/>
    <w:rsid w:val="7F970A6F"/>
    <w:rsid w:val="7F9F7CE3"/>
    <w:rsid w:val="7FBE5DBF"/>
    <w:rsid w:val="7FC1FFF3"/>
    <w:rsid w:val="7FC69637"/>
    <w:rsid w:val="7FCB190E"/>
    <w:rsid w:val="7FDF8620"/>
    <w:rsid w:val="7FE56BF4"/>
    <w:rsid w:val="7FFB242F"/>
    <w:rsid w:val="7FFDB408"/>
    <w:rsid w:val="7FFE4EEB"/>
    <w:rsid w:val="95FB2B98"/>
    <w:rsid w:val="9A639BC2"/>
    <w:rsid w:val="9FF7D786"/>
    <w:rsid w:val="ABBFB23D"/>
    <w:rsid w:val="B6BE5A03"/>
    <w:rsid w:val="B8C93228"/>
    <w:rsid w:val="C3B4DA5A"/>
    <w:rsid w:val="C4FF458C"/>
    <w:rsid w:val="C7BBD038"/>
    <w:rsid w:val="CBFF70E0"/>
    <w:rsid w:val="CFF50B82"/>
    <w:rsid w:val="CFFFAD89"/>
    <w:rsid w:val="DFFE359E"/>
    <w:rsid w:val="DFFE4FFD"/>
    <w:rsid w:val="DFFF5403"/>
    <w:rsid w:val="EBC3E00A"/>
    <w:rsid w:val="EDFBE100"/>
    <w:rsid w:val="EEABED75"/>
    <w:rsid w:val="EF7E8003"/>
    <w:rsid w:val="F56FDF51"/>
    <w:rsid w:val="F5F3EE78"/>
    <w:rsid w:val="F6B69F17"/>
    <w:rsid w:val="F6E5BB3A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94102"/>
    <w:rsid w:val="FFFF1C8B"/>
    <w:rsid w:val="FF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toa heading"/>
    <w:basedOn w:val="1"/>
    <w:next w:val="1"/>
    <w:unhideWhenUsed/>
    <w:qFormat/>
    <w:uiPriority w:val="99"/>
    <w:pPr>
      <w:spacing w:before="120" w:after="200" w:line="276" w:lineRule="auto"/>
    </w:pPr>
  </w:style>
  <w:style w:type="paragraph" w:styleId="4">
    <w:name w:val="Body Text Indent"/>
    <w:basedOn w:val="1"/>
    <w:next w:val="5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next w:val="5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3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22</Pages>
  <Words>4312</Words>
  <Characters>4798</Characters>
  <Lines>63</Lines>
  <Paragraphs>18</Paragraphs>
  <TotalTime>55</TotalTime>
  <ScaleCrop>false</ScaleCrop>
  <LinksUpToDate>false</LinksUpToDate>
  <CharactersWithSpaces>4814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2020-07-10T18:32:00Z</dcterms:created>
  <dc:creator>李航 null</dc:creator>
  <cp:lastModifiedBy>lily</cp:lastModifiedBy>
  <cp:lastPrinted>2024-08-11T02:20:00Z</cp:lastPrinted>
  <dcterms:modified xsi:type="dcterms:W3CDTF">2025-09-30T01:46:56Z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98623D6660B449428EB8E073C6C952EA</vt:lpwstr>
  </property>
  <property fmtid="{D5CDD505-2E9C-101B-9397-08002B2CF9AE}" pid="4" name="KSOTemplateDocerSaveRecord">
    <vt:lpwstr>eyJoZGlkIjoiNDJlNDEyMzE0NDA2MjlkY2Y3M2EyMGQxYTQ0YzBiN2UifQ==</vt:lpwstr>
  </property>
</Properties>
</file>