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84"/>
          <w:szCs w:val="84"/>
        </w:rPr>
      </w:pPr>
    </w:p>
    <w:p>
      <w:pPr>
        <w:pStyle w:val="15"/>
        <w:jc w:val="center"/>
        <w:rPr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岳阳市城市照明管理中心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both"/>
        <w:rPr>
          <w:sz w:val="32"/>
          <w:szCs w:val="32"/>
        </w:rPr>
      </w:pPr>
    </w:p>
    <w:p>
      <w:pPr>
        <w:pStyle w:val="15"/>
        <w:jc w:val="center"/>
        <w:rPr>
          <w:sz w:val="32"/>
          <w:szCs w:val="32"/>
        </w:rPr>
      </w:pPr>
    </w:p>
    <w:p>
      <w:pPr>
        <w:pStyle w:val="15"/>
        <w:jc w:val="center"/>
        <w:rPr>
          <w:sz w:val="32"/>
          <w:szCs w:val="32"/>
        </w:rPr>
      </w:pPr>
    </w:p>
    <w:p>
      <w:pPr>
        <w:pStyle w:val="15"/>
        <w:spacing w:line="540" w:lineRule="exact"/>
        <w:jc w:val="center"/>
        <w:rPr>
          <w:sz w:val="56"/>
          <w:szCs w:val="56"/>
        </w:rPr>
      </w:pPr>
    </w:p>
    <w:p>
      <w:pPr>
        <w:pStyle w:val="15"/>
        <w:spacing w:line="500" w:lineRule="exact"/>
        <w:jc w:val="both"/>
        <w:rPr>
          <w:b/>
          <w:sz w:val="36"/>
          <w:szCs w:val="28"/>
        </w:rPr>
      </w:pPr>
    </w:p>
    <w:p>
      <w:pPr>
        <w:pStyle w:val="15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CESI黑体-GB2312" w:hAnsi="CESI黑体-GB2312" w:eastAsia="CESI黑体-GB2312" w:cs="CESI黑体-GB2312"/>
          <w:sz w:val="28"/>
          <w:szCs w:val="28"/>
        </w:rPr>
        <w:t>岳阳市城市照明管理中心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绩效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情况的说明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岳阳市城市照明管理中心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3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16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>
      <w:pPr>
        <w:numPr>
          <w:ilvl w:val="0"/>
          <w:numId w:val="0"/>
        </w:numPr>
        <w:ind w:leftChars="304"/>
        <w:jc w:val="left"/>
        <w:rPr>
          <w:rFonts w:hint="eastAsia" w:ascii="CESI仿宋-GB2312" w:hAnsi="CESI仿宋-GB2312" w:eastAsia="CESI仿宋-GB2312" w:cs="CESI仿宋-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</w:t>
      </w:r>
      <w:r>
        <w:rPr>
          <w:rFonts w:hint="eastAsia" w:ascii="CESI仿宋-GB2312" w:hAnsi="CESI仿宋-GB2312" w:eastAsia="CESI仿宋-GB2312" w:cs="CESI仿宋-GB2312"/>
          <w:sz w:val="32"/>
        </w:rPr>
        <w:t>承担城市道路照明及景观亮化设施设备的日常维护管理工作；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（二）</w:t>
      </w:r>
      <w:r>
        <w:rPr>
          <w:rFonts w:hint="eastAsia" w:ascii="CESI仿宋-GB2312" w:hAnsi="CESI仿宋-GB2312" w:eastAsia="CESI仿宋-GB2312" w:cs="CESI仿宋-GB2312"/>
          <w:sz w:val="32"/>
        </w:rPr>
        <w:t>承担城市道路照明及景观亮化工程的建设工作；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lang w:eastAsia="zh-CN"/>
        </w:rPr>
        <w:t>（三）</w:t>
      </w:r>
      <w:r>
        <w:rPr>
          <w:rFonts w:hint="eastAsia" w:ascii="CESI仿宋-GB2312" w:hAnsi="CESI仿宋-GB2312" w:eastAsia="CESI仿宋-GB2312" w:cs="CESI仿宋-GB2312"/>
          <w:sz w:val="32"/>
        </w:rPr>
        <w:t>承担社会产权单位（个人）景观亮化建设工程的技术服务工作。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firstLine="640" w:firstLineChars="200"/>
        <w:jc w:val="left"/>
        <w:rPr>
          <w:rFonts w:hint="eastAsia" w:ascii="CESI仿宋-GB2312" w:hAnsi="CESI仿宋-GB2312" w:eastAsia="CESI仿宋-GB2312" w:cs="CESI仿宋-GB2312"/>
          <w:lang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  <w:r>
        <w:rPr>
          <w:rFonts w:hint="eastAsia" w:ascii="CESI仿宋-GB2312" w:hAnsi="CESI仿宋-GB2312" w:eastAsia="CESI仿宋-GB2312" w:cs="CESI仿宋-GB2312"/>
          <w:bCs/>
          <w:kern w:val="0"/>
          <w:sz w:val="32"/>
          <w:szCs w:val="32"/>
          <w:lang w:eastAsia="zh-CN"/>
        </w:rPr>
        <w:t>岳阳市城市照明管理中心</w:t>
      </w:r>
      <w:r>
        <w:rPr>
          <w:rFonts w:hint="eastAsia" w:ascii="CESI仿宋-GB2312" w:hAnsi="CESI仿宋-GB2312" w:eastAsia="CESI仿宋-GB2312" w:cs="CESI仿宋-GB2312"/>
          <w:bCs/>
          <w:kern w:val="0"/>
          <w:sz w:val="32"/>
          <w:szCs w:val="32"/>
        </w:rPr>
        <w:t>内设机构包括：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综合部、财务部、运行管理部、景观亮化维护部、技术服务部、信息考</w:t>
      </w:r>
      <w:r>
        <w:rPr>
          <w:rFonts w:hint="eastAsia" w:ascii="仿宋" w:hAnsi="仿宋" w:eastAsia="仿宋"/>
          <w:sz w:val="32"/>
          <w:szCs w:val="32"/>
          <w:lang w:eastAsia="zh-CN"/>
        </w:rPr>
        <w:t>评部</w:t>
      </w:r>
      <w:r>
        <w:rPr>
          <w:rFonts w:hint="eastAsia"/>
          <w:sz w:val="32"/>
          <w:szCs w:val="32"/>
          <w:lang w:eastAsia="zh-CN"/>
        </w:rPr>
        <w:t>、安全管理部、路灯维护一部、路灯维护二部九</w:t>
      </w:r>
      <w:r>
        <w:rPr>
          <w:rFonts w:hint="eastAsia" w:ascii="CESI仿宋-GB2312" w:hAnsi="CESI仿宋-GB2312" w:eastAsia="CESI仿宋-GB2312" w:cs="CESI仿宋-GB2312"/>
          <w:sz w:val="32"/>
          <w:lang w:eastAsia="zh-CN"/>
        </w:rPr>
        <w:t>个职能部室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2"/>
          <w:szCs w:val="32"/>
          <w:highlight w:val="white"/>
          <w:lang w:eastAsia="zh-CN"/>
        </w:rPr>
        <w:t>本单位无独立核算的下属单位，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2"/>
          <w:szCs w:val="32"/>
          <w:highlight w:val="white"/>
          <w:lang w:val="en-US" w:eastAsia="zh-CN"/>
        </w:rPr>
        <w:t>2024年度部门决算汇总公开单位仅包括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lang w:eastAsia="zh-CN"/>
        </w:rPr>
        <w:t>岳阳市城市照明管理中心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2"/>
          <w:szCs w:val="32"/>
          <w:highlight w:val="white"/>
          <w:lang w:val="en-US" w:eastAsia="zh-CN"/>
        </w:rPr>
        <w:t>本级</w:t>
      </w:r>
      <w:r>
        <w:rPr>
          <w:rFonts w:hint="eastAsia" w:ascii="CESI仿宋-GB2312" w:hAnsi="CESI仿宋-GB2312" w:eastAsia="CESI仿宋-GB2312" w:cs="CESI仿宋-GB2312"/>
          <w:i/>
          <w:iCs/>
          <w:color w:val="auto"/>
          <w:sz w:val="32"/>
          <w:szCs w:val="32"/>
          <w:highlight w:val="white"/>
        </w:rPr>
        <w:t>。</w: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/>
          <w:i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5359.87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10.86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响应政府号召，经费压减，节约开支。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5359.87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4620.53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86.21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739.34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13.79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5359.87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1031.73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19.25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4328.14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80.75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4620.53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892.59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16.19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经费压减，节约开支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4620.53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86.21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892.59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16.19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经费压减，节约开支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4620.53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万元，主要用于以下方面：社会保障和就业（类）支出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1.93</w:t>
      </w:r>
      <w:r>
        <w:rPr>
          <w:rFonts w:hint="eastAsia" w:ascii="仿宋_GB2312" w:hAnsi="仿宋_GB2312" w:eastAsia="仿宋_GB2312" w:cs="仿宋_GB2312"/>
          <w:sz w:val="32"/>
          <w:szCs w:val="32"/>
        </w:rPr>
        <w:t>%；住房保障（类）支出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1.32</w:t>
      </w:r>
      <w:r>
        <w:rPr>
          <w:rFonts w:hint="eastAsia" w:ascii="仿宋_GB2312" w:hAnsi="仿宋_GB2312" w:eastAsia="仿宋_GB2312" w:cs="仿宋_GB2312"/>
          <w:sz w:val="32"/>
          <w:szCs w:val="32"/>
        </w:rPr>
        <w:t>%;城乡社区（类）支出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4470.32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96.75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4697.56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含上年结转资金84.51万元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年中预算调整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45.85万元）。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4620.53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98.36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1、社会保障和就业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（类）行政事业单位养老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（款）机关事业单位基本养老保险缴费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2、社会保障和就业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（类）其他社会保障和就业支出（款）其他社会保障和就业支出（项）。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、社会保障和就业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（类）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残疾人事业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（款）其他残疾人事业支出（项）。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年初预算为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6.41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6.41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、住房保障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住房改革支出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（款）住房公积金（项）。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城乡社区规划与管理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 城乡社区规划与管理（项）。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黑体" w:hAnsi="黑体" w:eastAsia="仿宋_GB2312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4499.35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4127.10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91.73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响应政府号召，经费压减，节约开支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其他城乡社区支出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 其他城乡社区支出（项）。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黑体" w:hAnsi="黑体" w:eastAsia="仿宋_GB2312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175.69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经开区路灯所单位转隶，电费增多。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城乡社区管理事务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（款）其他城乡社区管理事务支出（项）。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年中财政增拨了城区绿色照明改造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和部分路段路灯改造预算经费。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城乡社区管理事务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（款）行政运行（项）。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年中财政增拨了工资补差经费。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1031.73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920.52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89.22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绩效工资、机关事业单位基本养老保险缴费、职工基本医疗保险缴费、其他社会保障缴费、住房公积金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对个人和家庭的补助、退休费、抚恤金、医疗费补助、奖励金、其他对个人和家庭的补助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10.78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水费、邮电费、物业管理费、差旅费、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维修（护）费、公务接待费、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工会经费、福利费、公务用车运行维护费、其他交通费用、其他商品和服务支出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万元；年初结转和结余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万元；年末结转和结余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color w:val="auto"/>
          <w:kern w:val="0"/>
          <w:sz w:val="32"/>
          <w:szCs w:val="32"/>
          <w:lang w:val="en-US" w:eastAsia="zh-CN" w:bidi="ar-SA"/>
        </w:rPr>
        <w:t>2024年度国有资本经营预算财政拨款收入0万元；年初结转和结余0万元；支出0万元，其中：基本支出0万元，项目支出0万元；年末结转和结余0万元。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经费财政拨款支出决算总体情况说明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36.53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（其中包括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2023年结转5.53万元）</w:t>
      </w:r>
      <w:r>
        <w:rPr>
          <w:rFonts w:ascii="Times New Roman" w:hAnsi="Times New Roman" w:eastAsia="仿宋_GB2312" w:cs="Times New Roman"/>
          <w:sz w:val="32"/>
          <w:szCs w:val="32"/>
        </w:rPr>
        <w:t>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31.21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85.44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6.63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26.97</w:t>
      </w:r>
      <w:r>
        <w:rPr>
          <w:rFonts w:ascii="Times New Roman" w:hAnsi="Times New Roman" w:eastAsia="仿宋_GB2312" w:cs="Times New Roman"/>
          <w:sz w:val="32"/>
          <w:szCs w:val="32"/>
        </w:rPr>
        <w:t>%。决算数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小</w:t>
      </w:r>
      <w:r>
        <w:rPr>
          <w:rFonts w:ascii="Times New Roman" w:hAnsi="Times New Roman" w:eastAsia="仿宋_GB2312" w:cs="Times New Roman"/>
          <w:sz w:val="32"/>
          <w:szCs w:val="32"/>
        </w:rPr>
        <w:t>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上一年经费结转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决算数大于上年数的主要原因是增加了经开区路灯所转隶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5台公务用车。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经费财政拨款支出决算具体情况说明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我单位严格按预算执行决算；与上年一致，无增减变动，主要原因是未安排因公出国（境）活动。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公务用车购置费及运行维护费支出预算为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（其中包括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2023年结转5.53万元）</w:t>
      </w:r>
      <w:r>
        <w:rPr>
          <w:rFonts w:ascii="Times New Roman" w:hAnsi="Times New Roman" w:eastAsia="仿宋_GB2312" w:cs="Times New Roman"/>
          <w:sz w:val="32"/>
          <w:szCs w:val="32"/>
        </w:rPr>
        <w:t>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31.08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87.48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6.61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27.01</w:t>
      </w:r>
      <w:r>
        <w:rPr>
          <w:rFonts w:ascii="Times New Roman" w:hAnsi="Times New Roman" w:eastAsia="仿宋_GB2312" w:cs="Times New Roman"/>
          <w:sz w:val="32"/>
          <w:szCs w:val="32"/>
        </w:rPr>
        <w:t>%。其中：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公务用车购置费支出预算为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万元，支出决算为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万元，决算数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我单位严格按预算执行决算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与上年一致，无增减变动，主要原因是当年没有购置公务用车。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35.53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（其中包括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2023年结转5.53万元）</w:t>
      </w:r>
      <w:r>
        <w:rPr>
          <w:rFonts w:ascii="Times New Roman" w:hAnsi="Times New Roman" w:eastAsia="仿宋_GB2312" w:cs="Times New Roman"/>
          <w:sz w:val="32"/>
          <w:szCs w:val="32"/>
        </w:rPr>
        <w:t>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31.08</w:t>
      </w:r>
      <w:r>
        <w:rPr>
          <w:rFonts w:ascii="Times New Roman" w:hAnsi="Times New Roman" w:eastAsia="仿宋_GB2312" w:cs="Times New Roman"/>
          <w:sz w:val="32"/>
          <w:szCs w:val="32"/>
        </w:rPr>
        <w:t>万元，主要是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路灯及亮化维护作业专用车辆运行维护经费</w:t>
      </w:r>
      <w:r>
        <w:rPr>
          <w:rFonts w:ascii="Times New Roman" w:hAnsi="Times New Roman" w:eastAsia="仿宋_GB2312" w:cs="Times New Roman"/>
          <w:sz w:val="32"/>
          <w:szCs w:val="32"/>
        </w:rPr>
        <w:t>支出，完成预算的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87.48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6.61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27.01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坚持厉行节约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压减一般性支出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。决算数大于上年数的主要原因是增加了经开区路灯所转隶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5台公务用车。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截止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到</w:t>
      </w:r>
      <w:r>
        <w:rPr>
          <w:rFonts w:ascii="Times New Roman" w:hAnsi="Times New Roman" w:eastAsia="仿宋_GB2312" w:cs="Times New Roman"/>
          <w:sz w:val="32"/>
          <w:szCs w:val="32"/>
        </w:rPr>
        <w:t>2024年12月31日，我单位开支财政拨款的公务用车保有量为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辆。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1.00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0.13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0.02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18.18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严格执行中央八项规定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决算数大于上年数的主要原因是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严格执行中央八项规定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，来访人数有所增加。</w:t>
      </w:r>
      <w:r>
        <w:rPr>
          <w:rFonts w:ascii="Times New Roman" w:hAnsi="Times New Roman" w:eastAsia="仿宋_GB2312" w:cs="Times New Roman"/>
          <w:sz w:val="32"/>
          <w:szCs w:val="32"/>
        </w:rPr>
        <w:t>2024年度共接待来访团组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人次，主要是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城市照明安全运行及规范管理工作情况调研评估</w:t>
      </w:r>
      <w:r>
        <w:rPr>
          <w:rFonts w:ascii="Times New Roman" w:hAnsi="Times New Roman" w:eastAsia="仿宋_GB2312" w:cs="Times New Roman"/>
          <w:sz w:val="32"/>
          <w:szCs w:val="32"/>
        </w:rPr>
        <w:t>发生的接待支出。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>
      <w:pPr>
        <w:pStyle w:val="15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单位为全额拨款事业单位，按照机关运行经费的口径，本年度机关运行经费为0。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>
      <w:pPr>
        <w:pStyle w:val="15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lang w:val="en-US" w:eastAsia="zh-CN" w:bidi="ar-SA"/>
        </w:rPr>
        <w:t>本单位无会议费的预算和支出决算数；无培训费的预算和支出决算数；无举办节庆、晚会、论坛、赛事等活动的预算和支出决算数。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1190.98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543.84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158.57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488.57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1190.98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%，其中：授予小微企业合同金额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1190.98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辆，其他用车主要是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照明设施维护管理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生产用车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</w:t>
      </w:r>
    </w:p>
    <w:p>
      <w:pPr>
        <w:overflowPunct w:val="0"/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绩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组织对2024年度本部门（单位）整体支出开展绩效自评，涉及项目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个，共涉及资金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4328.14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4328.14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%；政府性基金预算项目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（由于政府性基金预算项目支出总额为0，故无法计算占政府性基金预算项目支出总额比重）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；国有资本经营预算项目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（由于国有资本经营预算项目支出总额为0，故无法计算占国有资本经营预算项目支出总额的比重）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社会保险基金预算项目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万元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（由于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社会保险基金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预算项目支出总额为0，故无法计算占国有资本经营预算项目支出总额的比重）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部门评价开展情况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本单位为二级预算单位，部门评价开展情况可详见上级部门决算公开说明。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事前绩效评估开展情况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：本单位为二级预算单位，事前绩效评估开展情况可详见上级部门决算公开说明。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（二）绩效评价结果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2024年度本部门（单位）整体支出</w:t>
      </w:r>
      <w:r>
        <w:rPr>
          <w:rFonts w:ascii="Times New Roman" w:hAnsi="Times New Roman" w:eastAsia="仿宋_GB2312" w:cs="Times New Roman"/>
          <w:sz w:val="32"/>
          <w:szCs w:val="32"/>
        </w:rPr>
        <w:t>全年预算数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5483.07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5359.87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97.75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97.78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优秀</w:t>
      </w:r>
      <w:r>
        <w:rPr>
          <w:rFonts w:ascii="Times New Roman" w:hAnsi="Times New Roman" w:eastAsia="仿宋_GB2312" w:cs="Times New Roman"/>
          <w:sz w:val="32"/>
          <w:szCs w:val="32"/>
        </w:rPr>
        <w:t>”。绩效目标完成情况：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目标1：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不断提高维护管养水平和公共服务意识，保障城区主次干道路灯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0664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及小街巷路灯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4229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）和公用亮化设施（功率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4008.2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KW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正常运行；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目标2：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美化、亮化城市，提升岳阳城市形象，方便市民夜间出行，保障夜间道路安全；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目标3：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指导中心城区夜景亮化方案的设计，新建楼宇亮化方案审批及亮化单位用电量计量管理，协助城区夜景亮化工程的施工检查、竣工验收；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目标4：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实施中心城区路灯节能改造，达到节约电力资源，建设生态绿色城市的目标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6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目标1完成情况：路灯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维护管养水平和公共服务意识不断提高，保障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城区主次干道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路灯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0664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及小街巷路灯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4229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）和公用亮化设施（功率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4008.2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KW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正常运行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目标2完成情况：加大了路灯及公用亮化设施的维护力度，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美化、亮化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夜间环境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岳阳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城市整体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形象，方便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市民夜间出行，保障夜间道路安全；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目标3完成情况：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为中心城区夜景亮化方案的设计提出了建设性意见，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完成了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新建楼宇亮化方案审批及亮化单位用电量计量管理，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完成了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城区夜景亮化工程的施工检查、竣工验收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目标4完成情况：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中心城区路灯节能改造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工作有序推进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，节约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电力资源，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城市照明事业发展向着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建设生态绿色城市的目标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奋进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发现的主要问题及原因：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目前，中心城区除经开区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路灯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已由我中心管理外，岳阳楼区、南湖新区城市照明仍由属地管理，由于管理制度、人员、技术、设备存在差别，路灯维护标准不一，维护水平参差不齐，甚至亮灯时间都不一致，导致城市照明工作难以统一协调、有序发展。</w:t>
      </w:r>
    </w:p>
    <w:p>
      <w:pPr>
        <w:pStyle w:val="10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仿宋_GB2312" w:eastAsia="CESI仿宋-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下一步改进措施：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岳阳楼区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南湖新区城市照明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管理单位的沟通协调，统一相关标准，如亮灯时间、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路灯维护标准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等，推动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  <w:lang w:val="en-US" w:eastAsia="zh-CN"/>
        </w:rPr>
        <w:t>城市照明管理事业高质量发展，进一步提升城市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夜间环境的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整体性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艺术性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部门评价结果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：本单位为二级预算单位，部门评价结果可详见上级部门决算公开说明。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事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前绩效评估结果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：本单位为二级预算单位，事前绩效评估结果可详见上级部门决算公开说明。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u w:val="none"/>
          <w:shd w:val="clear" w:color="auto" w:fill="FFFFFF"/>
        </w:rPr>
        <w:t>评价小组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依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据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岳阳市财政局《关于印发&lt;岳阳市市级预算部门绩效自评操作规程&gt;的通知》，结合绩效目标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u w:val="none"/>
          <w:shd w:val="clear" w:color="auto" w:fill="FFFFFF"/>
          <w:lang w:val="en-US" w:eastAsia="zh-CN"/>
        </w:rPr>
        <w:t>对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</w:rPr>
        <w:t>岳阳市城市照明管理中心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资金支出情况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u w:val="none"/>
          <w:shd w:val="clear" w:color="auto" w:fill="FFFFFF"/>
          <w:lang w:val="en-US" w:eastAsia="zh-CN"/>
        </w:rPr>
        <w:t>进行了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u w:val="none"/>
          <w:shd w:val="clear" w:color="auto" w:fill="FFFFFF"/>
        </w:rPr>
        <w:t>定量和定性分析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  <w:lang w:val="en-US" w:eastAsia="zh-CN"/>
        </w:rPr>
        <w:t>单位整体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绩效评价最后得分为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  <w:lang w:val="en" w:eastAsia="zh-CN"/>
        </w:rPr>
        <w:t>7.78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  <w:lang w:val="en-US" w:eastAsia="zh-CN"/>
        </w:rPr>
        <w:t>分，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从绩效评价总体情况来看，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  <w:lang w:val="en-US" w:eastAsia="zh-CN"/>
        </w:rPr>
        <w:t>2025年度预算资金安排合理，单位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  <w:t>资金支出规范，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整体支出绩效良好，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  <w:lang w:val="en-US" w:eastAsia="zh-CN"/>
        </w:rPr>
        <w:t>达到了年初绩效目标要求，将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整体支出绩效自评结果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作为完善本单位相关制度，改进资金管理的重要依据，</w:t>
      </w:r>
      <w:r>
        <w:rPr>
          <w:rFonts w:hint="eastAsia"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  <w:lang w:val="en-US" w:eastAsia="zh-CN"/>
        </w:rPr>
        <w:t>积极推动了城市照明管理事业发展，为我市建设省域副中心城市奠定了坚实基础。</w:t>
      </w:r>
    </w:p>
    <w:p>
      <w:pPr>
        <w:pStyle w:val="2"/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楷体" w:hAnsi="楷体" w:eastAsia="楷体" w:cs="楷体"/>
          <w:b/>
          <w:bCs/>
          <w:i w:val="0"/>
          <w:iCs w:val="0"/>
          <w:color w:val="FF0000"/>
          <w:kern w:val="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sz w:val="72"/>
          <w:szCs w:val="72"/>
        </w:rPr>
      </w:pP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/>
    <w:p>
      <w:pPr>
        <w:pStyle w:val="2"/>
      </w:pP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年部门决算公开表格</w:t>
      </w:r>
    </w:p>
    <w:p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ZmZhYjQ5ZWIyNWQ1MDk1ZGZjZmI4NGExNWQyMmU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06779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9958AD"/>
    <w:rsid w:val="066B6E1B"/>
    <w:rsid w:val="06C857E7"/>
    <w:rsid w:val="078B7BBE"/>
    <w:rsid w:val="08C24A73"/>
    <w:rsid w:val="0B797410"/>
    <w:rsid w:val="0CC31384"/>
    <w:rsid w:val="11944E2C"/>
    <w:rsid w:val="12583BA5"/>
    <w:rsid w:val="13BA5B9C"/>
    <w:rsid w:val="174322C1"/>
    <w:rsid w:val="1D97DEFF"/>
    <w:rsid w:val="1DFF72E5"/>
    <w:rsid w:val="1EFC6F07"/>
    <w:rsid w:val="1F0527A6"/>
    <w:rsid w:val="22AC03C2"/>
    <w:rsid w:val="283B15FE"/>
    <w:rsid w:val="2FDF85B8"/>
    <w:rsid w:val="2FFFEE04"/>
    <w:rsid w:val="31C95635"/>
    <w:rsid w:val="34DF85B0"/>
    <w:rsid w:val="397E6CD6"/>
    <w:rsid w:val="3B8F36BC"/>
    <w:rsid w:val="43EB5BA5"/>
    <w:rsid w:val="46CB44FC"/>
    <w:rsid w:val="488E1C47"/>
    <w:rsid w:val="491FF225"/>
    <w:rsid w:val="4EC310A1"/>
    <w:rsid w:val="4FFD214C"/>
    <w:rsid w:val="5352765A"/>
    <w:rsid w:val="5777D4F5"/>
    <w:rsid w:val="57F22B6F"/>
    <w:rsid w:val="59DD8326"/>
    <w:rsid w:val="5DEF592A"/>
    <w:rsid w:val="5FC6BB1E"/>
    <w:rsid w:val="5FF720F1"/>
    <w:rsid w:val="60CB234C"/>
    <w:rsid w:val="622964C1"/>
    <w:rsid w:val="67FF5C0B"/>
    <w:rsid w:val="6BAA4A2F"/>
    <w:rsid w:val="6DDEC5C0"/>
    <w:rsid w:val="6EFC0924"/>
    <w:rsid w:val="6FB74722"/>
    <w:rsid w:val="6FEF8B7E"/>
    <w:rsid w:val="717FE77F"/>
    <w:rsid w:val="71A6591B"/>
    <w:rsid w:val="737D59BA"/>
    <w:rsid w:val="737F32B1"/>
    <w:rsid w:val="73BD3FCA"/>
    <w:rsid w:val="776BDA01"/>
    <w:rsid w:val="77C37683"/>
    <w:rsid w:val="77D73F0C"/>
    <w:rsid w:val="79FF515B"/>
    <w:rsid w:val="7DFBFF20"/>
    <w:rsid w:val="7E9E1962"/>
    <w:rsid w:val="7E9F11B4"/>
    <w:rsid w:val="7F37EC1E"/>
    <w:rsid w:val="7F7C0DDA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unhideWhenUsed/>
    <w:qFormat/>
    <w:uiPriority w:val="99"/>
    <w:pPr>
      <w:ind w:firstLine="420" w:firstLineChars="100"/>
    </w:pPr>
  </w:style>
  <w:style w:type="character" w:customStyle="1" w:styleId="13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5773</Words>
  <Characters>6366</Characters>
  <Lines>63</Lines>
  <Paragraphs>18</Paragraphs>
  <TotalTime>24</TotalTime>
  <ScaleCrop>false</ScaleCrop>
  <LinksUpToDate>false</LinksUpToDate>
  <CharactersWithSpaces>6392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Administrator</cp:lastModifiedBy>
  <cp:lastPrinted>2024-08-11T02:20:00Z</cp:lastPrinted>
  <dcterms:modified xsi:type="dcterms:W3CDTF">2025-09-23T08:35:10Z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98623D6660B449428EB8E073C6C952EA</vt:lpwstr>
  </property>
</Properties>
</file>