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5"/>
        <w:jc w:val="center"/>
        <w:rPr>
          <w:sz w:val="56"/>
          <w:szCs w:val="56"/>
        </w:rPr>
      </w:pPr>
    </w:p>
    <w:p w14:paraId="3BDF5AB8">
      <w:pPr>
        <w:pStyle w:val="15"/>
        <w:jc w:val="center"/>
        <w:rPr>
          <w:sz w:val="56"/>
          <w:szCs w:val="56"/>
        </w:rPr>
      </w:pPr>
    </w:p>
    <w:p w14:paraId="60CA4575">
      <w:pPr>
        <w:pStyle w:val="15"/>
        <w:jc w:val="center"/>
        <w:rPr>
          <w:sz w:val="84"/>
          <w:szCs w:val="84"/>
        </w:rPr>
      </w:pPr>
    </w:p>
    <w:p w14:paraId="215EB31D">
      <w:pPr>
        <w:pStyle w:val="15"/>
        <w:jc w:val="center"/>
        <w:rPr>
          <w:sz w:val="84"/>
          <w:szCs w:val="84"/>
        </w:rPr>
      </w:pPr>
    </w:p>
    <w:p w14:paraId="376C8602">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岳阳市城市管理和综合执法局湖南城陵矶新港区分局</w:t>
      </w:r>
      <w:r>
        <w:rPr>
          <w:rFonts w:hint="eastAsia" w:ascii="方正小标宋_GBK" w:hAnsi="方正小标宋_GBK" w:eastAsia="方正小标宋_GBK" w:cs="方正小标宋_GBK"/>
          <w:sz w:val="84"/>
          <w:szCs w:val="84"/>
        </w:rPr>
        <w:t>部门决算</w:t>
      </w:r>
    </w:p>
    <w:p w14:paraId="3A699C16">
      <w:pPr>
        <w:pStyle w:val="15"/>
        <w:jc w:val="center"/>
        <w:rPr>
          <w:rFonts w:hint="eastAsia" w:ascii="方正小标宋_GBK" w:hAnsi="方正小标宋_GBK" w:eastAsia="方正小标宋_GBK" w:cs="方正小标宋_GBK"/>
          <w:sz w:val="56"/>
          <w:szCs w:val="56"/>
        </w:rPr>
      </w:pPr>
    </w:p>
    <w:p w14:paraId="72C8FB58">
      <w:pPr>
        <w:pStyle w:val="15"/>
        <w:jc w:val="center"/>
        <w:rPr>
          <w:sz w:val="56"/>
          <w:szCs w:val="56"/>
        </w:rPr>
      </w:pPr>
    </w:p>
    <w:p w14:paraId="25018D25">
      <w:pPr>
        <w:pStyle w:val="15"/>
        <w:jc w:val="center"/>
        <w:rPr>
          <w:sz w:val="56"/>
          <w:szCs w:val="56"/>
        </w:rPr>
      </w:pPr>
    </w:p>
    <w:p w14:paraId="5EE73A38">
      <w:pPr>
        <w:pStyle w:val="15"/>
        <w:jc w:val="center"/>
        <w:rPr>
          <w:sz w:val="56"/>
          <w:szCs w:val="56"/>
        </w:rPr>
      </w:pPr>
    </w:p>
    <w:p w14:paraId="297571C5">
      <w:pPr>
        <w:pStyle w:val="15"/>
        <w:jc w:val="center"/>
        <w:rPr>
          <w:sz w:val="32"/>
          <w:szCs w:val="32"/>
        </w:rPr>
      </w:pPr>
    </w:p>
    <w:p w14:paraId="24F3309B">
      <w:pPr>
        <w:pStyle w:val="15"/>
        <w:spacing w:line="500" w:lineRule="exact"/>
        <w:jc w:val="center"/>
        <w:rPr>
          <w:b/>
          <w:sz w:val="36"/>
          <w:szCs w:val="28"/>
        </w:rPr>
      </w:pPr>
      <w:bookmarkStart w:id="0" w:name="_GoBack"/>
      <w:r>
        <w:rPr>
          <w:rFonts w:hint="eastAsia"/>
          <w:b/>
          <w:sz w:val="36"/>
          <w:szCs w:val="28"/>
        </w:rPr>
        <w:t>目录</w:t>
      </w:r>
    </w:p>
    <w:bookmarkEnd w:id="0"/>
    <w:p w14:paraId="6CBD0C22">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岳阳市城市管理和综合执法局湖南城陵矶新港区分局</w:t>
      </w:r>
      <w:r>
        <w:rPr>
          <w:rFonts w:hint="eastAsia" w:ascii="黑体" w:hAnsi="黑体" w:eastAsia="黑体" w:cs="黑体"/>
          <w:b w:val="0"/>
          <w:bCs/>
          <w:sz w:val="28"/>
          <w:szCs w:val="28"/>
        </w:rPr>
        <w:t>概况</w:t>
      </w:r>
    </w:p>
    <w:p w14:paraId="060CB1D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5"/>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5"/>
        <w:jc w:val="center"/>
        <w:rPr>
          <w:rFonts w:hint="eastAsia" w:ascii="方正小标宋_GBK" w:hAnsi="方正小标宋_GBK" w:eastAsia="方正小标宋_GBK" w:cs="方正小标宋_GBK"/>
          <w:sz w:val="84"/>
          <w:szCs w:val="84"/>
        </w:rPr>
      </w:pPr>
    </w:p>
    <w:p w14:paraId="1095DEAB">
      <w:pPr>
        <w:pStyle w:val="15"/>
        <w:jc w:val="center"/>
        <w:rPr>
          <w:rFonts w:hint="eastAsia" w:ascii="方正小标宋_GBK" w:hAnsi="方正小标宋_GBK" w:eastAsia="方正小标宋_GBK" w:cs="方正小标宋_GBK"/>
          <w:sz w:val="84"/>
          <w:szCs w:val="84"/>
        </w:rPr>
      </w:pPr>
    </w:p>
    <w:p w14:paraId="0DEEC24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5"/>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岳阳市城市管理和综合执法局湖南城陵矶新港区分局</w:t>
      </w: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1336D56">
      <w:pPr>
        <w:keepNext/>
        <w:keepLines/>
        <w:shd w:val="clear" w:color="auto" w:fill="FFFFFF"/>
        <w:spacing w:beforeLines="0" w:afterLines="0"/>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24"/>
          <w:lang w:val="zh-CN" w:eastAsia="zh-CN"/>
        </w:rPr>
        <w:t>岳阳市城市管理和综合执法局湖南城陵矶新港区分局承担城陵矶新港区辖区内市容环境卫生、园林绿化、城管执法、市政公共设施维护、路灯亮化、渣土运输（道路破占道）、户外广告、城镇燃气、停车管理等职能。</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0930882">
      <w:pPr>
        <w:widowControl/>
        <w:adjustRightInd/>
        <w:spacing w:line="600" w:lineRule="exact"/>
        <w:ind w:firstLine="640" w:firstLineChars="200"/>
        <w:rPr>
          <w:rFonts w:hint="eastAsia"/>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sz w:val="32"/>
          <w:szCs w:val="24"/>
          <w:lang w:val="zh-CN" w:eastAsia="zh-CN"/>
        </w:rPr>
        <w:t>岳阳市城市管理和综合执法局湖南城陵矶新港区分局</w:t>
      </w:r>
      <w:r>
        <w:rPr>
          <w:rFonts w:hint="eastAsia" w:ascii="仿宋_GB2312" w:hAnsi="仿宋_GB2312" w:eastAsia="仿宋_GB2312" w:cs="仿宋_GB2312"/>
          <w:bCs/>
          <w:kern w:val="0"/>
          <w:sz w:val="32"/>
          <w:szCs w:val="32"/>
        </w:rPr>
        <w:t>内设机构包括：</w:t>
      </w:r>
      <w:r>
        <w:rPr>
          <w:rFonts w:hint="eastAsia" w:ascii="仿宋_GB2312" w:hAnsi="仿宋_GB2312" w:eastAsia="仿宋_GB2312" w:cs="仿宋_GB2312"/>
          <w:sz w:val="32"/>
          <w:szCs w:val="24"/>
          <w:lang w:val="zh-CN" w:eastAsia="zh-CN"/>
        </w:rPr>
        <w:t>综合股、财务股、行政审批股、维护考评股、燃气安全股、执法一队、执法二队。</w:t>
      </w:r>
    </w:p>
    <w:p w14:paraId="38152785">
      <w:pPr>
        <w:ind w:firstLine="640" w:firstLineChars="200"/>
        <w:jc w:val="left"/>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i w:val="0"/>
          <w:iCs w:val="0"/>
          <w:color w:val="auto"/>
          <w:sz w:val="32"/>
          <w:szCs w:val="32"/>
          <w:highlight w:val="white"/>
          <w:lang w:eastAsia="zh-CN"/>
        </w:rPr>
        <w:t>本单位无独立核算的下属单位，</w:t>
      </w:r>
      <w:r>
        <w:rPr>
          <w:rFonts w:hint="eastAsia" w:ascii="仿宋_GB2312" w:hAnsi="仿宋_GB2312" w:eastAsia="仿宋_GB2312" w:cs="仿宋_GB2312"/>
          <w:i w:val="0"/>
          <w:iCs w:val="0"/>
          <w:color w:val="auto"/>
          <w:sz w:val="32"/>
          <w:szCs w:val="32"/>
          <w:highlight w:val="white"/>
          <w:lang w:val="en-US" w:eastAsia="zh-CN"/>
        </w:rPr>
        <w:t>2024年度部门决算汇总公开单位仅包括</w:t>
      </w:r>
      <w:r>
        <w:rPr>
          <w:rFonts w:hint="eastAsia" w:ascii="仿宋_GB2312" w:hAnsi="仿宋_GB2312" w:eastAsia="仿宋_GB2312" w:cs="仿宋_GB2312"/>
          <w:color w:val="auto"/>
          <w:sz w:val="32"/>
          <w:szCs w:val="32"/>
          <w:lang w:val="zh-CN" w:eastAsia="zh-CN"/>
        </w:rPr>
        <w:t>岳阳市城市管理和综合执法局湖南城陵矶新港区分局</w:t>
      </w:r>
      <w:r>
        <w:rPr>
          <w:rFonts w:hint="eastAsia" w:ascii="仿宋_GB2312" w:hAnsi="仿宋_GB2312" w:eastAsia="仿宋_GB2312" w:cs="仿宋_GB2312"/>
          <w:i w:val="0"/>
          <w:iCs w:val="0"/>
          <w:color w:val="auto"/>
          <w:sz w:val="32"/>
          <w:szCs w:val="32"/>
          <w:highlight w:val="white"/>
          <w:lang w:val="en-US" w:eastAsia="zh-CN"/>
        </w:rPr>
        <w:t>本级</w:t>
      </w:r>
      <w:r>
        <w:rPr>
          <w:rFonts w:hint="eastAsia" w:ascii="仿宋_GB2312" w:hAnsi="仿宋_GB2312" w:eastAsia="仿宋_GB2312" w:cs="仿宋_GB2312"/>
          <w:i/>
          <w:iCs/>
          <w:color w:val="auto"/>
          <w:sz w:val="32"/>
          <w:szCs w:val="32"/>
          <w:highlight w:val="white"/>
        </w:rPr>
        <w:t>。</w:t>
      </w:r>
    </w:p>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5"/>
        <w:jc w:val="center"/>
        <w:rPr>
          <w:rFonts w:hint="eastAsia" w:ascii="方正小标宋_GBK" w:hAnsi="方正小标宋_GBK" w:eastAsia="方正小标宋_GBK" w:cs="方正小标宋_GBK"/>
          <w:sz w:val="84"/>
          <w:szCs w:val="84"/>
        </w:rPr>
      </w:pPr>
    </w:p>
    <w:p w14:paraId="2B49F2B7">
      <w:pPr>
        <w:pStyle w:val="15"/>
        <w:jc w:val="center"/>
        <w:rPr>
          <w:rFonts w:hint="eastAsia" w:ascii="方正小标宋_GBK" w:hAnsi="方正小标宋_GBK" w:eastAsia="方正小标宋_GBK" w:cs="方正小标宋_GBK"/>
          <w:sz w:val="84"/>
          <w:szCs w:val="84"/>
        </w:rPr>
      </w:pPr>
    </w:p>
    <w:p w14:paraId="661BBFC8">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5"/>
        <w:jc w:val="center"/>
        <w:rPr>
          <w:rFonts w:hint="eastAsia" w:ascii="方正小标宋_GBK" w:hAnsi="方正小标宋_GBK" w:eastAsia="方正小标宋_GBK" w:cs="方正小标宋_GBK"/>
          <w:sz w:val="84"/>
          <w:szCs w:val="84"/>
        </w:rPr>
      </w:pPr>
    </w:p>
    <w:p w14:paraId="3860F18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5"/>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5"/>
        <w:jc w:val="center"/>
        <w:rPr>
          <w:rFonts w:hint="eastAsia" w:ascii="仿宋_GB2312" w:hAnsi="仿宋_GB2312" w:eastAsia="仿宋_GB2312" w:cs="仿宋_GB2312"/>
          <w:b w:val="0"/>
          <w:bCs w:val="0"/>
          <w:sz w:val="72"/>
          <w:szCs w:val="72"/>
          <w:lang w:eastAsia="zh-CN"/>
        </w:rPr>
      </w:pPr>
    </w:p>
    <w:p w14:paraId="0568D1B8">
      <w:pPr>
        <w:pStyle w:val="15"/>
        <w:jc w:val="center"/>
        <w:rPr>
          <w:rFonts w:hint="eastAsia" w:ascii="仿宋_GB2312" w:hAnsi="仿宋_GB2312" w:eastAsia="仿宋_GB2312" w:cs="仿宋_GB2312"/>
          <w:b w:val="0"/>
          <w:bCs w:val="0"/>
          <w:sz w:val="72"/>
          <w:szCs w:val="72"/>
          <w:lang w:eastAsia="zh-CN"/>
        </w:rPr>
      </w:pPr>
    </w:p>
    <w:p w14:paraId="5C65B646">
      <w:pPr>
        <w:pStyle w:val="15"/>
        <w:jc w:val="center"/>
        <w:rPr>
          <w:rFonts w:hint="eastAsia" w:ascii="仿宋_GB2312" w:hAnsi="仿宋_GB2312" w:eastAsia="仿宋_GB2312" w:cs="仿宋_GB2312"/>
          <w:b w:val="0"/>
          <w:bCs w:val="0"/>
          <w:sz w:val="72"/>
          <w:szCs w:val="72"/>
          <w:lang w:eastAsia="zh-CN"/>
        </w:rPr>
      </w:pPr>
    </w:p>
    <w:p w14:paraId="62EA5E89">
      <w:pPr>
        <w:pStyle w:val="15"/>
        <w:jc w:val="center"/>
        <w:rPr>
          <w:rFonts w:hint="eastAsia" w:ascii="仿宋_GB2312" w:hAnsi="仿宋_GB2312" w:eastAsia="仿宋_GB2312" w:cs="仿宋_GB2312"/>
          <w:b w:val="0"/>
          <w:bCs w:val="0"/>
          <w:sz w:val="72"/>
          <w:szCs w:val="72"/>
          <w:lang w:eastAsia="zh-CN"/>
        </w:rPr>
      </w:pPr>
    </w:p>
    <w:p w14:paraId="63BFFD84">
      <w:pPr>
        <w:pStyle w:val="15"/>
        <w:jc w:val="center"/>
        <w:rPr>
          <w:rFonts w:hint="eastAsia" w:ascii="仿宋_GB2312" w:hAnsi="仿宋_GB2312" w:eastAsia="仿宋_GB2312" w:cs="仿宋_GB2312"/>
          <w:b w:val="0"/>
          <w:bCs w:val="0"/>
          <w:sz w:val="72"/>
          <w:szCs w:val="72"/>
          <w:lang w:eastAsia="zh-CN"/>
        </w:rPr>
      </w:pPr>
    </w:p>
    <w:p w14:paraId="4565BABE">
      <w:pPr>
        <w:pStyle w:val="15"/>
        <w:jc w:val="center"/>
        <w:rPr>
          <w:rFonts w:hint="eastAsia" w:ascii="仿宋_GB2312" w:hAnsi="仿宋_GB2312" w:eastAsia="仿宋_GB2312" w:cs="仿宋_GB2312"/>
          <w:b w:val="0"/>
          <w:bCs w:val="0"/>
          <w:sz w:val="72"/>
          <w:szCs w:val="72"/>
          <w:lang w:eastAsia="zh-CN"/>
        </w:rPr>
      </w:pPr>
    </w:p>
    <w:p w14:paraId="6EEAB3EF">
      <w:pPr>
        <w:pStyle w:val="15"/>
        <w:jc w:val="center"/>
        <w:rPr>
          <w:rFonts w:hint="eastAsia" w:ascii="仿宋_GB2312" w:hAnsi="仿宋_GB2312" w:eastAsia="仿宋_GB2312" w:cs="仿宋_GB2312"/>
          <w:b w:val="0"/>
          <w:bCs w:val="0"/>
          <w:sz w:val="72"/>
          <w:szCs w:val="72"/>
          <w:lang w:eastAsia="zh-CN"/>
        </w:rPr>
      </w:pPr>
    </w:p>
    <w:p w14:paraId="603C04A7">
      <w:pPr>
        <w:pStyle w:val="15"/>
        <w:jc w:val="center"/>
        <w:rPr>
          <w:rFonts w:hint="eastAsia" w:ascii="方正小标宋_GBK" w:hAnsi="方正小标宋_GBK" w:eastAsia="方正小标宋_GBK" w:cs="方正小标宋_GBK"/>
          <w:sz w:val="72"/>
          <w:szCs w:val="72"/>
        </w:rPr>
      </w:pPr>
    </w:p>
    <w:p w14:paraId="7A44A82E">
      <w:pPr>
        <w:pStyle w:val="15"/>
        <w:jc w:val="center"/>
        <w:rPr>
          <w:rFonts w:hint="eastAsia" w:ascii="方正小标宋_GBK" w:hAnsi="方正小标宋_GBK" w:eastAsia="方正小标宋_GBK" w:cs="方正小标宋_GBK"/>
          <w:sz w:val="72"/>
          <w:szCs w:val="72"/>
        </w:rPr>
      </w:pPr>
    </w:p>
    <w:p w14:paraId="06211665">
      <w:pPr>
        <w:pStyle w:val="15"/>
        <w:jc w:val="both"/>
        <w:rPr>
          <w:rFonts w:hint="eastAsia" w:ascii="方正小标宋_GBK" w:hAnsi="方正小标宋_GBK" w:eastAsia="方正小标宋_GBK" w:cs="方正小标宋_GBK"/>
          <w:sz w:val="72"/>
          <w:szCs w:val="72"/>
        </w:rPr>
      </w:pPr>
    </w:p>
    <w:p w14:paraId="7804FBAA">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5"/>
        <w:jc w:val="center"/>
        <w:rPr>
          <w:rFonts w:hint="eastAsia" w:ascii="方正小标宋_GBK" w:hAnsi="方正小标宋_GBK" w:eastAsia="方正小标宋_GBK" w:cs="方正小标宋_GBK"/>
          <w:sz w:val="70"/>
          <w:szCs w:val="70"/>
        </w:rPr>
      </w:pPr>
    </w:p>
    <w:p w14:paraId="4F77A5A6">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5"/>
        <w:jc w:val="center"/>
        <w:rPr>
          <w:rFonts w:hint="eastAsia" w:ascii="方正小标宋_GBK" w:hAnsi="方正小标宋_GBK" w:eastAsia="方正小标宋_GBK" w:cs="方正小标宋_GBK"/>
          <w:sz w:val="70"/>
          <w:szCs w:val="70"/>
        </w:rPr>
      </w:pPr>
    </w:p>
    <w:p w14:paraId="6EEC30AB">
      <w:pPr>
        <w:pStyle w:val="15"/>
        <w:jc w:val="center"/>
        <w:rPr>
          <w:rFonts w:hint="eastAsia" w:ascii="方正小标宋_GBK" w:hAnsi="方正小标宋_GBK" w:eastAsia="方正小标宋_GBK" w:cs="方正小标宋_GBK"/>
          <w:sz w:val="70"/>
          <w:szCs w:val="70"/>
        </w:rPr>
      </w:pPr>
    </w:p>
    <w:p w14:paraId="417367C1">
      <w:pPr>
        <w:pStyle w:val="15"/>
        <w:jc w:val="center"/>
        <w:rPr>
          <w:rFonts w:hint="eastAsia" w:ascii="方正小标宋_GBK" w:hAnsi="方正小标宋_GBK" w:eastAsia="方正小标宋_GBK" w:cs="方正小标宋_GBK"/>
          <w:sz w:val="70"/>
          <w:szCs w:val="70"/>
        </w:rPr>
      </w:pPr>
    </w:p>
    <w:p w14:paraId="5EF1049C">
      <w:pPr>
        <w:pStyle w:val="15"/>
        <w:jc w:val="center"/>
        <w:rPr>
          <w:rFonts w:hint="eastAsia" w:ascii="方正小标宋_GBK" w:hAnsi="方正小标宋_GBK" w:eastAsia="方正小标宋_GBK" w:cs="方正小标宋_GBK"/>
          <w:sz w:val="70"/>
          <w:szCs w:val="70"/>
        </w:rPr>
      </w:pPr>
    </w:p>
    <w:p w14:paraId="7E4B3CF9">
      <w:pPr>
        <w:pStyle w:val="15"/>
        <w:jc w:val="center"/>
        <w:rPr>
          <w:rFonts w:hint="eastAsia" w:ascii="方正小标宋_GBK" w:hAnsi="方正小标宋_GBK" w:eastAsia="方正小标宋_GBK" w:cs="方正小标宋_GBK"/>
          <w:sz w:val="70"/>
          <w:szCs w:val="70"/>
        </w:rPr>
      </w:pPr>
    </w:p>
    <w:p w14:paraId="514C0722">
      <w:pPr>
        <w:pStyle w:val="15"/>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476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53.35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12.62</w:t>
      </w:r>
      <w:r>
        <w:rPr>
          <w:rFonts w:hint="eastAsia" w:ascii="仿宋_GB2312" w:hAnsi="仿宋_GB2312" w:eastAsia="仿宋_GB2312" w:cs="仿宋_GB2312"/>
          <w:sz w:val="32"/>
          <w:szCs w:val="32"/>
        </w:rPr>
        <w:t>%，主要是因</w:t>
      </w:r>
      <w:r>
        <w:rPr>
          <w:rFonts w:hint="eastAsia" w:ascii="仿宋_GB2312" w:hAnsi="仿宋_GB2312" w:eastAsia="仿宋_GB2312" w:cs="仿宋_GB2312"/>
          <w:sz w:val="32"/>
          <w:szCs w:val="32"/>
          <w:lang w:eastAsia="zh-CN"/>
        </w:rPr>
        <w:t>为本年增加了港区迎检及突发事件处理费及人员经费的正常增长。</w:t>
      </w:r>
    </w:p>
    <w:p w14:paraId="07DA9E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476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358.82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75.38</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117.19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24.62</w:t>
      </w:r>
      <w:r>
        <w:rPr>
          <w:rFonts w:hint="eastAsia" w:ascii="仿宋_GB2312" w:hAnsi="仿宋_GB2312" w:eastAsia="仿宋_GB2312" w:cs="仿宋_GB2312"/>
          <w:sz w:val="32"/>
          <w:szCs w:val="32"/>
        </w:rPr>
        <w:t>%。</w:t>
      </w:r>
    </w:p>
    <w:p w14:paraId="2D1A2B4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471.59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471.59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5"/>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358.82</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9.22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%，主要是</w:t>
      </w:r>
      <w:r>
        <w:rPr>
          <w:rFonts w:hint="eastAsia" w:ascii="仿宋_GB2312" w:hAnsi="仿宋_GB2312" w:eastAsia="仿宋_GB2312" w:cs="仿宋_GB2312"/>
          <w:color w:val="auto"/>
          <w:sz w:val="32"/>
          <w:szCs w:val="32"/>
        </w:rPr>
        <w:t>因为</w:t>
      </w:r>
      <w:r>
        <w:rPr>
          <w:rFonts w:hint="eastAsia" w:ascii="仿宋_GB2312" w:hAnsi="仿宋_GB2312" w:eastAsia="仿宋_GB2312" w:cs="仿宋_GB2312"/>
          <w:color w:val="auto"/>
          <w:sz w:val="32"/>
          <w:szCs w:val="32"/>
          <w:lang w:eastAsia="zh-CN"/>
        </w:rPr>
        <w:t>本年减少了城乡社区支出。</w:t>
      </w:r>
    </w:p>
    <w:p w14:paraId="4BB30A6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358.82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75.38</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9.22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color w:val="auto"/>
          <w:sz w:val="32"/>
          <w:szCs w:val="32"/>
          <w:lang w:eastAsia="zh-CN"/>
        </w:rPr>
        <w:t>本年减少了城乡社区支出。</w:t>
      </w:r>
    </w:p>
    <w:p w14:paraId="66C54C8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543EEBE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358.82</w:t>
      </w:r>
      <w:r>
        <w:rPr>
          <w:rFonts w:hint="eastAsia" w:ascii="仿宋_GB2312" w:hAnsi="仿宋_GB2312" w:eastAsia="仿宋_GB2312" w:cs="仿宋_GB2312"/>
          <w:sz w:val="32"/>
          <w:szCs w:val="32"/>
        </w:rPr>
        <w:t>万元，主要用于以下方面：社会保障和就业（类）支出</w:t>
      </w:r>
      <w:r>
        <w:rPr>
          <w:rFonts w:hint="eastAsia" w:ascii="仿宋_GB2312" w:hAnsi="仿宋_GB2312" w:eastAsia="仿宋_GB2312" w:cs="仿宋_GB2312"/>
          <w:sz w:val="32"/>
          <w:szCs w:val="32"/>
          <w:lang w:val="en-US" w:eastAsia="zh-CN"/>
        </w:rPr>
        <w:t>42.76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11.92</w:t>
      </w:r>
      <w:r>
        <w:rPr>
          <w:rFonts w:hint="eastAsia" w:ascii="仿宋_GB2312" w:hAnsi="仿宋_GB2312" w:eastAsia="仿宋_GB2312" w:cs="仿宋_GB2312"/>
          <w:sz w:val="32"/>
          <w:szCs w:val="32"/>
        </w:rPr>
        <w:t>%；城乡社区（类）支出</w:t>
      </w:r>
      <w:r>
        <w:rPr>
          <w:rFonts w:hint="eastAsia" w:ascii="仿宋_GB2312" w:hAnsi="仿宋_GB2312" w:eastAsia="仿宋_GB2312" w:cs="仿宋_GB2312"/>
          <w:sz w:val="32"/>
          <w:szCs w:val="32"/>
          <w:lang w:val="en-US" w:eastAsia="zh-CN"/>
        </w:rPr>
        <w:t>292.02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81.38</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24.04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CDBADF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346.92</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358.82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103.43</w:t>
      </w:r>
      <w:r>
        <w:rPr>
          <w:rFonts w:hint="eastAsia" w:ascii="仿宋_GB2312" w:hAnsi="仿宋_GB2312" w:eastAsia="仿宋_GB2312" w:cs="仿宋_GB2312"/>
          <w:sz w:val="32"/>
          <w:szCs w:val="32"/>
        </w:rPr>
        <w:t>%，其中：</w:t>
      </w:r>
    </w:p>
    <w:p w14:paraId="174ADC7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1、社会保障和就业支出（类）行政事业单位养老支出（款）机关事业单位基本养老保险缴费支出（项）。</w:t>
      </w:r>
    </w:p>
    <w:p w14:paraId="5623504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33.31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33.31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14:paraId="17D9607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残疾人事业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其他残疾人事业支出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w:t>
      </w:r>
    </w:p>
    <w:p w14:paraId="63EDE92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14:paraId="4EF4103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、社会保障和就业支出（类）其他社会保障和就业支出（款）其他社会保障和就业支出（项）。</w:t>
      </w:r>
    </w:p>
    <w:p w14:paraId="0024F11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6.93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6.93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14:paraId="1074ECC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、住房保障支出（类）住房改革支出（款）住房公积金（项）。</w:t>
      </w:r>
    </w:p>
    <w:p w14:paraId="31CF81B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24.04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24.04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14:paraId="7454168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、城乡社区支出（类）城乡社区管理事务（款）行政运行（项）。</w:t>
      </w:r>
    </w:p>
    <w:p w14:paraId="53B1461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265.12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268.06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大于</w:t>
      </w:r>
      <w:r>
        <w:rPr>
          <w:rFonts w:hint="eastAsia" w:ascii="仿宋_GB2312" w:hAnsi="仿宋_GB2312" w:eastAsia="仿宋_GB2312" w:cs="仿宋_GB2312"/>
          <w:color w:val="auto"/>
          <w:sz w:val="32"/>
          <w:szCs w:val="32"/>
        </w:rPr>
        <w:t>年初预算数的主要原因是</w:t>
      </w:r>
      <w:r>
        <w:rPr>
          <w:rFonts w:hint="eastAsia" w:ascii="仿宋_GB2312" w:hAnsi="仿宋_GB2312" w:eastAsia="仿宋_GB2312" w:cs="仿宋_GB2312"/>
          <w:color w:val="auto"/>
          <w:sz w:val="32"/>
          <w:szCs w:val="32"/>
          <w:lang w:eastAsia="zh-CN"/>
        </w:rPr>
        <w:t>办公费稍有增加。</w:t>
      </w:r>
    </w:p>
    <w:p w14:paraId="38B1D13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、城乡社区支出（类）城乡社区规划与管理（款）城乡社区规划与管理（项）。</w:t>
      </w:r>
    </w:p>
    <w:p w14:paraId="6552540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15.29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101.93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大于</w:t>
      </w:r>
      <w:r>
        <w:rPr>
          <w:rFonts w:hint="eastAsia" w:ascii="仿宋_GB2312" w:hAnsi="仿宋_GB2312" w:eastAsia="仿宋_GB2312" w:cs="仿宋_GB2312"/>
          <w:sz w:val="32"/>
          <w:szCs w:val="32"/>
        </w:rPr>
        <w:t>年初预算数的</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办公费稍有增加</w:t>
      </w:r>
      <w:r>
        <w:rPr>
          <w:rFonts w:hint="eastAsia" w:ascii="仿宋_GB2312" w:hAnsi="仿宋_GB2312" w:eastAsia="仿宋_GB2312" w:cs="仿宋_GB2312"/>
          <w:color w:val="auto"/>
          <w:sz w:val="32"/>
          <w:szCs w:val="32"/>
          <w:lang w:val="en-US" w:eastAsia="zh-CN"/>
        </w:rPr>
        <w:t>。</w:t>
      </w:r>
    </w:p>
    <w:p w14:paraId="7B3FF50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、城乡社区支出（类）其他城乡社区支出（款）其他城乡社区支出（项）。</w:t>
      </w:r>
    </w:p>
    <w:p w14:paraId="0E7F71D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8.67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w:t>
      </w:r>
      <w:r>
        <w:rPr>
          <w:rFonts w:hint="eastAsia" w:ascii="仿宋_GB2312" w:hAnsi="仿宋_GB2312" w:eastAsia="仿宋_GB2312" w:cs="仿宋_GB2312"/>
          <w:color w:val="auto"/>
          <w:sz w:val="32"/>
          <w:szCs w:val="32"/>
        </w:rPr>
        <w:t>要原因是</w:t>
      </w:r>
      <w:r>
        <w:rPr>
          <w:rFonts w:hint="eastAsia" w:ascii="仿宋_GB2312" w:hAnsi="仿宋_GB2312" w:eastAsia="仿宋_GB2312" w:cs="仿宋_GB2312"/>
          <w:color w:val="auto"/>
          <w:sz w:val="32"/>
          <w:szCs w:val="32"/>
          <w:lang w:eastAsia="zh-CN"/>
        </w:rPr>
        <w:t>年中财政增拨了综合绩效奖年终部分经费。</w:t>
      </w:r>
    </w:p>
    <w:p w14:paraId="373E8BA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358.82</w:t>
      </w:r>
      <w:r>
        <w:rPr>
          <w:rFonts w:hint="eastAsia" w:ascii="仿宋_GB2312" w:hAnsi="仿宋_GB2312" w:eastAsia="仿宋_GB2312" w:cs="仿宋_GB2312"/>
          <w:sz w:val="32"/>
          <w:szCs w:val="32"/>
        </w:rPr>
        <w:t>万元，其中：</w:t>
      </w:r>
    </w:p>
    <w:p w14:paraId="27FE4E0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b/>
          <w:bCs/>
          <w:sz w:val="32"/>
          <w:szCs w:val="32"/>
          <w:lang w:val="en-US" w:eastAsia="zh-CN"/>
        </w:rPr>
        <w:t>323.58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90.18</w:t>
      </w:r>
      <w:r>
        <w:rPr>
          <w:rFonts w:hint="eastAsia" w:ascii="仿宋_GB2312" w:hAnsi="仿宋_GB2312" w:eastAsia="仿宋_GB2312" w:cs="仿宋_GB2312"/>
          <w:sz w:val="32"/>
          <w:szCs w:val="32"/>
        </w:rPr>
        <w:t>%,主要包括基本工资、津贴补贴、奖金、伙食补助费</w:t>
      </w:r>
      <w:r>
        <w:rPr>
          <w:rFonts w:ascii="微软雅黑" w:hAnsi="微软雅黑" w:eastAsia="微软雅黑" w:cs="微软雅黑"/>
          <w:i w:val="0"/>
          <w:iCs w:val="0"/>
          <w:caps w:val="0"/>
          <w:color w:val="000000"/>
          <w:spacing w:val="0"/>
          <w:sz w:val="27"/>
          <w:szCs w:val="27"/>
        </w:rPr>
        <w:t>、</w:t>
      </w:r>
      <w:r>
        <w:rPr>
          <w:rFonts w:hint="eastAsia" w:ascii="仿宋_GB2312" w:hAnsi="仿宋_GB2312" w:eastAsia="仿宋_GB2312" w:cs="仿宋_GB2312"/>
          <w:i w:val="0"/>
          <w:iCs w:val="0"/>
          <w:caps w:val="0"/>
          <w:color w:val="000000"/>
          <w:spacing w:val="0"/>
          <w:sz w:val="32"/>
          <w:szCs w:val="32"/>
        </w:rPr>
        <w:t>绩效工资、机关事业单位基本养老保险缴费、职工基本医疗保险缴费、其他社会保障缴费、住房公积金</w:t>
      </w:r>
      <w:r>
        <w:rPr>
          <w:rFonts w:hint="eastAsia" w:ascii="仿宋_GB2312" w:hAnsi="仿宋_GB2312" w:eastAsia="仿宋_GB2312" w:cs="仿宋_GB2312"/>
          <w:i w:val="0"/>
          <w:iCs w:val="0"/>
          <w:caps w:val="0"/>
          <w:color w:val="000000"/>
          <w:spacing w:val="0"/>
          <w:sz w:val="32"/>
          <w:szCs w:val="32"/>
          <w:lang w:eastAsia="zh-CN"/>
        </w:rPr>
        <w:t>、医疗费。</w:t>
      </w:r>
    </w:p>
    <w:p w14:paraId="2C0E7EF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b/>
          <w:bCs/>
          <w:sz w:val="32"/>
          <w:szCs w:val="32"/>
          <w:lang w:val="en-US" w:eastAsia="zh-CN"/>
        </w:rPr>
        <w:t>35.23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9.82</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i w:val="0"/>
          <w:iCs w:val="0"/>
          <w:caps w:val="0"/>
          <w:color w:val="000000"/>
          <w:spacing w:val="0"/>
          <w:sz w:val="32"/>
          <w:szCs w:val="32"/>
        </w:rPr>
        <w:t>邮电费、</w:t>
      </w:r>
      <w:r>
        <w:rPr>
          <w:rFonts w:hint="eastAsia" w:ascii="仿宋_GB2312" w:hAnsi="仿宋_GB2312" w:eastAsia="仿宋_GB2312" w:cs="仿宋_GB2312"/>
          <w:i w:val="0"/>
          <w:iCs w:val="0"/>
          <w:caps w:val="0"/>
          <w:color w:val="000000"/>
          <w:spacing w:val="0"/>
          <w:sz w:val="32"/>
          <w:szCs w:val="32"/>
          <w:lang w:val="en-US" w:eastAsia="zh-CN"/>
        </w:rPr>
        <w:t>维修（护）费</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委托业务费、</w:t>
      </w:r>
      <w:r>
        <w:rPr>
          <w:rFonts w:hint="eastAsia" w:ascii="仿宋_GB2312" w:hAnsi="仿宋_GB2312" w:eastAsia="仿宋_GB2312" w:cs="仿宋_GB2312"/>
          <w:i w:val="0"/>
          <w:iCs w:val="0"/>
          <w:caps w:val="0"/>
          <w:color w:val="000000"/>
          <w:spacing w:val="0"/>
          <w:sz w:val="32"/>
          <w:szCs w:val="32"/>
        </w:rPr>
        <w:t>工会经费、福利费、其他交通费用、其他商品和服务支出</w:t>
      </w:r>
      <w:r>
        <w:rPr>
          <w:rFonts w:hint="eastAsia" w:ascii="仿宋_GB2312" w:hAnsi="仿宋_GB2312" w:eastAsia="仿宋_GB2312" w:cs="仿宋_GB2312"/>
          <w:b w:val="0"/>
          <w:bCs/>
          <w:sz w:val="32"/>
          <w:szCs w:val="32"/>
          <w:lang w:eastAsia="zh-CN"/>
        </w:rPr>
        <w:t>。</w:t>
      </w:r>
    </w:p>
    <w:p w14:paraId="238B276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5"/>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1C6C0D0E">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w:t>
      </w:r>
      <w:r>
        <w:rPr>
          <w:rFonts w:hint="eastAsia" w:ascii="Times New Roman" w:hAnsi="Times New Roman" w:eastAsia="楷体_GB2312" w:cs="Times New Roman"/>
          <w:b/>
          <w:color w:val="auto"/>
          <w:sz w:val="32"/>
          <w:szCs w:val="32"/>
          <w:lang w:eastAsia="zh-CN"/>
        </w:rPr>
        <w:t>“三公”</w:t>
      </w:r>
      <w:r>
        <w:rPr>
          <w:rFonts w:ascii="Times New Roman" w:hAnsi="Times New Roman" w:eastAsia="楷体_GB2312" w:cs="Times New Roman"/>
          <w:b/>
          <w:color w:val="auto"/>
          <w:sz w:val="32"/>
          <w:szCs w:val="32"/>
        </w:rPr>
        <w:t>经费财政拨款支出决算总体情况说明</w:t>
      </w:r>
    </w:p>
    <w:p w14:paraId="7F4B97C6">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，主要原因是我单位严格按预算执行决算；与上年一致，无增减变动，主要原因是按有关政策厉行节约，严控“三公经费”支出。</w:t>
      </w:r>
    </w:p>
    <w:p w14:paraId="46288E4E">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w:t>
      </w:r>
      <w:r>
        <w:rPr>
          <w:rFonts w:hint="eastAsia" w:ascii="Times New Roman" w:hAnsi="Times New Roman" w:eastAsia="楷体_GB2312" w:cs="Times New Roman"/>
          <w:b/>
          <w:color w:val="auto"/>
          <w:sz w:val="32"/>
          <w:szCs w:val="32"/>
          <w:lang w:eastAsia="zh-CN"/>
        </w:rPr>
        <w:t>“三公”</w:t>
      </w:r>
      <w:r>
        <w:rPr>
          <w:rFonts w:ascii="Times New Roman" w:hAnsi="Times New Roman" w:eastAsia="楷体_GB2312" w:cs="Times New Roman"/>
          <w:b/>
          <w:color w:val="auto"/>
          <w:sz w:val="32"/>
          <w:szCs w:val="32"/>
        </w:rPr>
        <w:t>经费财政拨款支出决算具体情况说明</w:t>
      </w:r>
    </w:p>
    <w:p w14:paraId="2C722448">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与上年一致，无增减变动，主要原因是未安排因公出国（境）活动。</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C38C538">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w:t>
      </w:r>
      <w:r>
        <w:rPr>
          <w:rFonts w:ascii="Times New Roman" w:hAnsi="Times New Roman" w:eastAsia="仿宋_GB2312" w:cs="Times New Roman"/>
          <w:color w:val="auto"/>
          <w:sz w:val="32"/>
          <w:szCs w:val="32"/>
        </w:rPr>
        <w:t>。其中：</w:t>
      </w:r>
    </w:p>
    <w:p w14:paraId="20BC5472">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与上年一致，无增减变动，主要原因是两年均未购置公务用车。本单位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76DDC01F">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w:t>
      </w:r>
      <w:r>
        <w:rPr>
          <w:rFonts w:ascii="Times New Roman" w:hAnsi="Times New Roman" w:eastAsia="仿宋_GB2312" w:cs="Times New Roman"/>
          <w:color w:val="auto"/>
          <w:sz w:val="32"/>
          <w:szCs w:val="32"/>
        </w:rPr>
        <w:t>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 xml:space="preserve">决算数等于预算数，主要原因是我单位严格按预算执行决算；与上年一致，无增减变动，主要原因是两年均无公务用车需要运行维护。 </w:t>
      </w:r>
      <w:r>
        <w:rPr>
          <w:rFonts w:ascii="Times New Roman" w:hAnsi="Times New Roman" w:eastAsia="仿宋_GB2312" w:cs="Times New Roman"/>
          <w:color w:val="auto"/>
          <w:sz w:val="32"/>
          <w:szCs w:val="32"/>
        </w:rPr>
        <w:t>截止</w:t>
      </w:r>
      <w:r>
        <w:rPr>
          <w:rFonts w:hint="eastAsia" w:ascii="Times New Roman" w:hAnsi="Times New Roman" w:eastAsia="仿宋_GB2312" w:cs="Times New Roman"/>
          <w:color w:val="auto"/>
          <w:sz w:val="32"/>
          <w:szCs w:val="32"/>
          <w:lang w:eastAsia="zh-CN"/>
        </w:rPr>
        <w:t>到</w:t>
      </w:r>
      <w:r>
        <w:rPr>
          <w:rFonts w:ascii="Times New Roman" w:hAnsi="Times New Roman" w:eastAsia="仿宋_GB2312" w:cs="Times New Roman"/>
          <w:color w:val="auto"/>
          <w:sz w:val="32"/>
          <w:szCs w:val="32"/>
        </w:rPr>
        <w:t>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B4E5B3E">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公务接待费支出预算为</w:t>
      </w:r>
      <w:r>
        <w:rPr>
          <w:rFonts w:hint="eastAsia" w:ascii="Times New Roman" w:hAnsi="Times New Roman" w:eastAsia="仿宋_GB2312" w:cs="Times New Roman"/>
          <w:color w:val="auto"/>
          <w:sz w:val="32"/>
          <w:szCs w:val="32"/>
          <w:lang w:val="en-US" w:eastAsia="zh-CN"/>
        </w:rPr>
        <w:t xml:space="preserve"> 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决算数等于预算数，主要原因是严格执行中央八项规定；与上年一致，无增减变动，主要原因是按有关政策厉行节约，严控公务接待支出。</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E0BBC5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p>
    <w:p w14:paraId="3D06ACE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15024CED">
      <w:pPr>
        <w:pStyle w:val="15"/>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i w:val="0"/>
          <w:iCs/>
          <w:color w:val="auto"/>
          <w:sz w:val="32"/>
          <w:szCs w:val="32"/>
          <w:lang w:val="en-US" w:eastAsia="zh-CN"/>
        </w:rPr>
        <w:t>单位为全额拨款事业单位，按照机关运行经费的口径，本年度机关运行经费为0。</w:t>
      </w:r>
    </w:p>
    <w:p w14:paraId="39684EF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252D0BE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b w:val="0"/>
          <w:bCs w:val="0"/>
          <w:i w:val="0"/>
          <w:iCs w:val="0"/>
          <w:color w:val="auto"/>
          <w:kern w:val="0"/>
          <w:sz w:val="32"/>
          <w:szCs w:val="32"/>
          <w:lang w:val="en-US" w:eastAsia="zh-CN" w:bidi="ar-SA"/>
        </w:rPr>
        <w:t>本单位无会议费的预算和支出决算数；本单位无培训费的预算和支出决算数；本单位无举办节庆、晚会、论坛、赛事等活动的预算和支出决算数。</w:t>
      </w: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30.43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16.83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13.59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30.43</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30.43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246A0DF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D80ED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11275BF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p>
    <w:p w14:paraId="3D638E4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根据预算绩效管理要求，我们组织对2024年度整体支出和项目资金实施了全覆盖性的绩效评价，撰写了绩效自评报告。</w:t>
      </w:r>
    </w:p>
    <w:p w14:paraId="799EB95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358.82万元，政府性基金预算支出0万元，国有资本经营预算支出0万元。从评价情况来看，整体支出绩效评价中，2024年整体支出471.59万元，其中：基本支出471.59万元，项目支出0万元，本单位整体支出绩效自评综合评分97.76分，评价结果等次为优秀。</w:t>
      </w:r>
    </w:p>
    <w:p w14:paraId="2DC422C2">
      <w:pPr>
        <w:numPr>
          <w:ilvl w:val="0"/>
          <w:numId w:val="0"/>
        </w:numPr>
        <w:autoSpaceDE w:val="0"/>
        <w:autoSpaceDN w:val="0"/>
        <w:adjustRightInd w:val="0"/>
        <w:ind w:firstLine="640" w:firstLineChars="200"/>
        <w:jc w:val="left"/>
        <w:rPr>
          <w:rFonts w:hint="eastAsia" w:ascii="Times New Roman" w:hAnsi="Times New Roman" w:eastAsia="仿宋_GB2312" w:cs="Times New Roman"/>
          <w:kern w:val="0"/>
          <w:sz w:val="32"/>
          <w:szCs w:val="32"/>
          <w:highlight w:val="none"/>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0个，共涉及资金0万元（由于一般公共预算项目支出总额为0，故无法计算占一般公共预算项目支出总额比重）。组织对政府性基金预算项目支出开展绩效自评，项目0个，共涉及资金0万元（由于政府性基金预算项目支出总额为0，故无法计算占政府性基金预算项目支出总额比重）。组织对国有资本经营预算项目支出开展绩效自评，项目0个，共涉及资金0万元（由于国有资本经营预算项目支出总额为0，故无法计算占国有资本经营预算项目支出总额的比重）。</w:t>
      </w:r>
      <w:r>
        <w:rPr>
          <w:rFonts w:hint="eastAsia" w:ascii="仿宋_GB2312" w:hAnsi="仿宋_GB2312" w:eastAsia="仿宋_GB2312" w:cs="仿宋_GB2312"/>
          <w:b w:val="0"/>
          <w:bCs w:val="0"/>
          <w:i w:val="0"/>
          <w:iCs w:val="0"/>
          <w:color w:val="auto"/>
          <w:kern w:val="0"/>
          <w:sz w:val="32"/>
          <w:szCs w:val="32"/>
          <w:lang w:val="en-US" w:eastAsia="zh-CN"/>
        </w:rPr>
        <w:t>本单位无项目支出，未开展项目绩效自评，无项目绩效自评结果。</w:t>
      </w:r>
    </w:p>
    <w:p w14:paraId="7C65853C">
      <w:pPr>
        <w:numPr>
          <w:ilvl w:val="0"/>
          <w:numId w:val="2"/>
        </w:num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部门评价开展情况</w:t>
      </w:r>
    </w:p>
    <w:p w14:paraId="33E17A6E">
      <w:pPr>
        <w:pStyle w:val="2"/>
        <w:numPr>
          <w:ilvl w:val="0"/>
          <w:numId w:val="0"/>
        </w:numPr>
        <w:ind w:firstLine="640" w:firstLineChars="200"/>
        <w:rPr>
          <w:rFonts w:hint="eastAsia"/>
          <w:color w:val="auto"/>
          <w:lang w:eastAsia="zh-CN"/>
        </w:rPr>
      </w:pPr>
      <w:r>
        <w:rPr>
          <w:rFonts w:hint="eastAsia" w:ascii="Times New Roman" w:hAnsi="Times New Roman" w:eastAsia="仿宋_GB2312" w:cs="Times New Roman"/>
          <w:color w:val="auto"/>
          <w:kern w:val="0"/>
          <w:sz w:val="32"/>
          <w:szCs w:val="32"/>
          <w:lang w:val="en-US" w:eastAsia="zh-CN"/>
        </w:rPr>
        <w:t>本单位为二级预算单位，部门评价开展情况可详见上级部门决算公开说明</w:t>
      </w:r>
    </w:p>
    <w:p w14:paraId="24265765">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p>
    <w:p w14:paraId="4832F006">
      <w:pPr>
        <w:overflowPunct w:val="0"/>
        <w:spacing w:line="600" w:lineRule="exact"/>
        <w:ind w:firstLine="640" w:firstLineChars="200"/>
        <w:rPr>
          <w:rFonts w:ascii="Times New Roman" w:hAnsi="Times New Roman" w:eastAsia="仿宋_GB2312" w:cs="Times New Roman"/>
          <w:b/>
          <w:bCs/>
          <w:color w:val="auto"/>
          <w:kern w:val="0"/>
          <w:sz w:val="32"/>
          <w:szCs w:val="32"/>
        </w:rPr>
      </w:pPr>
      <w:r>
        <w:rPr>
          <w:rFonts w:hint="eastAsia" w:ascii="Times New Roman" w:hAnsi="Times New Roman" w:eastAsia="仿宋_GB2312" w:cs="Times New Roman"/>
          <w:color w:val="auto"/>
          <w:kern w:val="0"/>
          <w:sz w:val="32"/>
          <w:szCs w:val="32"/>
          <w:lang w:val="en-US" w:eastAsia="zh-CN"/>
        </w:rPr>
        <w:t>本单位为二级预算单位，事前绩效评估开展情况可详见上级部门决算公开说明。</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color w:val="auto"/>
          <w:sz w:val="32"/>
          <w:szCs w:val="32"/>
        </w:rPr>
        <w:t>（二）</w:t>
      </w:r>
      <w:r>
        <w:rPr>
          <w:rFonts w:ascii="Times New Roman" w:hAnsi="Times New Roman" w:eastAsia="楷体_GB2312" w:cs="Times New Roman"/>
          <w:b/>
          <w:bCs/>
          <w:sz w:val="32"/>
          <w:szCs w:val="32"/>
        </w:rPr>
        <w:t>绩效评价结果</w:t>
      </w:r>
    </w:p>
    <w:p w14:paraId="4F1A1DF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483.37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471.59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97.56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b w:val="0"/>
          <w:bCs w:val="0"/>
          <w:color w:val="000000"/>
          <w:kern w:val="0"/>
          <w:sz w:val="32"/>
          <w:szCs w:val="32"/>
          <w:lang w:val="en-US" w:eastAsia="zh-CN" w:bidi="ar-SA"/>
        </w:rPr>
        <w:t>一是</w:t>
      </w:r>
      <w:r>
        <w:rPr>
          <w:rFonts w:hint="eastAsia" w:ascii="仿宋_GB2312" w:hAnsi="仿宋_GB2312" w:eastAsia="仿宋_GB2312" w:cs="仿宋_GB2312"/>
          <w:sz w:val="32"/>
          <w:szCs w:val="32"/>
          <w:lang w:val="en-US" w:eastAsia="zh-CN"/>
        </w:rPr>
        <w:t>加大了市政设施</w:t>
      </w:r>
      <w:r>
        <w:rPr>
          <w:rFonts w:hint="eastAsia" w:ascii="仿宋_GB2312" w:hAnsi="仿宋_GB2312" w:eastAsia="仿宋_GB2312" w:cs="仿宋_GB2312"/>
          <w:sz w:val="32"/>
          <w:szCs w:val="32"/>
          <w:lang w:eastAsia="zh-CN"/>
        </w:rPr>
        <w:t>维护管理</w:t>
      </w:r>
      <w:r>
        <w:rPr>
          <w:rFonts w:hint="eastAsia" w:ascii="仿宋_GB2312" w:hAnsi="仿宋_GB2312" w:eastAsia="仿宋_GB2312" w:cs="仿宋_GB2312"/>
          <w:sz w:val="32"/>
          <w:szCs w:val="32"/>
          <w:lang w:val="en-US" w:eastAsia="zh-CN"/>
        </w:rPr>
        <w:t>力度</w:t>
      </w:r>
      <w:r>
        <w:rPr>
          <w:rFonts w:hint="eastAsia" w:ascii="仿宋_GB2312" w:hAnsi="仿宋_GB2312" w:eastAsia="仿宋_GB2312" w:cs="仿宋_GB2312"/>
          <w:sz w:val="32"/>
          <w:szCs w:val="32"/>
          <w:lang w:eastAsia="zh-CN"/>
        </w:rPr>
        <w:t>，考评</w:t>
      </w:r>
      <w:r>
        <w:rPr>
          <w:rFonts w:hint="eastAsia" w:ascii="仿宋_GB2312" w:hAnsi="仿宋_GB2312" w:eastAsia="仿宋_GB2312" w:cs="仿宋_GB2312"/>
          <w:sz w:val="32"/>
          <w:szCs w:val="32"/>
          <w:lang w:val="en-US" w:eastAsia="zh-CN"/>
        </w:rPr>
        <w:t>考核更加细致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市政设施</w:t>
      </w:r>
      <w:r>
        <w:rPr>
          <w:rFonts w:hint="eastAsia" w:ascii="仿宋_GB2312" w:hAnsi="仿宋_GB2312" w:eastAsia="仿宋_GB2312" w:cs="仿宋_GB2312"/>
          <w:sz w:val="32"/>
          <w:szCs w:val="32"/>
          <w:lang w:eastAsia="zh-CN"/>
        </w:rPr>
        <w:t>维护质量，</w:t>
      </w:r>
      <w:r>
        <w:rPr>
          <w:rFonts w:hint="eastAsia" w:ascii="仿宋_GB2312" w:hAnsi="仿宋_GB2312" w:eastAsia="仿宋_GB2312" w:cs="仿宋_GB2312"/>
          <w:sz w:val="32"/>
          <w:szCs w:val="32"/>
          <w:lang w:val="en-US" w:eastAsia="zh-CN"/>
        </w:rPr>
        <w:t>管养水平不断提升;</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sz w:val="32"/>
          <w:szCs w:val="32"/>
          <w:lang w:eastAsia="zh-CN"/>
        </w:rPr>
        <w:t>单位负责的行政审批工作</w:t>
      </w:r>
      <w:r>
        <w:rPr>
          <w:rFonts w:hint="eastAsia" w:ascii="仿宋_GB2312" w:hAnsi="仿宋_GB2312" w:eastAsia="仿宋_GB2312" w:cs="仿宋_GB2312"/>
          <w:sz w:val="32"/>
          <w:szCs w:val="32"/>
          <w:lang w:val="en-US" w:eastAsia="zh-CN"/>
        </w:rPr>
        <w:t>办理流程得到进一步优化，办理效率不断提升；三是</w:t>
      </w:r>
      <w:r>
        <w:rPr>
          <w:rFonts w:hint="eastAsia" w:ascii="仿宋_GB2312" w:hAnsi="仿宋_GB2312" w:eastAsia="仿宋_GB2312" w:cs="仿宋_GB2312"/>
          <w:sz w:val="32"/>
          <w:szCs w:val="32"/>
          <w:lang w:eastAsia="zh-CN"/>
        </w:rPr>
        <w:t>环保</w:t>
      </w:r>
      <w:r>
        <w:rPr>
          <w:rFonts w:hint="eastAsia" w:ascii="仿宋_GB2312" w:hAnsi="仿宋_GB2312" w:eastAsia="仿宋_GB2312" w:cs="仿宋_GB2312"/>
          <w:sz w:val="32"/>
          <w:szCs w:val="32"/>
          <w:lang w:val="en-US" w:eastAsia="zh-CN"/>
        </w:rPr>
        <w:t>整治</w:t>
      </w:r>
      <w:r>
        <w:rPr>
          <w:rFonts w:hint="eastAsia" w:ascii="仿宋_GB2312" w:hAnsi="仿宋_GB2312" w:eastAsia="仿宋_GB2312" w:cs="仿宋_GB2312"/>
          <w:sz w:val="32"/>
          <w:szCs w:val="32"/>
          <w:lang w:eastAsia="zh-CN"/>
        </w:rPr>
        <w:t>和垃圾分类</w:t>
      </w:r>
      <w:r>
        <w:rPr>
          <w:rFonts w:hint="eastAsia" w:ascii="仿宋_GB2312" w:hAnsi="仿宋_GB2312" w:eastAsia="仿宋_GB2312" w:cs="仿宋_GB2312"/>
          <w:sz w:val="32"/>
          <w:szCs w:val="32"/>
          <w:lang w:val="en-US" w:eastAsia="zh-CN"/>
        </w:rPr>
        <w:t>等工作取得新成效</w:t>
      </w:r>
      <w:r>
        <w:rPr>
          <w:rFonts w:hint="eastAsia" w:ascii="仿宋_GB2312" w:hAnsi="仿宋_GB2312" w:eastAsia="仿宋_GB2312" w:cs="仿宋_GB2312"/>
          <w:sz w:val="32"/>
          <w:szCs w:val="32"/>
          <w:lang w:eastAsia="zh-CN"/>
        </w:rPr>
        <w:t>，高效完成</w:t>
      </w:r>
      <w:r>
        <w:rPr>
          <w:rFonts w:hint="eastAsia" w:ascii="仿宋_GB2312" w:hAnsi="仿宋_GB2312" w:eastAsia="仿宋_GB2312" w:cs="仿宋_GB2312"/>
          <w:sz w:val="32"/>
          <w:szCs w:val="32"/>
          <w:lang w:val="en-US" w:eastAsia="zh-CN"/>
        </w:rPr>
        <w:t>了各项</w:t>
      </w:r>
      <w:r>
        <w:rPr>
          <w:rFonts w:hint="eastAsia" w:ascii="仿宋_GB2312" w:hAnsi="仿宋_GB2312" w:eastAsia="仿宋_GB2312" w:cs="仿宋_GB2312"/>
          <w:sz w:val="32"/>
          <w:szCs w:val="32"/>
          <w:lang w:eastAsia="zh-CN"/>
        </w:rPr>
        <w:t>接待任务</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lang w:eastAsia="zh-CN"/>
        </w:rPr>
        <w:t>优化完善</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eastAsia="zh-CN"/>
        </w:rPr>
        <w:t>执法程序，持续开展综合整治</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，扬尘</w:t>
      </w:r>
      <w:r>
        <w:rPr>
          <w:rFonts w:hint="eastAsia" w:ascii="仿宋_GB2312" w:hAnsi="仿宋_GB2312" w:eastAsia="仿宋_GB2312" w:cs="仿宋_GB2312"/>
          <w:sz w:val="32"/>
          <w:szCs w:val="32"/>
          <w:lang w:val="en-US" w:eastAsia="zh-CN"/>
        </w:rPr>
        <w:t>治理</w:t>
      </w:r>
      <w:r>
        <w:rPr>
          <w:rFonts w:hint="eastAsia" w:ascii="仿宋_GB2312" w:hAnsi="仿宋_GB2312" w:eastAsia="仿宋_GB2312" w:cs="仿宋_GB2312"/>
          <w:sz w:val="32"/>
          <w:szCs w:val="32"/>
          <w:lang w:eastAsia="zh-CN"/>
        </w:rPr>
        <w:t>和禁燃禁放</w:t>
      </w:r>
      <w:r>
        <w:rPr>
          <w:rFonts w:hint="eastAsia" w:ascii="仿宋_GB2312" w:hAnsi="仿宋_GB2312" w:eastAsia="仿宋_GB2312" w:cs="仿宋_GB2312"/>
          <w:sz w:val="32"/>
          <w:szCs w:val="32"/>
          <w:lang w:val="en-US" w:eastAsia="zh-CN"/>
        </w:rPr>
        <w:t>得到有效管控；五是</w:t>
      </w:r>
      <w:r>
        <w:rPr>
          <w:rFonts w:hint="eastAsia" w:ascii="仿宋_GB2312" w:hAnsi="仿宋_GB2312" w:eastAsia="仿宋_GB2312" w:cs="仿宋_GB2312"/>
          <w:sz w:val="32"/>
          <w:szCs w:val="32"/>
          <w:lang w:eastAsia="zh-CN"/>
        </w:rPr>
        <w:t>及时受理了信访投诉，</w:t>
      </w:r>
      <w:r>
        <w:rPr>
          <w:rFonts w:hint="eastAsia" w:ascii="仿宋_GB2312" w:hAnsi="仿宋_GB2312" w:eastAsia="仿宋_GB2312" w:cs="仿宋_GB2312"/>
          <w:sz w:val="32"/>
          <w:szCs w:val="32"/>
          <w:lang w:val="en-US" w:eastAsia="zh-CN"/>
        </w:rPr>
        <w:t>并及时有效处置</w:t>
      </w:r>
      <w:r>
        <w:rPr>
          <w:rFonts w:hint="eastAsia" w:ascii="仿宋_GB2312" w:hAnsi="仿宋_GB2312" w:eastAsia="仿宋_GB2312" w:cs="仿宋_GB2312"/>
          <w:sz w:val="32"/>
          <w:szCs w:val="32"/>
          <w:lang w:eastAsia="zh-CN"/>
        </w:rPr>
        <w:t>。</w:t>
      </w:r>
    </w:p>
    <w:p w14:paraId="787CE9BA">
      <w:pPr>
        <w:pStyle w:val="7"/>
        <w:keepNext w:val="0"/>
        <w:keepLines w:val="0"/>
        <w:pageBreakBefore w:val="0"/>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2024年，在新港区党工委和市城管局党组的正确领导下，分局上下团结一心，踔厉奋发，以“六大城管”工作理念为指引，以港区年度工作要点为总揽，紧扣全年工作思路，聚焦争创一流目标，圆满完成了年初预定的各项工作任务，市容市貌日新月异、管理职能全面强化、重点工作扎实推进、城市设施不断完善，</w:t>
      </w:r>
      <w:r>
        <w:rPr>
          <w:rFonts w:hint="eastAsia" w:ascii="仿宋_GB2312" w:hAnsi="仿宋_GB2312" w:eastAsia="仿宋_GB2312" w:cs="仿宋_GB2312"/>
          <w:color w:val="333333"/>
          <w:sz w:val="32"/>
          <w:szCs w:val="32"/>
          <w:shd w:val="clear" w:color="auto" w:fill="FFFFFF"/>
          <w:lang w:val="en-US" w:eastAsia="zh-CN"/>
        </w:rPr>
        <w:t>积极</w:t>
      </w:r>
      <w:r>
        <w:rPr>
          <w:rFonts w:hint="eastAsia" w:ascii="仿宋_GB2312" w:hAnsi="仿宋_GB2312" w:eastAsia="仿宋_GB2312" w:cs="仿宋_GB2312"/>
          <w:color w:val="333333"/>
          <w:sz w:val="32"/>
          <w:szCs w:val="32"/>
          <w:shd w:val="clear" w:color="auto" w:fill="FFFFFF"/>
        </w:rPr>
        <w:t>推</w:t>
      </w:r>
      <w:r>
        <w:rPr>
          <w:rFonts w:hint="eastAsia" w:ascii="仿宋_GB2312" w:hAnsi="仿宋_GB2312" w:eastAsia="仿宋_GB2312" w:cs="仿宋_GB2312"/>
          <w:color w:val="333333"/>
          <w:sz w:val="32"/>
          <w:szCs w:val="32"/>
          <w:shd w:val="clear" w:color="auto" w:fill="FFFFFF"/>
          <w:lang w:val="en-US" w:eastAsia="zh-CN"/>
        </w:rPr>
        <w:t>动了城陵矶新港区城市管理</w:t>
      </w:r>
      <w:r>
        <w:rPr>
          <w:rFonts w:hint="eastAsia" w:ascii="仿宋_GB2312" w:hAnsi="仿宋_GB2312" w:eastAsia="仿宋_GB2312" w:cs="仿宋_GB2312"/>
          <w:color w:val="333333"/>
          <w:sz w:val="32"/>
          <w:szCs w:val="32"/>
          <w:shd w:val="clear" w:color="auto" w:fill="FFFFFF"/>
        </w:rPr>
        <w:t>事业发展</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改善了港区城市居住环境，优化了营商环境，助力了招商引资，得到了城陵矶新港区领导和市民的普遍赞誉</w:t>
      </w:r>
      <w:r>
        <w:rPr>
          <w:rFonts w:hint="eastAsia" w:ascii="仿宋_GB2312" w:hAnsi="仿宋_GB2312" w:eastAsia="仿宋_GB2312" w:cs="仿宋_GB2312"/>
          <w:color w:val="333333"/>
          <w:sz w:val="32"/>
          <w:szCs w:val="32"/>
          <w:shd w:val="clear" w:color="auto" w:fill="FFFFFF"/>
        </w:rPr>
        <w:t>。</w:t>
      </w:r>
    </w:p>
    <w:p w14:paraId="54E6460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w:t>
      </w:r>
      <w:r>
        <w:rPr>
          <w:rFonts w:hint="default"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val="en-US" w:eastAsia="zh-CN"/>
        </w:rPr>
        <w:t>预算数和实际支出数存在较大差异，主要原因为对政府采购相关制度学习不够深入，对来年工作预计不足，导致预算数和实际执行数存在较大差异</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Times New Roman" w:hAnsi="Times New Roman" w:eastAsia="仿宋_GB2312" w:cs="Times New Roman"/>
          <w:sz w:val="32"/>
          <w:szCs w:val="32"/>
          <w:lang w:val="en-US" w:eastAsia="zh-CN"/>
        </w:rPr>
        <w:t>港区城乡结合部部分城市基础设施有待进一步优化。主要原因为近几年来港区城市建设发展速度较快，城市配套设施建设没有及时跟上。</w:t>
      </w:r>
    </w:p>
    <w:p w14:paraId="023E74E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rPr>
      </w:pPr>
      <w:r>
        <w:rPr>
          <w:rFonts w:hint="eastAsia" w:ascii="仿宋_GB2312" w:hAnsi="仿宋_GB2312" w:eastAsia="仿宋_GB2312" w:cs="仿宋_GB2312"/>
          <w:b w:val="0"/>
          <w:bCs w:val="0"/>
          <w:color w:val="000000"/>
          <w:kern w:val="0"/>
          <w:sz w:val="32"/>
          <w:szCs w:val="32"/>
          <w:lang w:val="en-US" w:eastAsia="zh-CN" w:bidi="ar-SA"/>
        </w:rPr>
        <w:t>下一步改进措施：一是</w:t>
      </w:r>
      <w:r>
        <w:rPr>
          <w:rFonts w:hint="eastAsia" w:ascii="仿宋_GB2312" w:hAnsi="仿宋_GB2312" w:eastAsia="仿宋_GB2312" w:cs="仿宋_GB2312"/>
          <w:sz w:val="32"/>
          <w:szCs w:val="32"/>
          <w:lang w:val="en-US" w:eastAsia="zh-CN"/>
        </w:rPr>
        <w:t>加强政府采购相关制度学习，认真分析来年相关工作，合理预计政府采购预算，提升政府采购预算质量</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sz w:val="32"/>
          <w:szCs w:val="32"/>
          <w:lang w:val="en-US" w:eastAsia="zh-CN"/>
        </w:rPr>
        <w:t>加强港区项目资金管理，合理调配资金投入方向，加大城乡结合部配套设施建设投入，进一步优化港区城市配套设施建设。同时，强化考评监督，提升资金支出绩效。</w:t>
      </w:r>
    </w:p>
    <w:p w14:paraId="73BA8852">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p>
    <w:p w14:paraId="1F555EDA">
      <w:pPr>
        <w:overflowPunct w:val="0"/>
        <w:spacing w:line="60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本单位为二级预算单位，部门评价结果可详见上级部门决算公开说明。</w:t>
      </w:r>
    </w:p>
    <w:p w14:paraId="0395B305">
      <w:pPr>
        <w:numPr>
          <w:ilvl w:val="0"/>
          <w:numId w:val="0"/>
        </w:numPr>
        <w:overflowPunct w:val="0"/>
        <w:spacing w:line="600" w:lineRule="exact"/>
        <w:ind w:leftChars="200" w:firstLine="320" w:firstLineChars="100"/>
        <w:rPr>
          <w:rFonts w:ascii="Times New Roman" w:hAnsi="Times New Roman" w:eastAsia="仿宋_GB2312" w:cs="Times New Roman"/>
          <w:b/>
          <w:bCs/>
          <w:kern w:val="0"/>
          <w:sz w:val="32"/>
          <w:szCs w:val="32"/>
          <w:highlight w:val="none"/>
        </w:rPr>
      </w:pPr>
      <w:r>
        <w:rPr>
          <w:rFonts w:hint="eastAsia" w:ascii="Times New Roman" w:hAnsi="Times New Roman" w:eastAsia="仿宋_GB2312" w:cs="Times New Roman"/>
          <w:b/>
          <w:bCs/>
          <w:kern w:val="0"/>
          <w:sz w:val="32"/>
          <w:szCs w:val="32"/>
          <w:highlight w:val="none"/>
          <w:lang w:val="en-US" w:eastAsia="zh-CN"/>
        </w:rPr>
        <w:t>3.事</w:t>
      </w:r>
      <w:r>
        <w:rPr>
          <w:rFonts w:ascii="Times New Roman" w:hAnsi="Times New Roman" w:eastAsia="仿宋_GB2312" w:cs="Times New Roman"/>
          <w:b/>
          <w:bCs/>
          <w:kern w:val="0"/>
          <w:sz w:val="32"/>
          <w:szCs w:val="32"/>
          <w:highlight w:val="none"/>
        </w:rPr>
        <w:t>前绩效评估结果</w:t>
      </w:r>
    </w:p>
    <w:p w14:paraId="4DEF240F">
      <w:pPr>
        <w:numPr>
          <w:ilvl w:val="0"/>
          <w:numId w:val="0"/>
        </w:numPr>
        <w:overflowPunct w:val="0"/>
        <w:spacing w:line="600" w:lineRule="exact"/>
        <w:ind w:leftChars="200" w:firstLine="320" w:firstLineChars="100"/>
        <w:rPr>
          <w:rFonts w:hint="eastAsia" w:ascii="Times New Roman" w:hAnsi="Times New Roman" w:eastAsia="仿宋_GB2312"/>
          <w:color w:val="auto"/>
          <w:sz w:val="32"/>
          <w:szCs w:val="32"/>
          <w:lang w:eastAsia="zh-CN"/>
        </w:rPr>
      </w:pPr>
      <w:r>
        <w:rPr>
          <w:rFonts w:hint="eastAsia" w:ascii="Times New Roman" w:hAnsi="Times New Roman" w:eastAsia="仿宋_GB2312" w:cs="Times New Roman"/>
          <w:color w:val="auto"/>
          <w:kern w:val="0"/>
          <w:sz w:val="32"/>
          <w:szCs w:val="32"/>
          <w:lang w:val="en-US" w:eastAsia="zh-CN"/>
        </w:rPr>
        <w:t>本单位为二级预算单位，事前绩效评估结果可详见上级部门决算公开说明。</w:t>
      </w:r>
    </w:p>
    <w:p w14:paraId="2C89E51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72999D69">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w:t>
      </w:r>
      <w:r>
        <w:rPr>
          <w:rFonts w:hint="eastAsia" w:ascii="CESI仿宋-GB2312" w:hAnsi="CESI仿宋-GB2312" w:eastAsia="CESI仿宋-GB2312" w:cs="CESI仿宋-GB2312"/>
          <w:color w:val="auto"/>
          <w:sz w:val="32"/>
          <w:szCs w:val="32"/>
          <w:highlight w:val="none"/>
        </w:rPr>
        <w:t>2024</w:t>
      </w:r>
      <w:r>
        <w:rPr>
          <w:rFonts w:ascii="Times New Roman" w:hAnsi="Times New Roman" w:eastAsia="仿宋_GB2312" w:cs="Times New Roman"/>
          <w:color w:val="auto"/>
          <w:sz w:val="32"/>
          <w:szCs w:val="32"/>
          <w:highlight w:val="none"/>
        </w:rPr>
        <w:t>年度绩效自评结果</w:t>
      </w:r>
      <w:r>
        <w:rPr>
          <w:rFonts w:hint="eastAsia" w:ascii="Times New Roman" w:hAnsi="Times New Roman" w:eastAsia="仿宋_GB2312" w:cs="Times New Roman"/>
          <w:color w:val="auto"/>
          <w:sz w:val="32"/>
          <w:szCs w:val="32"/>
          <w:highlight w:val="none"/>
          <w:lang w:eastAsia="zh-CN"/>
        </w:rPr>
        <w:t>和</w:t>
      </w:r>
      <w:r>
        <w:rPr>
          <w:rFonts w:ascii="Times New Roman" w:hAnsi="Times New Roman" w:eastAsia="仿宋_GB2312" w:cs="Times New Roman"/>
          <w:color w:val="auto"/>
          <w:sz w:val="32"/>
          <w:szCs w:val="32"/>
          <w:highlight w:val="none"/>
        </w:rPr>
        <w:t>部门评价结果</w:t>
      </w:r>
      <w:r>
        <w:rPr>
          <w:rFonts w:hint="eastAsia" w:ascii="Times New Roman" w:hAnsi="Times New Roman" w:eastAsia="仿宋_GB2312" w:cs="Times New Roman"/>
          <w:color w:val="auto"/>
          <w:sz w:val="32"/>
          <w:szCs w:val="32"/>
          <w:highlight w:val="none"/>
          <w:lang w:eastAsia="zh-CN"/>
        </w:rPr>
        <w:t>将作为</w:t>
      </w:r>
      <w:r>
        <w:rPr>
          <w:rFonts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eastAsia="zh-CN"/>
        </w:rPr>
        <w:t>单位</w:t>
      </w:r>
      <w:r>
        <w:rPr>
          <w:rFonts w:hint="eastAsia" w:ascii="CESI仿宋-GB2312" w:hAnsi="CESI仿宋-GB2312" w:eastAsia="CESI仿宋-GB2312" w:cs="CESI仿宋-GB2312"/>
          <w:color w:val="auto"/>
          <w:sz w:val="32"/>
          <w:szCs w:val="32"/>
          <w:highlight w:val="none"/>
        </w:rPr>
        <w:t>2025</w:t>
      </w:r>
      <w:r>
        <w:rPr>
          <w:rFonts w:ascii="Times New Roman" w:hAnsi="Times New Roman" w:eastAsia="仿宋_GB2312" w:cs="Times New Roman"/>
          <w:color w:val="auto"/>
          <w:sz w:val="32"/>
          <w:szCs w:val="32"/>
          <w:highlight w:val="none"/>
        </w:rPr>
        <w:t>年度预算安排，支出结构调整，资金</w:t>
      </w:r>
      <w:r>
        <w:rPr>
          <w:rFonts w:hint="eastAsia" w:ascii="Times New Roman" w:hAnsi="Times New Roman" w:eastAsia="仿宋_GB2312" w:cs="Times New Roman"/>
          <w:color w:val="auto"/>
          <w:sz w:val="32"/>
          <w:szCs w:val="32"/>
          <w:highlight w:val="none"/>
          <w:lang w:eastAsia="zh-CN"/>
        </w:rPr>
        <w:t>投向</w:t>
      </w:r>
      <w:r>
        <w:rPr>
          <w:rFonts w:ascii="Times New Roman" w:hAnsi="Times New Roman" w:eastAsia="仿宋_GB2312" w:cs="Times New Roman"/>
          <w:color w:val="auto"/>
          <w:sz w:val="32"/>
          <w:szCs w:val="32"/>
          <w:highlight w:val="none"/>
        </w:rPr>
        <w:t>等方面</w:t>
      </w:r>
      <w:r>
        <w:rPr>
          <w:rFonts w:hint="eastAsia" w:ascii="Times New Roman" w:hAnsi="Times New Roman" w:eastAsia="仿宋_GB2312" w:cs="Times New Roman"/>
          <w:color w:val="auto"/>
          <w:sz w:val="32"/>
          <w:szCs w:val="32"/>
          <w:highlight w:val="none"/>
          <w:lang w:eastAsia="zh-CN"/>
        </w:rPr>
        <w:t>工作管理的重要参考依据</w:t>
      </w:r>
      <w:r>
        <w:rPr>
          <w:rFonts w:ascii="Times New Roman" w:hAnsi="Times New Roman" w:eastAsia="仿宋_GB2312" w:cs="Times New Roman"/>
          <w:color w:val="auto"/>
          <w:sz w:val="32"/>
          <w:szCs w:val="32"/>
          <w:highlight w:val="none"/>
        </w:rPr>
        <w:t>。</w:t>
      </w:r>
    </w:p>
    <w:p w14:paraId="5C8D63C6">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367DB2EA">
      <w:pPr>
        <w:pStyle w:val="2"/>
        <w:rPr>
          <w:rFonts w:hint="eastAsia"/>
          <w:lang w:val="en-US" w:eastAsia="zh-CN"/>
        </w:rPr>
      </w:pPr>
    </w:p>
    <w:p w14:paraId="3D83FDA1">
      <w:pPr>
        <w:pStyle w:val="15"/>
        <w:jc w:val="center"/>
        <w:rPr>
          <w:rFonts w:hint="eastAsia" w:ascii="方正小标宋_GBK" w:hAnsi="方正小标宋_GBK" w:eastAsia="方正小标宋_GBK" w:cs="方正小标宋_GBK"/>
          <w:sz w:val="72"/>
          <w:szCs w:val="72"/>
        </w:rPr>
      </w:pPr>
    </w:p>
    <w:p w14:paraId="6FB6F211">
      <w:pPr>
        <w:pStyle w:val="15"/>
        <w:jc w:val="center"/>
        <w:rPr>
          <w:rFonts w:hint="eastAsia" w:ascii="方正小标宋_GBK" w:hAnsi="方正小标宋_GBK" w:eastAsia="方正小标宋_GBK" w:cs="方正小标宋_GBK"/>
          <w:sz w:val="72"/>
          <w:szCs w:val="72"/>
        </w:rPr>
      </w:pPr>
    </w:p>
    <w:p w14:paraId="3A01B6B0">
      <w:pPr>
        <w:pStyle w:val="15"/>
        <w:jc w:val="center"/>
        <w:rPr>
          <w:rFonts w:hint="eastAsia" w:ascii="方正小标宋_GBK" w:hAnsi="方正小标宋_GBK" w:eastAsia="方正小标宋_GBK" w:cs="方正小标宋_GBK"/>
          <w:sz w:val="72"/>
          <w:szCs w:val="72"/>
        </w:rPr>
      </w:pPr>
    </w:p>
    <w:p w14:paraId="475C1000">
      <w:pPr>
        <w:pStyle w:val="15"/>
        <w:jc w:val="center"/>
        <w:rPr>
          <w:rFonts w:hint="eastAsia" w:ascii="方正小标宋_GBK" w:hAnsi="方正小标宋_GBK" w:eastAsia="方正小标宋_GBK" w:cs="方正小标宋_GBK"/>
          <w:sz w:val="72"/>
          <w:szCs w:val="72"/>
        </w:rPr>
      </w:pPr>
    </w:p>
    <w:p w14:paraId="6A5A782C">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1CAE18D7"/>
    <w:p w14:paraId="5994BDDC">
      <w:pPr>
        <w:pStyle w:val="2"/>
      </w:pPr>
    </w:p>
    <w:p w14:paraId="51F60F8D">
      <w:pPr>
        <w:pStyle w:val="3"/>
      </w:pPr>
    </w:p>
    <w:p w14:paraId="715B8195"/>
    <w:p w14:paraId="3F608935">
      <w:pPr>
        <w:pStyle w:val="2"/>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2"/>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1D47518A">
      <w:pPr>
        <w:pStyle w:val="3"/>
      </w:pP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724E0A54"/>
    <w:p w14:paraId="496F732E">
      <w:pPr>
        <w:pStyle w:val="2"/>
      </w:pPr>
    </w:p>
    <w:p w14:paraId="354ECFD8">
      <w:pPr>
        <w:pStyle w:val="3"/>
      </w:pPr>
    </w:p>
    <w:p w14:paraId="51C67B38"/>
    <w:p w14:paraId="4D131F3E"/>
    <w:p w14:paraId="7CFBCE3C">
      <w:pPr>
        <w:pStyle w:val="2"/>
      </w:pPr>
    </w:p>
    <w:p w14:paraId="5C3DE094">
      <w:pPr>
        <w:pStyle w:val="15"/>
        <w:jc w:val="both"/>
        <w:rPr>
          <w:rFonts w:hint="eastAsia" w:ascii="方正小标宋_GBK" w:hAnsi="方正小标宋_GBK" w:eastAsia="方正小标宋_GBK" w:cs="方正小标宋_GBK"/>
          <w:sz w:val="72"/>
          <w:szCs w:val="72"/>
        </w:rPr>
      </w:pPr>
    </w:p>
    <w:p w14:paraId="0C1858E3">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5"/>
        <w:jc w:val="both"/>
        <w:rPr>
          <w:rFonts w:hint="eastAsia" w:ascii="方正小标宋_GBK" w:hAnsi="方正小标宋_GBK" w:eastAsia="方正小标宋_GBK" w:cs="方正小标宋_GBK"/>
          <w:sz w:val="70"/>
          <w:szCs w:val="70"/>
          <w:lang w:eastAsia="zh-CN"/>
        </w:rPr>
      </w:pPr>
    </w:p>
    <w:p w14:paraId="490142D3">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31F2737D"/>
    <w:multiLevelType w:val="singleLevel"/>
    <w:tmpl w:val="31F2737D"/>
    <w:lvl w:ilvl="0" w:tentative="0">
      <w:start w:val="2"/>
      <w:numFmt w:val="decimal"/>
      <w:lvlText w:val="%1."/>
      <w:lvlJc w:val="left"/>
      <w:pPr>
        <w:tabs>
          <w:tab w:val="left" w:pos="312"/>
        </w:tabs>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8FE3D62"/>
    <w:rsid w:val="1D97DEFF"/>
    <w:rsid w:val="1DFF72E5"/>
    <w:rsid w:val="1EFC6F07"/>
    <w:rsid w:val="1F0527A6"/>
    <w:rsid w:val="22AC03C2"/>
    <w:rsid w:val="283B15FE"/>
    <w:rsid w:val="2FDF85B8"/>
    <w:rsid w:val="2FFFEE04"/>
    <w:rsid w:val="31C95635"/>
    <w:rsid w:val="34DF85B0"/>
    <w:rsid w:val="3B8F36BC"/>
    <w:rsid w:val="43EB5BA5"/>
    <w:rsid w:val="46132CF8"/>
    <w:rsid w:val="491FF225"/>
    <w:rsid w:val="4EC310A1"/>
    <w:rsid w:val="4FFD214C"/>
    <w:rsid w:val="5352765A"/>
    <w:rsid w:val="56C169E5"/>
    <w:rsid w:val="5777D4F5"/>
    <w:rsid w:val="57F22B6F"/>
    <w:rsid w:val="59DD8326"/>
    <w:rsid w:val="5C5D52B1"/>
    <w:rsid w:val="5DEF592A"/>
    <w:rsid w:val="5FC6BB1E"/>
    <w:rsid w:val="5FF720F1"/>
    <w:rsid w:val="622964C1"/>
    <w:rsid w:val="67FF5C0B"/>
    <w:rsid w:val="6BAA4A2F"/>
    <w:rsid w:val="6C382D72"/>
    <w:rsid w:val="6DCB7F0A"/>
    <w:rsid w:val="6DDEC5C0"/>
    <w:rsid w:val="6EFC0924"/>
    <w:rsid w:val="6FB74722"/>
    <w:rsid w:val="6FEF8B7E"/>
    <w:rsid w:val="717FE77F"/>
    <w:rsid w:val="71A6591B"/>
    <w:rsid w:val="737D59BA"/>
    <w:rsid w:val="737F32B1"/>
    <w:rsid w:val="73BD3FCA"/>
    <w:rsid w:val="776BDA01"/>
    <w:rsid w:val="77C37683"/>
    <w:rsid w:val="79FF515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toa heading"/>
    <w:basedOn w:val="1"/>
    <w:next w:val="1"/>
    <w:unhideWhenUsed/>
    <w:qFormat/>
    <w:uiPriority w:val="99"/>
    <w:pPr>
      <w:spacing w:before="120" w:after="200" w:line="276" w:lineRule="auto"/>
    </w:pPr>
    <w:rPr>
      <w:rFonts w:hint="default"/>
      <w:sz w:val="24"/>
      <w:szCs w:val="24"/>
    </w:rPr>
  </w:style>
  <w:style w:type="paragraph" w:styleId="6">
    <w:name w:val="Body Text"/>
    <w:basedOn w:val="1"/>
    <w:next w:val="7"/>
    <w:semiHidden/>
    <w:qFormat/>
    <w:uiPriority w:val="0"/>
    <w:rPr>
      <w:rFonts w:ascii="仿宋" w:hAnsi="仿宋" w:eastAsia="仿宋" w:cs="仿宋"/>
      <w:sz w:val="31"/>
      <w:szCs w:val="31"/>
      <w:lang w:val="en-US" w:eastAsia="en-US" w:bidi="ar-SA"/>
    </w:rPr>
  </w:style>
  <w:style w:type="paragraph" w:styleId="7">
    <w:name w:val="toc 5"/>
    <w:basedOn w:val="1"/>
    <w:next w:val="1"/>
    <w:qFormat/>
    <w:uiPriority w:val="0"/>
    <w:pPr>
      <w:ind w:left="1680" w:leftChars="800"/>
    </w:pPr>
  </w:style>
  <w:style w:type="paragraph" w:styleId="8">
    <w:name w:val="Balloon Text"/>
    <w:basedOn w:val="1"/>
    <w:link w:val="17"/>
    <w:semiHidden/>
    <w:unhideWhenUsed/>
    <w:qFormat/>
    <w:uiPriority w:val="99"/>
    <w:rPr>
      <w:sz w:val="18"/>
      <w:szCs w:val="18"/>
    </w:rPr>
  </w:style>
  <w:style w:type="paragraph" w:styleId="9">
    <w:name w:val="footer"/>
    <w:basedOn w:val="1"/>
    <w:link w:val="14"/>
    <w:unhideWhenUsed/>
    <w:qFormat/>
    <w:uiPriority w:val="99"/>
    <w:pPr>
      <w:tabs>
        <w:tab w:val="center" w:pos="4153"/>
        <w:tab w:val="right" w:pos="8306"/>
      </w:tabs>
      <w:snapToGrid w:val="0"/>
      <w:jc w:val="left"/>
    </w:pPr>
    <w:rPr>
      <w:sz w:val="18"/>
      <w:szCs w:val="18"/>
    </w:r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2"/>
    <w:link w:val="10"/>
    <w:qFormat/>
    <w:uiPriority w:val="99"/>
    <w:rPr>
      <w:sz w:val="18"/>
      <w:szCs w:val="18"/>
    </w:rPr>
  </w:style>
  <w:style w:type="character" w:customStyle="1" w:styleId="14">
    <w:name w:val="页脚 Char"/>
    <w:basedOn w:val="12"/>
    <w:link w:val="9"/>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8"/>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5542</Words>
  <Characters>5947</Characters>
  <Lines>63</Lines>
  <Paragraphs>18</Paragraphs>
  <TotalTime>0</TotalTime>
  <ScaleCrop>false</ScaleCrop>
  <LinksUpToDate>false</LinksUpToDate>
  <CharactersWithSpaces>5965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翠大宝</cp:lastModifiedBy>
  <cp:lastPrinted>2024-08-11T02:20:00Z</cp:lastPrinted>
  <dcterms:modified xsi:type="dcterms:W3CDTF">2025-09-23T03:30:41Z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8828C68FCE5E46419E770E6E395476CE_13</vt:lpwstr>
  </property>
  <property fmtid="{D5CDD505-2E9C-101B-9397-08002B2CF9AE}" pid="4" name="KSOTemplateDocerSaveRecord">
    <vt:lpwstr>eyJoZGlkIjoiZjUzMjg5MWNkMDM4Yzc2MTE0ZjNkOWVmNzg0YWM2ODciLCJ1c2VySWQiOiIyNTI2OTUxNjkifQ==</vt:lpwstr>
  </property>
</Properties>
</file>