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center"/>
        <w:rPr>
          <w:sz w:val="56"/>
          <w:szCs w:val="56"/>
        </w:rPr>
      </w:pPr>
    </w:p>
    <w:p>
      <w:pPr>
        <w:pStyle w:val="18"/>
        <w:jc w:val="center"/>
        <w:rPr>
          <w:sz w:val="56"/>
          <w:szCs w:val="56"/>
        </w:rPr>
      </w:pPr>
    </w:p>
    <w:p>
      <w:pPr>
        <w:pStyle w:val="18"/>
        <w:jc w:val="center"/>
        <w:rPr>
          <w:sz w:val="84"/>
          <w:szCs w:val="84"/>
        </w:rPr>
      </w:pPr>
    </w:p>
    <w:p>
      <w:pPr>
        <w:pStyle w:val="18"/>
        <w:jc w:val="center"/>
        <w:rPr>
          <w:sz w:val="84"/>
          <w:szCs w:val="84"/>
        </w:rPr>
      </w:pPr>
    </w:p>
    <w:p>
      <w:pPr>
        <w:pStyle w:val="18"/>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8"/>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市直林业</w:t>
      </w:r>
      <w:r>
        <w:rPr>
          <w:rFonts w:hint="eastAsia" w:ascii="方正小标宋_GBK" w:hAnsi="方正小标宋_GBK" w:eastAsia="方正小标宋_GBK" w:cs="方正小标宋_GBK"/>
          <w:sz w:val="84"/>
          <w:szCs w:val="84"/>
        </w:rPr>
        <w:t>部门决算</w:t>
      </w:r>
    </w:p>
    <w:p>
      <w:pPr>
        <w:pStyle w:val="18"/>
        <w:jc w:val="center"/>
        <w:rPr>
          <w:rFonts w:hint="eastAsia" w:ascii="方正小标宋_GBK" w:hAnsi="方正小标宋_GBK" w:eastAsia="方正小标宋_GBK" w:cs="方正小标宋_GBK"/>
          <w:sz w:val="56"/>
          <w:szCs w:val="56"/>
        </w:rPr>
      </w:pP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32"/>
          <w:szCs w:val="32"/>
        </w:rPr>
      </w:pPr>
    </w:p>
    <w:p>
      <w:pPr>
        <w:pStyle w:val="18"/>
        <w:jc w:val="center"/>
        <w:rPr>
          <w:sz w:val="32"/>
          <w:szCs w:val="32"/>
        </w:rPr>
      </w:pPr>
    </w:p>
    <w:p>
      <w:pPr>
        <w:pStyle w:val="18"/>
        <w:jc w:val="center"/>
        <w:rPr>
          <w:sz w:val="32"/>
          <w:szCs w:val="32"/>
        </w:rPr>
      </w:pPr>
    </w:p>
    <w:p>
      <w:pPr>
        <w:pStyle w:val="18"/>
        <w:jc w:val="center"/>
        <w:rPr>
          <w:sz w:val="32"/>
          <w:szCs w:val="32"/>
        </w:rPr>
      </w:pPr>
    </w:p>
    <w:p>
      <w:pPr>
        <w:pStyle w:val="18"/>
        <w:jc w:val="center"/>
        <w:rPr>
          <w:sz w:val="32"/>
          <w:szCs w:val="32"/>
        </w:rPr>
      </w:pPr>
    </w:p>
    <w:p>
      <w:pPr>
        <w:pStyle w:val="18"/>
        <w:spacing w:line="540" w:lineRule="exact"/>
        <w:jc w:val="center"/>
        <w:rPr>
          <w:sz w:val="56"/>
          <w:szCs w:val="56"/>
        </w:rPr>
      </w:pPr>
    </w:p>
    <w:p>
      <w:pPr>
        <w:pStyle w:val="18"/>
        <w:spacing w:line="500" w:lineRule="exact"/>
        <w:jc w:val="both"/>
        <w:rPr>
          <w:b/>
          <w:sz w:val="36"/>
          <w:szCs w:val="28"/>
        </w:rPr>
      </w:pPr>
    </w:p>
    <w:p>
      <w:pPr>
        <w:pStyle w:val="18"/>
        <w:spacing w:line="500" w:lineRule="exact"/>
        <w:jc w:val="center"/>
        <w:rPr>
          <w:b/>
          <w:sz w:val="36"/>
          <w:szCs w:val="28"/>
        </w:rPr>
      </w:pPr>
      <w:r>
        <w:rPr>
          <w:rFonts w:hint="eastAsia"/>
          <w:b/>
          <w:sz w:val="36"/>
          <w:szCs w:val="28"/>
        </w:rPr>
        <w:t>目录</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市直林业</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8"/>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8"/>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8"/>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8"/>
        <w:jc w:val="center"/>
        <w:rPr>
          <w:rFonts w:hint="eastAsia" w:ascii="方正小标宋_GBK" w:hAnsi="方正小标宋_GBK" w:eastAsia="方正小标宋_GBK" w:cs="方正小标宋_GBK"/>
          <w:sz w:val="84"/>
          <w:szCs w:val="84"/>
        </w:rPr>
      </w:pPr>
    </w:p>
    <w:p>
      <w:pPr>
        <w:pStyle w:val="18"/>
        <w:jc w:val="center"/>
        <w:rPr>
          <w:rFonts w:hint="eastAsia" w:ascii="方正小标宋_GBK" w:hAnsi="方正小标宋_GBK" w:eastAsia="方正小标宋_GBK" w:cs="方正小标宋_GBK"/>
          <w:sz w:val="84"/>
          <w:szCs w:val="84"/>
        </w:rPr>
      </w:pPr>
    </w:p>
    <w:p>
      <w:pPr>
        <w:pStyle w:val="18"/>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8"/>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市直林业部门</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9"/>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(一）负责林业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及</w:t>
      </w:r>
      <w:r>
        <w:rPr>
          <w:rFonts w:hint="eastAsia" w:ascii="仿宋_GB2312" w:hAnsi="仿宋_GB2312" w:eastAsia="仿宋_GB2312" w:cs="仿宋_GB2312"/>
          <w:sz w:val="32"/>
          <w:szCs w:val="32"/>
        </w:rPr>
        <w:t>其</w:t>
      </w:r>
      <w:r>
        <w:rPr>
          <w:rFonts w:hint="eastAsia" w:ascii="仿宋_GB2312" w:hAnsi="仿宋_GB2312" w:eastAsia="仿宋_GB2312" w:cs="仿宋_GB2312"/>
          <w:color w:val="030303"/>
          <w:sz w:val="32"/>
          <w:szCs w:val="32"/>
        </w:rPr>
        <w:t>生态保护修复的监督管理。拟订</w:t>
      </w:r>
      <w:r>
        <w:rPr>
          <w:rFonts w:hint="eastAsia" w:ascii="仿宋_GB2312" w:hAnsi="仿宋_GB2312" w:eastAsia="仿宋_GB2312" w:cs="仿宋_GB2312"/>
          <w:sz w:val="32"/>
          <w:szCs w:val="32"/>
        </w:rPr>
        <w:t>市级</w:t>
      </w:r>
      <w:r>
        <w:rPr>
          <w:rFonts w:hint="eastAsia" w:ascii="仿宋_GB2312" w:hAnsi="仿宋_GB2312" w:eastAsia="仿宋_GB2312" w:cs="仿宋_GB2312"/>
          <w:color w:val="030303"/>
          <w:sz w:val="32"/>
          <w:szCs w:val="32"/>
        </w:rPr>
        <w:t>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及</w:t>
      </w:r>
      <w:r>
        <w:rPr>
          <w:rFonts w:hint="eastAsia" w:ascii="仿宋_GB2312" w:hAnsi="仿宋_GB2312" w:eastAsia="仿宋_GB2312" w:cs="仿宋_GB2312"/>
          <w:sz w:val="32"/>
          <w:szCs w:val="32"/>
        </w:rPr>
        <w:t>其</w:t>
      </w:r>
      <w:r>
        <w:rPr>
          <w:rFonts w:hint="eastAsia" w:ascii="仿宋_GB2312" w:hAnsi="仿宋_GB2312" w:eastAsia="仿宋_GB2312" w:cs="仿宋_GB2312"/>
          <w:color w:val="030303"/>
          <w:sz w:val="32"/>
          <w:szCs w:val="32"/>
        </w:rPr>
        <w:t>生态保护修复的</w:t>
      </w:r>
      <w:r>
        <w:rPr>
          <w:rFonts w:hint="eastAsia" w:ascii="仿宋_GB2312" w:hAnsi="仿宋_GB2312" w:eastAsia="仿宋_GB2312" w:cs="仿宋_GB2312"/>
          <w:sz w:val="32"/>
          <w:szCs w:val="32"/>
        </w:rPr>
        <w:t>政策、</w:t>
      </w:r>
      <w:r>
        <w:rPr>
          <w:rFonts w:hint="eastAsia" w:ascii="仿宋_GB2312" w:hAnsi="仿宋_GB2312" w:eastAsia="仿宋_GB2312" w:cs="仿宋_GB2312"/>
          <w:color w:val="030303"/>
          <w:sz w:val="32"/>
          <w:szCs w:val="32"/>
        </w:rPr>
        <w:t>规划并组织实施，按规定起草相关地方性法规、规章草案、规范性文件。组织开展森林</w:t>
      </w:r>
      <w:r>
        <w:rPr>
          <w:rFonts w:hint="eastAsia" w:ascii="仿宋_GB2312" w:hAnsi="仿宋_GB2312" w:eastAsia="仿宋_GB2312" w:cs="仿宋_GB2312"/>
          <w:sz w:val="32"/>
          <w:szCs w:val="32"/>
        </w:rPr>
        <w:t>、草原</w:t>
      </w:r>
      <w:r>
        <w:rPr>
          <w:rFonts w:hint="eastAsia" w:ascii="仿宋_GB2312" w:hAnsi="仿宋_GB2312" w:eastAsia="仿宋_GB2312" w:cs="仿宋_GB2312"/>
          <w:color w:val="030303"/>
          <w:sz w:val="32"/>
          <w:szCs w:val="32"/>
        </w:rPr>
        <w:t>、湿地、荒漠和陆生野生动植物资源动态监测与评价。</w:t>
      </w:r>
    </w:p>
    <w:p>
      <w:pPr>
        <w:widowControl/>
        <w:spacing w:line="600" w:lineRule="exact"/>
        <w:ind w:firstLine="640" w:firstLineChars="200"/>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（二）组织指导林业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生态保护修复和造林绿化工作。组织指导实施林业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生态保护修复工程，指导公益林和商品林的培育，指导监督全民义</w:t>
      </w:r>
      <w:r>
        <w:rPr>
          <w:rFonts w:hint="eastAsia" w:ascii="仿宋_GB2312" w:hAnsi="仿宋_GB2312" w:eastAsia="仿宋_GB2312" w:cs="仿宋_GB2312"/>
          <w:sz w:val="32"/>
          <w:szCs w:val="32"/>
        </w:rPr>
        <w:t>务植树、石漠化治理、防沙治沙及城乡绿化工作，组织指导林木种苗、林木花卉工作。指导林业和草原有害生物防治、检疫工作。</w:t>
      </w:r>
      <w:r>
        <w:rPr>
          <w:rFonts w:hint="eastAsia" w:ascii="仿宋_GB2312" w:hAnsi="仿宋_GB2312" w:eastAsia="仿宋_GB2312" w:cs="仿宋_GB2312"/>
          <w:color w:val="030303"/>
          <w:sz w:val="32"/>
          <w:szCs w:val="32"/>
        </w:rPr>
        <w:t>承担林业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应对气候变化的相关工作。承担市绿化委员会的具体工作。</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（三）负责森林</w:t>
      </w:r>
      <w:r>
        <w:rPr>
          <w:rFonts w:hint="eastAsia" w:ascii="仿宋_GB2312" w:hAnsi="仿宋_GB2312" w:eastAsia="仿宋_GB2312" w:cs="仿宋_GB2312"/>
          <w:sz w:val="32"/>
          <w:szCs w:val="32"/>
        </w:rPr>
        <w:t>、草原</w:t>
      </w:r>
      <w:r>
        <w:rPr>
          <w:rFonts w:hint="eastAsia" w:ascii="仿宋_GB2312" w:hAnsi="仿宋_GB2312" w:eastAsia="仿宋_GB2312" w:cs="仿宋_GB2312"/>
          <w:color w:val="030303"/>
          <w:sz w:val="32"/>
          <w:szCs w:val="32"/>
        </w:rPr>
        <w:t>、湿地资源的监督管理。组织编制并监督执行全市森林采伐限额。负责林地管理，拟订林地保护利用规划并组织实施，指导公益林划定和管理工作</w:t>
      </w:r>
      <w:r>
        <w:rPr>
          <w:rFonts w:hint="eastAsia" w:ascii="仿宋_GB2312" w:hAnsi="仿宋_GB2312" w:eastAsia="仿宋_GB2312" w:cs="仿宋_GB2312"/>
          <w:sz w:val="32"/>
          <w:szCs w:val="32"/>
        </w:rPr>
        <w:t>，开展退耕（牧）还林还草，负责天然林保护工作，管理国有</w:t>
      </w:r>
      <w:r>
        <w:rPr>
          <w:rFonts w:hint="eastAsia" w:ascii="仿宋_GB2312" w:hAnsi="仿宋_GB2312" w:eastAsia="仿宋_GB2312" w:cs="仿宋_GB2312"/>
          <w:color w:val="030303"/>
          <w:sz w:val="32"/>
          <w:szCs w:val="32"/>
        </w:rPr>
        <w:t>森林资源。</w:t>
      </w:r>
      <w:r>
        <w:rPr>
          <w:rFonts w:hint="eastAsia" w:ascii="仿宋_GB2312" w:hAnsi="仿宋_GB2312" w:eastAsia="仿宋_GB2312" w:cs="仿宋_GB2312"/>
          <w:sz w:val="32"/>
          <w:szCs w:val="32"/>
        </w:rPr>
        <w:t>负责草原禁牧、草畜平衡和草原生态修复治理工作，监督管理草原的开发利用。组织指导古</w:t>
      </w:r>
      <w:r>
        <w:rPr>
          <w:rFonts w:hint="eastAsia" w:ascii="仿宋_GB2312" w:hAnsi="仿宋_GB2312" w:eastAsia="仿宋_GB2312" w:cs="仿宋_GB2312"/>
          <w:color w:val="030303"/>
          <w:sz w:val="32"/>
          <w:szCs w:val="32"/>
        </w:rPr>
        <w:t>树名木保护工作，负责湿地生态保护修复工作，</w:t>
      </w:r>
      <w:r>
        <w:rPr>
          <w:rFonts w:hint="eastAsia" w:ascii="仿宋_GB2312" w:hAnsi="仿宋_GB2312" w:eastAsia="仿宋_GB2312" w:cs="仿宋_GB2312"/>
          <w:sz w:val="32"/>
          <w:szCs w:val="32"/>
        </w:rPr>
        <w:t>根据湿地保护规划和相关标准，</w:t>
      </w:r>
      <w:r>
        <w:rPr>
          <w:rFonts w:hint="eastAsia" w:ascii="仿宋_GB2312" w:hAnsi="仿宋_GB2312" w:eastAsia="仿宋_GB2312" w:cs="仿宋_GB2312"/>
          <w:color w:val="030303"/>
          <w:sz w:val="32"/>
          <w:szCs w:val="32"/>
        </w:rPr>
        <w:t>监督管理湿地的开发利用。</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（四）负责陆生野生动植物资源监督管理。组织开展陆生野生动植物资源调查，指导陆生野生动植物的救护繁育、栖息地恢复发展、疫源疫病监测，监督管理陆生野生动</w:t>
      </w:r>
      <w:r>
        <w:rPr>
          <w:rFonts w:hint="eastAsia" w:ascii="仿宋_GB2312" w:hAnsi="仿宋_GB2312" w:eastAsia="仿宋_GB2312" w:cs="仿宋_GB2312"/>
          <w:sz w:val="32"/>
          <w:szCs w:val="32"/>
        </w:rPr>
        <w:t>植</w:t>
      </w:r>
      <w:r>
        <w:rPr>
          <w:rFonts w:hint="eastAsia" w:ascii="仿宋_GB2312" w:hAnsi="仿宋_GB2312" w:eastAsia="仿宋_GB2312" w:cs="仿宋_GB2312"/>
          <w:color w:val="030303"/>
          <w:sz w:val="32"/>
          <w:szCs w:val="32"/>
        </w:rPr>
        <w:t>物猎捕或采集、驯养繁殖或培植、经营利用，按分工监督管理野生动植物进出口。负责林业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有害生物监测、防治工作。</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（五）负责监督管理各类自然保护地。拟订各类自然保护地规划，提出新建、调整各类自然保护地的审核建议并按程序报批。</w:t>
      </w:r>
      <w:r>
        <w:rPr>
          <w:rFonts w:hint="eastAsia" w:ascii="仿宋_GB2312" w:hAnsi="仿宋_GB2312" w:eastAsia="仿宋_GB2312" w:cs="仿宋_GB2312"/>
          <w:sz w:val="32"/>
          <w:szCs w:val="32"/>
        </w:rPr>
        <w:t>组织审核世界自然遗产的申报，会同有关部门审核自然与文化双重遗产的申报。</w:t>
      </w:r>
      <w:r>
        <w:rPr>
          <w:rFonts w:hint="eastAsia" w:ascii="仿宋_GB2312" w:hAnsi="仿宋_GB2312" w:eastAsia="仿宋_GB2312" w:cs="仿宋_GB2312"/>
          <w:color w:val="030303"/>
          <w:sz w:val="32"/>
          <w:szCs w:val="32"/>
        </w:rPr>
        <w:t>负责生物多样性保护相关工作。指导监督自然保护区、风景名胜区、森林公园、湿地公园、地质公园的规划、设计、建设、保护管理和开发利用。</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30303"/>
          <w:sz w:val="32"/>
          <w:szCs w:val="32"/>
        </w:rPr>
        <w:t>（六）负责推进林业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改革、行政执法相关工作。监督实施“林长制”、集体林权制度、国有林场、国有苗圃、草原等重大改革政策实施。指导国有林场基本建设和发展。落实农村林业发展、维护林业经营者合法权益的政策措施，指导农村林地承包经营工作。依法查处林业行政违法案件。加强行政执法监督检查和指导，规范行政执法行为。负责林业</w:t>
      </w:r>
      <w:r>
        <w:rPr>
          <w:rFonts w:hint="eastAsia" w:ascii="仿宋_GB2312" w:hAnsi="仿宋_GB2312" w:eastAsia="仿宋_GB2312" w:cs="仿宋_GB2312"/>
          <w:sz w:val="32"/>
          <w:szCs w:val="32"/>
        </w:rPr>
        <w:t>和草原政务工作。</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30303"/>
          <w:sz w:val="32"/>
          <w:szCs w:val="32"/>
        </w:rPr>
        <w:t>（七）指导开展林业产业工作。拟订林业产业发展规划、布局，组织</w:t>
      </w:r>
      <w:r>
        <w:rPr>
          <w:rFonts w:hint="eastAsia" w:ascii="仿宋_GB2312" w:hAnsi="仿宋_GB2312" w:eastAsia="仿宋_GB2312" w:cs="仿宋_GB2312"/>
          <w:sz w:val="32"/>
          <w:szCs w:val="32"/>
        </w:rPr>
        <w:t>林业产业项目申报，指导林产品质量监督，开展林业产业统计。指导林业助力乡村振兴工作。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30303"/>
          <w:sz w:val="32"/>
          <w:szCs w:val="32"/>
        </w:rPr>
        <w:t>（八）</w:t>
      </w:r>
      <w:r>
        <w:rPr>
          <w:rFonts w:hint="eastAsia" w:ascii="仿宋_GB2312" w:hAnsi="仿宋_GB2312" w:eastAsia="仿宋_GB2312" w:cs="仿宋_GB2312"/>
          <w:sz w:val="32"/>
          <w:szCs w:val="32"/>
        </w:rPr>
        <w:t>组织林木种子、草种种质资源普查，组织建立种质资源库，负责良种选育推广，管理林木种苗、草种生产经营行为，监管林木种苗、草种质量。监督管理林业和草原生物种质资源、转基因生物安全、植物新品种保护。</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30303"/>
          <w:sz w:val="32"/>
          <w:szCs w:val="32"/>
        </w:rPr>
        <w:t>（九）负责林业和草原防灾减灾工作。组织</w:t>
      </w:r>
      <w:r>
        <w:rPr>
          <w:rFonts w:hint="eastAsia" w:ascii="仿宋_GB2312" w:hAnsi="仿宋_GB2312" w:eastAsia="仿宋_GB2312" w:cs="仿宋_GB2312"/>
          <w:sz w:val="32"/>
          <w:szCs w:val="32"/>
        </w:rPr>
        <w:t>编制</w:t>
      </w:r>
      <w:r>
        <w:rPr>
          <w:rFonts w:hint="eastAsia" w:ascii="仿宋_GB2312" w:hAnsi="仿宋_GB2312" w:eastAsia="仿宋_GB2312" w:cs="仿宋_GB2312"/>
          <w:color w:val="030303"/>
          <w:sz w:val="32"/>
          <w:szCs w:val="32"/>
        </w:rPr>
        <w:t>指导实施森林</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火灾防治规划</w:t>
      </w:r>
      <w:r>
        <w:rPr>
          <w:rFonts w:hint="eastAsia" w:ascii="仿宋_GB2312" w:hAnsi="仿宋_GB2312" w:eastAsia="仿宋_GB2312" w:cs="仿宋_GB2312"/>
          <w:sz w:val="32"/>
          <w:szCs w:val="32"/>
        </w:rPr>
        <w:t>和防护标准，指导监督</w:t>
      </w:r>
      <w:r>
        <w:rPr>
          <w:rFonts w:hint="eastAsia" w:ascii="仿宋_GB2312" w:hAnsi="仿宋_GB2312" w:eastAsia="仿宋_GB2312" w:cs="仿宋_GB2312"/>
          <w:color w:val="030303"/>
          <w:sz w:val="32"/>
          <w:szCs w:val="32"/>
        </w:rPr>
        <w:t>开展防火巡护、火源管理、防火设施建设、火情早期处理等工作。组织指导国有林场林区和草原开展宣传教育、监测预警、督促检查等防灾减灾工作。指导监督林业和草原行业安全生产工作。</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（十）监督管理林业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资金使用和国有资产处置，提出林业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预算内投资、财政性资金安排建议，按规定权限，审核规划内和年度计划投资项目，指导监督林业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项目实施工作。</w:t>
      </w:r>
    </w:p>
    <w:p>
      <w:pPr>
        <w:pStyle w:val="12"/>
        <w:spacing w:before="0" w:beforeAutospacing="0" w:after="0" w:afterAutospacing="0" w:line="600" w:lineRule="exact"/>
        <w:ind w:firstLine="640" w:firstLineChars="200"/>
        <w:jc w:val="both"/>
        <w:rPr>
          <w:rFonts w:hint="eastAsia" w:ascii="仿宋_GB2312" w:hAnsi="仿宋_GB2312" w:eastAsia="仿宋_GB2312" w:cs="仿宋_GB2312"/>
          <w:color w:val="030303"/>
          <w:sz w:val="32"/>
          <w:szCs w:val="32"/>
        </w:rPr>
      </w:pPr>
      <w:r>
        <w:rPr>
          <w:rFonts w:hint="eastAsia" w:ascii="仿宋_GB2312" w:hAnsi="仿宋_GB2312" w:eastAsia="仿宋_GB2312" w:cs="仿宋_GB2312"/>
          <w:color w:val="030303"/>
          <w:sz w:val="32"/>
          <w:szCs w:val="32"/>
        </w:rPr>
        <w:t>（十一）负责林业</w:t>
      </w:r>
      <w:r>
        <w:rPr>
          <w:rFonts w:hint="eastAsia" w:ascii="仿宋_GB2312" w:hAnsi="仿宋_GB2312" w:eastAsia="仿宋_GB2312" w:cs="仿宋_GB2312"/>
          <w:sz w:val="32"/>
          <w:szCs w:val="32"/>
        </w:rPr>
        <w:t>和草原</w:t>
      </w:r>
      <w:r>
        <w:rPr>
          <w:rFonts w:hint="eastAsia" w:ascii="仿宋_GB2312" w:hAnsi="仿宋_GB2312" w:eastAsia="仿宋_GB2312" w:cs="仿宋_GB2312"/>
          <w:color w:val="030303"/>
          <w:sz w:val="32"/>
          <w:szCs w:val="32"/>
        </w:rPr>
        <w:t>科技、教育</w:t>
      </w:r>
      <w:r>
        <w:rPr>
          <w:rFonts w:hint="eastAsia" w:ascii="仿宋_GB2312" w:hAnsi="仿宋_GB2312" w:eastAsia="仿宋_GB2312" w:cs="仿宋_GB2312"/>
          <w:sz w:val="32"/>
          <w:szCs w:val="32"/>
        </w:rPr>
        <w:t>和外事</w:t>
      </w:r>
      <w:r>
        <w:rPr>
          <w:rFonts w:hint="eastAsia" w:ascii="仿宋_GB2312" w:hAnsi="仿宋_GB2312" w:eastAsia="仿宋_GB2312" w:cs="仿宋_GB2312"/>
          <w:color w:val="030303"/>
          <w:sz w:val="32"/>
          <w:szCs w:val="32"/>
        </w:rPr>
        <w:t>工作，指导全市林业人才队伍建设，组织指导林业</w:t>
      </w:r>
      <w:r>
        <w:rPr>
          <w:rFonts w:hint="eastAsia" w:ascii="仿宋_GB2312" w:hAnsi="仿宋_GB2312" w:eastAsia="仿宋_GB2312" w:cs="仿宋_GB2312"/>
          <w:sz w:val="32"/>
          <w:szCs w:val="32"/>
        </w:rPr>
        <w:t>和草原对外</w:t>
      </w:r>
      <w:r>
        <w:rPr>
          <w:rFonts w:hint="eastAsia" w:ascii="仿宋_GB2312" w:hAnsi="仿宋_GB2312" w:eastAsia="仿宋_GB2312" w:cs="仿宋_GB2312"/>
          <w:color w:val="030303"/>
          <w:sz w:val="32"/>
          <w:szCs w:val="32"/>
        </w:rPr>
        <w:t>交流与合作事务。承担湿地、防治荒漠化、濒危野生动植物、生物多样性等国际公约履约工作。</w:t>
      </w:r>
    </w:p>
    <w:p>
      <w:pPr>
        <w:pStyle w:val="12"/>
        <w:spacing w:before="0" w:beforeAutospacing="0" w:after="0" w:afterAutospacing="0" w:line="600" w:lineRule="exact"/>
        <w:ind w:firstLine="640" w:firstLineChars="200"/>
        <w:jc w:val="both"/>
        <w:rPr>
          <w:rFonts w:hint="eastAsia" w:ascii="黑体" w:hAnsi="黑体" w:eastAsia="黑体" w:cs="黑体"/>
          <w:sz w:val="32"/>
          <w:szCs w:val="32"/>
        </w:rPr>
      </w:pPr>
      <w:r>
        <w:rPr>
          <w:rFonts w:hint="eastAsia" w:ascii="仿宋_GB2312" w:hAnsi="仿宋_GB2312" w:eastAsia="仿宋_GB2312" w:cs="仿宋_GB2312"/>
          <w:color w:val="030303"/>
          <w:sz w:val="32"/>
          <w:szCs w:val="32"/>
        </w:rPr>
        <w:t>（十二）完成市委</w:t>
      </w:r>
      <w:r>
        <w:rPr>
          <w:rFonts w:hint="eastAsia" w:ascii="仿宋_GB2312" w:hAnsi="仿宋_GB2312" w:eastAsia="仿宋_GB2312" w:cs="仿宋_GB2312"/>
          <w:color w:val="030303"/>
          <w:sz w:val="32"/>
          <w:szCs w:val="32"/>
          <w:lang w:eastAsia="zh-CN"/>
        </w:rPr>
        <w:t>、</w:t>
      </w:r>
      <w:r>
        <w:rPr>
          <w:rFonts w:hint="eastAsia" w:ascii="仿宋_GB2312" w:hAnsi="仿宋_GB2312" w:eastAsia="仿宋_GB2312" w:cs="仿宋_GB2312"/>
          <w:color w:val="030303"/>
          <w:sz w:val="32"/>
          <w:szCs w:val="32"/>
        </w:rPr>
        <w:t>市政府交办的其他任务。</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（一）内设机构设置。岳阳市林业局内设机构包括：</w:t>
      </w:r>
      <w:r>
        <w:rPr>
          <w:rFonts w:hint="eastAsia" w:ascii="仿宋_GB2312" w:hAnsi="仿宋_GB2312" w:eastAsia="仿宋_GB2312" w:cs="仿宋_GB2312"/>
          <w:sz w:val="32"/>
          <w:szCs w:val="32"/>
        </w:rPr>
        <w:t>市林业局内</w:t>
      </w:r>
      <w:r>
        <w:rPr>
          <w:rFonts w:hint="eastAsia" w:ascii="仿宋_GB2312" w:hAnsi="仿宋_GB2312" w:eastAsia="仿宋_GB2312" w:cs="仿宋_GB2312"/>
          <w:kern w:val="0"/>
          <w:sz w:val="32"/>
          <w:szCs w:val="32"/>
        </w:rPr>
        <w:t>设行政科室14个，分别为办公室、造林种苗科（市绿化委员会办公室）、森林资源管理科、野生动植物保护科、自然保护地管理科、政策法规和改革发展科、规划财务科、行政审批科、森林防火科、人事教育科、林长制工作科（行政执法科）、机关党委、机关纪委、离退休人员管理服务科。内设</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个事业单位，分别为市林业事务中心、市森林资源管理监测中心、市湿地保护中心</w:t>
      </w:r>
      <w:r>
        <w:rPr>
          <w:rFonts w:hint="eastAsia" w:ascii="仿宋_GB2312" w:hAnsi="仿宋_GB2312" w:eastAsia="仿宋_GB2312" w:cs="仿宋_GB2312"/>
          <w:kern w:val="0"/>
          <w:sz w:val="32"/>
          <w:szCs w:val="32"/>
          <w:lang w:eastAsia="zh-CN"/>
        </w:rPr>
        <w:t>、市风景名胜区管理中心</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（二）决算单位构成。市直林业部门202</w:t>
      </w:r>
      <w:r>
        <w:rPr>
          <w:rFonts w:hint="eastAsia" w:ascii="仿宋_GB2312" w:hAnsi="仿宋_GB2312" w:eastAsia="仿宋_GB2312" w:cs="仿宋_GB2312"/>
          <w:bCs/>
          <w:kern w:val="0"/>
          <w:sz w:val="32"/>
          <w:szCs w:val="32"/>
          <w:lang w:val="en-US" w:eastAsia="zh-CN"/>
        </w:rPr>
        <w:t>4</w:t>
      </w:r>
      <w:r>
        <w:rPr>
          <w:rFonts w:hint="eastAsia" w:ascii="仿宋_GB2312" w:hAnsi="仿宋_GB2312" w:eastAsia="仿宋_GB2312" w:cs="仿宋_GB2312"/>
          <w:bCs/>
          <w:kern w:val="0"/>
          <w:sz w:val="32"/>
          <w:szCs w:val="32"/>
        </w:rPr>
        <w:t>年部门决算汇总公开单位构成包括：岳阳市林业局本级以及</w:t>
      </w:r>
      <w:r>
        <w:rPr>
          <w:rFonts w:hint="eastAsia" w:ascii="仿宋_GB2312" w:hAnsi="仿宋_GB2312" w:eastAsia="仿宋_GB2312" w:cs="仿宋_GB2312"/>
          <w:color w:val="030303"/>
          <w:sz w:val="32"/>
          <w:szCs w:val="32"/>
        </w:rPr>
        <w:t>湖南东洞庭湖国家级自然保护区管理局、岳阳市林业科学研究所2个直属单位。</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18"/>
        <w:jc w:val="both"/>
        <w:rPr>
          <w:rFonts w:hint="eastAsia" w:ascii="方正小标宋_GBK" w:hAnsi="方正小标宋_GBK" w:eastAsia="方正小标宋_GBK" w:cs="方正小标宋_GBK"/>
          <w:sz w:val="84"/>
          <w:szCs w:val="84"/>
        </w:rPr>
      </w:pPr>
    </w:p>
    <w:p>
      <w:pPr>
        <w:pStyle w:val="18"/>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8"/>
        <w:jc w:val="center"/>
        <w:rPr>
          <w:rFonts w:hint="eastAsia" w:ascii="方正小标宋_GBK" w:hAnsi="方正小标宋_GBK" w:eastAsia="方正小标宋_GBK" w:cs="方正小标宋_GBK"/>
          <w:sz w:val="84"/>
          <w:szCs w:val="84"/>
        </w:rPr>
      </w:pPr>
    </w:p>
    <w:p>
      <w:pPr>
        <w:pStyle w:val="18"/>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8"/>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仿宋_GB2312" w:hAnsi="仿宋_GB2312" w:eastAsia="仿宋_GB2312" w:cs="仿宋_GB2312"/>
          <w:b w:val="0"/>
          <w:bCs w:val="0"/>
          <w:sz w:val="72"/>
          <w:szCs w:val="72"/>
          <w:lang w:eastAsia="zh-CN"/>
        </w:rPr>
      </w:pPr>
    </w:p>
    <w:p>
      <w:pPr>
        <w:pStyle w:val="18"/>
        <w:jc w:val="center"/>
        <w:rPr>
          <w:rFonts w:hint="eastAsia" w:ascii="方正小标宋_GBK" w:hAnsi="方正小标宋_GBK" w:eastAsia="方正小标宋_GBK" w:cs="方正小标宋_GBK"/>
          <w:sz w:val="72"/>
          <w:szCs w:val="72"/>
        </w:rPr>
      </w:pPr>
    </w:p>
    <w:p>
      <w:pPr>
        <w:pStyle w:val="18"/>
        <w:jc w:val="both"/>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8"/>
        <w:jc w:val="center"/>
        <w:rPr>
          <w:rFonts w:hint="eastAsia" w:ascii="方正小标宋_GBK" w:hAnsi="方正小标宋_GBK" w:eastAsia="方正小标宋_GBK" w:cs="方正小标宋_GBK"/>
          <w:sz w:val="70"/>
          <w:szCs w:val="70"/>
        </w:rPr>
      </w:pPr>
    </w:p>
    <w:p>
      <w:pPr>
        <w:pStyle w:val="18"/>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8"/>
        <w:jc w:val="center"/>
        <w:rPr>
          <w:rFonts w:hint="eastAsia" w:ascii="方正小标宋_GBK" w:hAnsi="方正小标宋_GBK" w:eastAsia="方正小标宋_GBK" w:cs="方正小标宋_GBK"/>
          <w:sz w:val="70"/>
          <w:szCs w:val="70"/>
        </w:rPr>
      </w:pPr>
    </w:p>
    <w:p>
      <w:pPr>
        <w:pStyle w:val="18"/>
        <w:jc w:val="both"/>
        <w:rPr>
          <w:rFonts w:hint="eastAsia" w:ascii="方正小标宋_GBK" w:hAnsi="方正小标宋_GBK" w:eastAsia="方正小标宋_GBK" w:cs="方正小标宋_GBK"/>
          <w:sz w:val="70"/>
          <w:szCs w:val="70"/>
        </w:rPr>
      </w:pPr>
    </w:p>
    <w:p>
      <w:pPr>
        <w:pStyle w:val="18"/>
        <w:jc w:val="both"/>
        <w:rPr>
          <w:rFonts w:hint="eastAsia" w:ascii="方正小标宋_GBK" w:hAnsi="方正小标宋_GBK" w:eastAsia="方正小标宋_GBK" w:cs="方正小标宋_GBK"/>
          <w:sz w:val="70"/>
          <w:szCs w:val="70"/>
        </w:rPr>
      </w:pPr>
    </w:p>
    <w:p>
      <w:pPr>
        <w:pStyle w:val="18"/>
        <w:jc w:val="both"/>
        <w:rPr>
          <w:rFonts w:hint="eastAsia" w:ascii="方正小标宋_GBK" w:hAnsi="方正小标宋_GBK" w:eastAsia="方正小标宋_GBK" w:cs="方正小标宋_GBK"/>
          <w:sz w:val="70"/>
          <w:szCs w:val="70"/>
        </w:rPr>
      </w:pPr>
    </w:p>
    <w:p>
      <w:pPr>
        <w:pStyle w:val="18"/>
        <w:jc w:val="both"/>
        <w:rPr>
          <w:rFonts w:hint="eastAsia" w:ascii="方正小标宋_GBK" w:hAnsi="方正小标宋_GBK" w:eastAsia="方正小标宋_GBK" w:cs="方正小标宋_GBK"/>
          <w:sz w:val="70"/>
          <w:szCs w:val="70"/>
        </w:rPr>
      </w:pPr>
    </w:p>
    <w:p>
      <w:pPr>
        <w:pStyle w:val="18"/>
        <w:jc w:val="both"/>
        <w:rPr>
          <w:rFonts w:hint="eastAsia" w:ascii="方正小标宋_GBK" w:hAnsi="方正小标宋_GBK" w:eastAsia="方正小标宋_GBK" w:cs="方正小标宋_GBK"/>
          <w:sz w:val="70"/>
          <w:szCs w:val="70"/>
        </w:rPr>
      </w:pPr>
    </w:p>
    <w:p>
      <w:pPr>
        <w:pStyle w:val="18"/>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年度收、支总计8818.34万元。与上年相比，增加</w:t>
      </w:r>
      <w:r>
        <w:rPr>
          <w:rFonts w:hint="eastAsia" w:ascii="仿宋_GB2312" w:hAnsi="仿宋_GB2312" w:eastAsia="仿宋_GB2312" w:cs="仿宋_GB2312"/>
          <w:sz w:val="32"/>
          <w:szCs w:val="32"/>
          <w:lang w:val="en-US" w:eastAsia="zh-CN"/>
        </w:rPr>
        <w:t>787.25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本年项目收支增加。</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年度收入合计8678.7万元，其中：财政拨款收入8599.02万元，占</w:t>
      </w:r>
      <w:r>
        <w:rPr>
          <w:rFonts w:hint="eastAsia" w:ascii="仿宋_GB2312" w:hAnsi="仿宋_GB2312" w:eastAsia="仿宋_GB2312" w:cs="仿宋_GB2312"/>
          <w:sz w:val="32"/>
          <w:szCs w:val="32"/>
          <w:lang w:val="en-US" w:eastAsia="zh-CN"/>
        </w:rPr>
        <w:t>99.08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%；其他收入79.68万元，占</w:t>
      </w:r>
      <w:r>
        <w:rPr>
          <w:rFonts w:hint="eastAsia" w:ascii="仿宋_GB2312" w:hAnsi="仿宋_GB2312" w:eastAsia="仿宋_GB2312" w:cs="仿宋_GB2312"/>
          <w:sz w:val="32"/>
          <w:szCs w:val="32"/>
          <w:lang w:val="en-US" w:eastAsia="zh-CN"/>
        </w:rPr>
        <w:t>0.92</w:t>
      </w:r>
      <w:r>
        <w:rPr>
          <w:rFonts w:hint="eastAsia" w:ascii="仿宋_GB2312" w:hAnsi="仿宋_GB2312" w:eastAsia="仿宋_GB2312" w:cs="仿宋_GB2312"/>
          <w:sz w:val="32"/>
          <w:szCs w:val="32"/>
        </w:rPr>
        <w:t>%。</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年度支出合计8769.9万元，其中：基本支出3429.62万元，占</w:t>
      </w:r>
      <w:r>
        <w:rPr>
          <w:rFonts w:hint="eastAsia" w:ascii="仿宋_GB2312" w:hAnsi="仿宋_GB2312" w:eastAsia="仿宋_GB2312" w:cs="仿宋_GB2312"/>
          <w:sz w:val="32"/>
          <w:szCs w:val="32"/>
          <w:lang w:val="en-US" w:eastAsia="zh-CN"/>
        </w:rPr>
        <w:t>39.11</w:t>
      </w:r>
      <w:r>
        <w:rPr>
          <w:rFonts w:hint="eastAsia" w:ascii="仿宋_GB2312" w:hAnsi="仿宋_GB2312" w:eastAsia="仿宋_GB2312" w:cs="仿宋_GB2312"/>
          <w:sz w:val="32"/>
          <w:szCs w:val="32"/>
        </w:rPr>
        <w:t>%；项目支出5340.28万元，占</w:t>
      </w:r>
      <w:r>
        <w:rPr>
          <w:rFonts w:hint="eastAsia" w:ascii="仿宋_GB2312" w:hAnsi="仿宋_GB2312" w:eastAsia="仿宋_GB2312" w:cs="仿宋_GB2312"/>
          <w:sz w:val="32"/>
          <w:szCs w:val="32"/>
          <w:lang w:val="en-US" w:eastAsia="zh-CN"/>
        </w:rPr>
        <w:t>60.89</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年度财政拨款收、支总计8599.02万元，与上年相比，增加</w:t>
      </w:r>
      <w:r>
        <w:rPr>
          <w:rFonts w:hint="eastAsia" w:ascii="仿宋_GB2312" w:hAnsi="仿宋_GB2312" w:eastAsia="仿宋_GB2312" w:cs="仿宋_GB2312"/>
          <w:sz w:val="32"/>
          <w:szCs w:val="32"/>
          <w:lang w:val="en-US" w:eastAsia="zh-CN"/>
        </w:rPr>
        <w:t>1027.84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13.58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本年项目收支增加。</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楷体_GB2312" w:hAnsi="楷体_GB2312" w:eastAsia="楷体_GB2312" w:cs="楷体_GB2312"/>
          <w:b/>
          <w:bCs w:val="0"/>
          <w:sz w:val="32"/>
          <w:szCs w:val="32"/>
        </w:rPr>
      </w:pPr>
      <w:r>
        <w:rPr>
          <w:rFonts w:hint="eastAsia" w:ascii="楷体_GB2312" w:hAnsi="楷体_GB2312" w:eastAsia="楷体_GB2312" w:cs="楷体_GB2312"/>
          <w:b/>
          <w:bCs w:val="0"/>
          <w:sz w:val="32"/>
          <w:szCs w:val="32"/>
        </w:rPr>
        <w:t>（一）一般公共预算财政拨款支出决算总体情况</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年度财政拨款支出8599.02万元，占本年支出合计的</w:t>
      </w:r>
      <w:r>
        <w:rPr>
          <w:rFonts w:hint="eastAsia" w:ascii="仿宋_GB2312" w:hAnsi="仿宋_GB2312" w:eastAsia="仿宋_GB2312" w:cs="仿宋_GB2312"/>
          <w:sz w:val="32"/>
          <w:szCs w:val="32"/>
          <w:lang w:val="en-US" w:eastAsia="zh-CN"/>
        </w:rPr>
        <w:t>98.05</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1027.84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13.58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本年项目支出增加。</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楷体_GB2312" w:hAnsi="楷体_GB2312" w:eastAsia="楷体_GB2312" w:cs="楷体_GB2312"/>
          <w:b/>
          <w:bCs w:val="0"/>
          <w:sz w:val="32"/>
          <w:szCs w:val="32"/>
        </w:rPr>
      </w:pPr>
      <w:r>
        <w:rPr>
          <w:rFonts w:hint="eastAsia" w:ascii="楷体_GB2312" w:hAnsi="楷体_GB2312" w:eastAsia="楷体_GB2312" w:cs="楷体_GB2312"/>
          <w:b/>
          <w:bCs w:val="0"/>
          <w:sz w:val="32"/>
          <w:szCs w:val="32"/>
        </w:rPr>
        <w:t>（二）一般公共预算财政拨款支出决算结构情况</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年度财政拨款支出8599.02万元，主要用于以下方面：社会保障和就业支出288.3万元，占</w:t>
      </w:r>
      <w:r>
        <w:rPr>
          <w:rFonts w:hint="eastAsia" w:ascii="仿宋_GB2312" w:hAnsi="仿宋_GB2312" w:eastAsia="仿宋_GB2312" w:cs="仿宋_GB2312"/>
          <w:sz w:val="32"/>
          <w:szCs w:val="32"/>
          <w:lang w:val="en-US" w:eastAsia="zh-CN"/>
        </w:rPr>
        <w:t>3.35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卫生健康支出119.64</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1.39</w:t>
      </w:r>
      <w:r>
        <w:rPr>
          <w:rFonts w:hint="eastAsia" w:ascii="仿宋_GB2312" w:hAnsi="仿宋_GB2312" w:eastAsia="仿宋_GB2312" w:cs="仿宋_GB2312"/>
          <w:sz w:val="32"/>
          <w:szCs w:val="32"/>
        </w:rPr>
        <w:t>%；节能环保支出1952.55</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22.71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；城乡社区支出483.63万元，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5.62</w:t>
      </w:r>
      <w:r>
        <w:rPr>
          <w:rFonts w:hint="eastAsia" w:ascii="仿宋_GB2312" w:hAnsi="仿宋_GB2312" w:eastAsia="仿宋_GB2312" w:cs="仿宋_GB2312"/>
          <w:sz w:val="32"/>
          <w:szCs w:val="32"/>
        </w:rPr>
        <w:t>%；农林水支出4456.33</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51.82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；资源勘探工业信息等支出0.15万元，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；自然资源海洋气象等支出1070.37万元，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12.45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；住房保障支出177.64万元，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；交通运输支出20万元，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；文化旅游体育与传媒支出20.42万元，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；科学技术支出10万元，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0.12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楷体_GB2312" w:hAnsi="楷体_GB2312" w:eastAsia="楷体_GB2312" w:cs="楷体_GB2312"/>
          <w:b/>
          <w:bCs w:val="0"/>
          <w:sz w:val="32"/>
          <w:szCs w:val="32"/>
        </w:rPr>
      </w:pPr>
      <w:r>
        <w:rPr>
          <w:rFonts w:hint="eastAsia" w:ascii="楷体_GB2312" w:hAnsi="楷体_GB2312" w:eastAsia="楷体_GB2312" w:cs="楷体_GB2312"/>
          <w:b/>
          <w:bCs w:val="0"/>
          <w:sz w:val="32"/>
          <w:szCs w:val="32"/>
        </w:rPr>
        <w:t>（三）一般公共预算财政拨款支出决算具体情况</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3085.71</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8599.02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278.67</w:t>
      </w:r>
      <w:r>
        <w:rPr>
          <w:rFonts w:hint="eastAsia" w:ascii="仿宋_GB2312" w:hAnsi="仿宋_GB2312" w:eastAsia="仿宋_GB2312" w:cs="仿宋_GB2312"/>
          <w:sz w:val="32"/>
          <w:szCs w:val="32"/>
        </w:rPr>
        <w:t>%，其中：</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1、农林水支出（类）林业和草原（款）行政运行（项）。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1432.1</w:t>
      </w:r>
      <w:r>
        <w:rPr>
          <w:rFonts w:hint="eastAsia" w:ascii="仿宋_GB2312" w:hAnsi="仿宋_GB2312" w:eastAsia="仿宋_GB2312" w:cs="仿宋_GB2312"/>
          <w:sz w:val="32"/>
          <w:szCs w:val="32"/>
        </w:rPr>
        <w:t>万元，支出决算1529.51万元，完成年初预算的</w:t>
      </w:r>
      <w:r>
        <w:rPr>
          <w:rFonts w:hint="eastAsia" w:ascii="仿宋_GB2312" w:hAnsi="仿宋_GB2312" w:eastAsia="仿宋_GB2312" w:cs="仿宋_GB2312"/>
          <w:sz w:val="32"/>
          <w:szCs w:val="32"/>
          <w:lang w:val="en-US" w:eastAsia="zh-CN"/>
        </w:rPr>
        <w:t>106.8</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、农林水支出（类）林业和草原（款）一般行政管理事务（项）。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万元，支出决算32.87万元，决算数大于年初预算数的主要原因是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、社会保障和就业支出（类）行政事业单位养老支出（款）机关事业单位基本养老保险缴费支出（项）。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235.73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106.48</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、卫生健康支出（类）行政事业单位医疗（款）公务员医疗补助（项）。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9.05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公务员医疗补助为财政代扣项。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、卫生健康支出（类）行政事业单位医疗（款）事业单位医疗（项）。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80.39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79.95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99.45</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年终有指标结余。</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住房保障支出（类）住房改革支出（款）住房公积金（项）。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173.93</w:t>
      </w:r>
      <w:r>
        <w:rPr>
          <w:rFonts w:hint="eastAsia" w:ascii="仿宋_GB2312" w:hAnsi="仿宋_GB2312" w:eastAsia="仿宋_GB2312" w:cs="仿宋_GB2312"/>
          <w:sz w:val="32"/>
          <w:szCs w:val="32"/>
        </w:rPr>
        <w:t>万元，支出决算为177.64万元，完成年初预算的</w:t>
      </w:r>
      <w:r>
        <w:rPr>
          <w:rFonts w:hint="eastAsia" w:ascii="仿宋_GB2312" w:hAnsi="仿宋_GB2312" w:eastAsia="仿宋_GB2312" w:cs="仿宋_GB2312"/>
          <w:sz w:val="32"/>
          <w:szCs w:val="32"/>
          <w:lang w:val="en-US" w:eastAsia="zh-CN"/>
        </w:rPr>
        <w:t>102.13</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、农林水支出（类）林业和草原（款）事业机构（项）。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1103.54</w:t>
      </w:r>
      <w:r>
        <w:rPr>
          <w:rFonts w:hint="eastAsia" w:ascii="仿宋_GB2312" w:hAnsi="仿宋_GB2312" w:eastAsia="仿宋_GB2312" w:cs="仿宋_GB2312"/>
          <w:sz w:val="32"/>
          <w:szCs w:val="32"/>
        </w:rPr>
        <w:t>万元，支出决算为1096.63万元，完成年初预算的</w:t>
      </w:r>
      <w:r>
        <w:rPr>
          <w:rFonts w:hint="eastAsia" w:ascii="仿宋_GB2312" w:hAnsi="仿宋_GB2312" w:eastAsia="仿宋_GB2312" w:cs="仿宋_GB2312"/>
          <w:sz w:val="32"/>
          <w:szCs w:val="32"/>
          <w:lang w:val="en-US" w:eastAsia="zh-CN"/>
        </w:rPr>
        <w:t>99.37</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：年终有指标结余。</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、农林水支出（类）林业和草原（款）森林资源培育（项）。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、农林水支出（类）林业和草原（款）湿地保护（项）。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705.6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、农林水支出（类）林业和草原（款）林业草原防灾减灾（项）。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80.9</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、农林水支出（类）林业和草原（款）其他林业和草原支出（项）。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698.75</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2、农林水支出（类）其他农林水支出（款）其他农林水支出（项）。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40.38</w:t>
      </w:r>
      <w:r>
        <w:rPr>
          <w:rFonts w:hint="eastAsia" w:ascii="仿宋_GB2312" w:hAnsi="仿宋_GB2312" w:eastAsia="仿宋_GB2312" w:cs="仿宋_GB2312"/>
          <w:sz w:val="32"/>
          <w:szCs w:val="32"/>
        </w:rPr>
        <w:t>万元，支出决算为288.07万元，完成年初预算的</w:t>
      </w:r>
      <w:r>
        <w:rPr>
          <w:rFonts w:hint="eastAsia" w:ascii="仿宋_GB2312" w:hAnsi="仿宋_GB2312" w:eastAsia="仿宋_GB2312" w:cs="仿宋_GB2312"/>
          <w:sz w:val="32"/>
          <w:szCs w:val="32"/>
          <w:lang w:val="en-US" w:eastAsia="zh-CN"/>
        </w:rPr>
        <w:t>713.4</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、社会保障和就业支出（类）其他社会保障和就业支出（款）其他社会保障和就业支出（项）。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108.5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、社会保障和就业支出（类）残疾人事业（款）其他残疾人事业支出（项）。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8.58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8.36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97.44</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年终有指标结余。</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、科学技术支出（类）其他科学技术支出（款）其他科学技术支出（项）。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、文化旅游体育与传媒支出（类）文化和旅游（款）其他文化和旅游支出（项）。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20.42</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、社会保障和就业支出（类）抚恤（款）其他优抚支出（项）。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26.77</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、卫生健康支出（类）行政事业单位医疗（款）行政单位医疗（项）。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39.69</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、节能环保支出（类）自然生态保护（款）生态保护（项）。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19.76</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、节能环保支出（类）自然生态保护（款）其他自然生态保护支出（项）。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万元，支出决算为1865.79万元，决算数大于年初预算数的主要原因是：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、节能环保支出（类）其他节能环保支出（款）其他节能环保支出（项）。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、城乡社区支出（类）城乡社区管理事务（款）一般行政管理事务（项）。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483.63</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、交通运输支出（类）公路水路运输（款）公路养护（项）。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万元，支出决算为20万元，决算数大于年初预算数的主要原因是：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、资源勘探工业信息等支出（类）国有资产监管（款）其他国有资产监管支出（项）。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万元，支出决算为0.15万元，决算数大于年初预算数的主要原因是：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、自然资源海洋气象等支出（类）自然资源事务（款）其他自然资源事务支出（项）。</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万元，支出决算为1070.37万元，决算数大于年初预算数的主要原因是：</w:t>
      </w:r>
      <w:r>
        <w:rPr>
          <w:rFonts w:hint="eastAsia" w:ascii="仿宋_GB2312" w:hAnsi="仿宋_GB2312" w:eastAsia="仿宋_GB2312" w:cs="仿宋_GB2312"/>
          <w:sz w:val="32"/>
          <w:szCs w:val="32"/>
          <w:lang w:eastAsia="zh-CN"/>
        </w:rPr>
        <w:t>年中有指标下达。</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3383.54</w:t>
      </w:r>
      <w:r>
        <w:rPr>
          <w:rFonts w:hint="eastAsia" w:ascii="仿宋_GB2312" w:hAnsi="仿宋_GB2312" w:eastAsia="仿宋_GB2312" w:cs="仿宋_GB2312"/>
          <w:sz w:val="32"/>
          <w:szCs w:val="32"/>
        </w:rPr>
        <w:t>万元，其中：</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3020.05万元，占基本支出的</w:t>
      </w:r>
      <w:r>
        <w:rPr>
          <w:rFonts w:hint="eastAsia" w:ascii="仿宋_GB2312" w:hAnsi="仿宋_GB2312" w:eastAsia="仿宋_GB2312" w:cs="仿宋_GB2312"/>
          <w:sz w:val="32"/>
          <w:szCs w:val="32"/>
          <w:lang w:val="en-US" w:eastAsia="zh-CN"/>
        </w:rPr>
        <w:t>89.26</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、机关事业单位基本养老保险缴费、职业年金缴费、职工基本医疗保险缴费、其他社会保障缴费、住房公积金、医疗费、退休费、抚恤金、生活补助、医疗费补助、奖励金和</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363.49万元，占基本支出的</w:t>
      </w:r>
      <w:r>
        <w:rPr>
          <w:rFonts w:hint="eastAsia" w:ascii="仿宋_GB2312" w:hAnsi="仿宋_GB2312" w:eastAsia="仿宋_GB2312" w:cs="仿宋_GB2312"/>
          <w:sz w:val="32"/>
          <w:szCs w:val="32"/>
          <w:lang w:val="en-US" w:eastAsia="zh-CN"/>
        </w:rPr>
        <w:t>10.74</w:t>
      </w:r>
      <w:r>
        <w:rPr>
          <w:rFonts w:hint="eastAsia" w:ascii="仿宋_GB2312" w:hAnsi="仿宋_GB2312" w:eastAsia="仿宋_GB2312" w:cs="仿宋_GB2312"/>
          <w:sz w:val="32"/>
          <w:szCs w:val="32"/>
        </w:rPr>
        <w:t>%，主要包括办公费、印刷费、水费、电费</w:t>
      </w:r>
      <w:r>
        <w:rPr>
          <w:rFonts w:hint="eastAsia" w:ascii="仿宋_GB2312" w:hAnsi="仿宋_GB2312" w:eastAsia="仿宋_GB2312" w:cs="仿宋_GB2312"/>
          <w:sz w:val="32"/>
          <w:szCs w:val="32"/>
          <w:lang w:eastAsia="zh-CN"/>
        </w:rPr>
        <w:t>、邮电费、物业管理费、因公出国（境）费用、差旅费、维修（护）费、租赁费、培训费、公务接待费等</w:t>
      </w:r>
      <w:r>
        <w:rPr>
          <w:rFonts w:hint="eastAsia" w:ascii="仿宋_GB2312" w:hAnsi="仿宋_GB2312" w:eastAsia="仿宋_GB2312" w:cs="仿宋_GB2312"/>
          <w:sz w:val="32"/>
          <w:szCs w:val="32"/>
        </w:rPr>
        <w:t>。</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8"/>
        <w:overflowPunct w:val="0"/>
        <w:autoSpaceDE/>
        <w:autoSpaceDN/>
        <w:spacing w:line="600" w:lineRule="exact"/>
        <w:ind w:firstLine="640" w:firstLineChars="200"/>
        <w:jc w:val="both"/>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2024年度“三公”经费财政拨款支出预算为</w:t>
      </w:r>
      <w:r>
        <w:rPr>
          <w:rFonts w:hint="eastAsia" w:ascii="仿宋_GB2312" w:hAnsi="仿宋_GB2312" w:eastAsia="仿宋_GB2312" w:cs="仿宋_GB2312"/>
          <w:sz w:val="32"/>
          <w:szCs w:val="32"/>
          <w:lang w:val="en-US" w:eastAsia="zh-CN"/>
        </w:rPr>
        <w:t>53.57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53.57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15.49</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40.68</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预算数为全年预算数</w:t>
      </w:r>
      <w:r>
        <w:rPr>
          <w:rFonts w:hint="eastAsia" w:ascii="仿宋_GB2312" w:hAnsi="仿宋_GB2312" w:eastAsia="仿宋_GB2312" w:cs="仿宋_GB2312"/>
          <w:sz w:val="32"/>
          <w:szCs w:val="32"/>
        </w:rPr>
        <w:t>。决算数大于上年数的主要原因是</w:t>
      </w:r>
      <w:r>
        <w:rPr>
          <w:rFonts w:hint="eastAsia" w:ascii="仿宋_GB2312" w:hAnsi="仿宋_GB2312" w:eastAsia="仿宋_GB2312" w:cs="仿宋_GB2312"/>
          <w:sz w:val="32"/>
          <w:szCs w:val="32"/>
          <w:lang w:eastAsia="zh-CN"/>
        </w:rPr>
        <w:t>本年有因公出国（境）事项</w:t>
      </w:r>
      <w:r>
        <w:rPr>
          <w:rFonts w:hint="eastAsia" w:ascii="仿宋_GB2312" w:hAnsi="仿宋_GB2312" w:eastAsia="仿宋_GB2312" w:cs="仿宋_GB2312"/>
          <w:sz w:val="32"/>
          <w:szCs w:val="32"/>
        </w:rPr>
        <w:t>。</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8"/>
        <w:keepNext w:val="0"/>
        <w:keepLines w:val="0"/>
        <w:pageBreakBefore w:val="0"/>
        <w:widowControl w:val="0"/>
        <w:kinsoku/>
        <w:wordWrap/>
        <w:overflowPunct w:val="0"/>
        <w:topLinePunct w:val="0"/>
        <w:autoSpaceDE/>
        <w:autoSpaceDN/>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rPr>
        <w:t>1.因公出国（境）费支出预算为</w:t>
      </w:r>
      <w:r>
        <w:rPr>
          <w:rFonts w:hint="eastAsia" w:ascii="仿宋_GB2312" w:hAnsi="仿宋_GB2312" w:eastAsia="仿宋_GB2312" w:cs="仿宋_GB2312"/>
          <w:sz w:val="32"/>
          <w:szCs w:val="32"/>
          <w:lang w:val="en-US" w:eastAsia="zh-CN"/>
        </w:rPr>
        <w:t>15.07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15.07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15.07</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预算数为全年预算数</w:t>
      </w:r>
      <w:r>
        <w:rPr>
          <w:rFonts w:hint="eastAsia" w:ascii="仿宋_GB2312" w:hAnsi="仿宋_GB2312" w:eastAsia="仿宋_GB2312" w:cs="仿宋_GB2312"/>
          <w:sz w:val="32"/>
          <w:szCs w:val="32"/>
        </w:rPr>
        <w:t>。决算数大于上年数的主要原因是</w:t>
      </w:r>
      <w:r>
        <w:rPr>
          <w:rFonts w:hint="eastAsia" w:ascii="仿宋_GB2312" w:hAnsi="仿宋_GB2312" w:eastAsia="仿宋_GB2312" w:cs="仿宋_GB2312"/>
          <w:sz w:val="32"/>
          <w:szCs w:val="32"/>
          <w:lang w:eastAsia="zh-CN"/>
        </w:rPr>
        <w:t>本年有因公出国（境）事项</w:t>
      </w:r>
      <w:r>
        <w:rPr>
          <w:rFonts w:hint="eastAsia" w:ascii="仿宋_GB2312" w:hAnsi="仿宋_GB2312" w:eastAsia="仿宋_GB2312" w:cs="仿宋_GB2312"/>
          <w:sz w:val="32"/>
          <w:szCs w:val="32"/>
        </w:rPr>
        <w:t>。2024年度安排因公出国（境）团组</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w:t>
      </w:r>
    </w:p>
    <w:p>
      <w:pPr>
        <w:pStyle w:val="18"/>
        <w:keepNext w:val="0"/>
        <w:keepLines w:val="0"/>
        <w:pageBreakBefore w:val="0"/>
        <w:widowControl w:val="0"/>
        <w:kinsoku/>
        <w:wordWrap/>
        <w:overflowPunct w:val="0"/>
        <w:topLinePunct w:val="0"/>
        <w:autoSpaceDE/>
        <w:autoSpaceDN/>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岳阳市赴保加利亚、西班牙、意大利友好交往和项目洽谈代表团</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15.07</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友好交往和项目洽谈等</w:t>
      </w:r>
      <w:r>
        <w:rPr>
          <w:rFonts w:hint="eastAsia" w:ascii="仿宋_GB2312" w:hAnsi="仿宋_GB2312" w:eastAsia="仿宋_GB2312" w:cs="仿宋_GB2312"/>
          <w:sz w:val="32"/>
          <w:szCs w:val="32"/>
          <w:lang w:val="en-US" w:eastAsia="zh-CN"/>
        </w:rPr>
        <w:t>。</w:t>
      </w:r>
    </w:p>
    <w:p>
      <w:pPr>
        <w:pStyle w:val="18"/>
        <w:keepNext w:val="0"/>
        <w:keepLines w:val="0"/>
        <w:pageBreakBefore w:val="0"/>
        <w:widowControl w:val="0"/>
        <w:kinsoku/>
        <w:wordWrap/>
        <w:overflowPunct w:val="0"/>
        <w:topLinePunct w:val="0"/>
        <w:autoSpaceDE/>
        <w:autoSpaceDN/>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2.公务用车购置费及运行维护费支出预算为</w:t>
      </w:r>
      <w:r>
        <w:rPr>
          <w:rFonts w:hint="eastAsia" w:ascii="仿宋_GB2312" w:hAnsi="仿宋_GB2312" w:eastAsia="仿宋_GB2312" w:cs="仿宋_GB2312"/>
          <w:sz w:val="32"/>
          <w:szCs w:val="32"/>
          <w:lang w:val="en-US" w:eastAsia="zh-CN"/>
        </w:rPr>
        <w:t>29.29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29.29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1.21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4.31</w:t>
      </w:r>
      <w:r>
        <w:rPr>
          <w:rFonts w:hint="eastAsia" w:ascii="仿宋_GB2312" w:hAnsi="仿宋_GB2312" w:eastAsia="仿宋_GB2312" w:cs="仿宋_GB2312"/>
          <w:sz w:val="32"/>
          <w:szCs w:val="32"/>
        </w:rPr>
        <w:t>%。其中：</w:t>
      </w:r>
    </w:p>
    <w:p>
      <w:pPr>
        <w:pStyle w:val="18"/>
        <w:keepNext w:val="0"/>
        <w:keepLines w:val="0"/>
        <w:pageBreakBefore w:val="0"/>
        <w:widowControl w:val="0"/>
        <w:kinsoku/>
        <w:wordWrap/>
        <w:overflowPunct w:val="0"/>
        <w:topLinePunct w:val="0"/>
        <w:autoSpaceDE/>
        <w:autoSpaceDN/>
        <w:bidi w:val="0"/>
        <w:adjustRightInd w:val="0"/>
        <w:snapToGrid/>
        <w:spacing w:line="60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公务用车购置费支出预算为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决算数等于预算数，主要原因是我单位严格按预算执行决算</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与上年一致，无增减变动，主要原因是两年均未购置公务用车。本单位</w:t>
      </w:r>
      <w:r>
        <w:rPr>
          <w:rFonts w:hint="eastAsia" w:ascii="仿宋_GB2312" w:hAnsi="仿宋_GB2312" w:eastAsia="仿宋_GB2312" w:cs="仿宋_GB2312"/>
          <w:color w:val="000000" w:themeColor="text1"/>
          <w:sz w:val="32"/>
          <w:szCs w:val="32"/>
          <w14:textFill>
            <w14:solidFill>
              <w14:schemeClr w14:val="tx1"/>
            </w14:solidFill>
          </w14:textFill>
        </w:rPr>
        <w:t>更新公务用车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18"/>
        <w:keepNext w:val="0"/>
        <w:keepLines w:val="0"/>
        <w:pageBreakBefore w:val="0"/>
        <w:widowControl w:val="0"/>
        <w:kinsoku/>
        <w:wordWrap/>
        <w:overflowPunct w:val="0"/>
        <w:topLinePunct w:val="0"/>
        <w:autoSpaceDE/>
        <w:autoSpaceDN/>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29.29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29.29</w:t>
      </w:r>
      <w:r>
        <w:rPr>
          <w:rFonts w:hint="eastAsia" w:ascii="仿宋_GB2312" w:hAnsi="仿宋_GB2312" w:eastAsia="仿宋_GB2312" w:cs="仿宋_GB2312"/>
          <w:sz w:val="32"/>
          <w:szCs w:val="32"/>
        </w:rPr>
        <w:t>万元，</w:t>
      </w:r>
    </w:p>
    <w:p>
      <w:pPr>
        <w:pStyle w:val="18"/>
        <w:keepNext w:val="0"/>
        <w:keepLines w:val="0"/>
        <w:pageBreakBefore w:val="0"/>
        <w:widowControl w:val="0"/>
        <w:kinsoku/>
        <w:wordWrap/>
        <w:overflowPunct w:val="0"/>
        <w:topLinePunct w:val="0"/>
        <w:autoSpaceDE/>
        <w:autoSpaceDN/>
        <w:bidi w:val="0"/>
        <w:adjustRightInd w:val="0"/>
        <w:snapToGrid/>
        <w:spacing w:line="600" w:lineRule="exact"/>
        <w:ind w:firstLine="640" w:firstLineChars="200"/>
        <w:jc w:val="both"/>
        <w:textAlignment w:val="auto"/>
        <w:rPr>
          <w:rFonts w:hint="eastAsia" w:ascii="仿宋_GB2312" w:hAnsi="仿宋_GB2312" w:eastAsia="仿宋_GB2312" w:cs="仿宋_GB2312"/>
          <w:b/>
          <w:bCs/>
          <w:i/>
          <w:color w:val="FF0000"/>
          <w:sz w:val="32"/>
          <w:szCs w:val="32"/>
        </w:rPr>
      </w:pPr>
      <w:r>
        <w:rPr>
          <w:rFonts w:hint="eastAsia" w:ascii="仿宋_GB2312" w:hAnsi="仿宋_GB2312" w:eastAsia="仿宋_GB2312" w:cs="仿宋_GB2312"/>
          <w:sz w:val="32"/>
          <w:szCs w:val="32"/>
        </w:rPr>
        <w:t>主要是</w:t>
      </w:r>
      <w:r>
        <w:rPr>
          <w:rFonts w:hint="eastAsia" w:ascii="仿宋_GB2312" w:hAnsi="仿宋_GB2312" w:eastAsia="仿宋_GB2312" w:cs="仿宋_GB2312"/>
          <w:color w:val="000000"/>
          <w:sz w:val="32"/>
          <w:szCs w:val="32"/>
        </w:rPr>
        <w:t>市内因公出行以及市直林业部门开展省内跨市县区林业工作检查、指导所需车辆油料费、维修费、过路过桥费、保险费等</w:t>
      </w:r>
      <w:r>
        <w:rPr>
          <w:rFonts w:hint="eastAsia" w:ascii="仿宋_GB2312" w:hAnsi="仿宋_GB2312" w:eastAsia="仿宋_GB2312" w:cs="仿宋_GB2312"/>
          <w:sz w:val="32"/>
          <w:szCs w:val="32"/>
        </w:rPr>
        <w:t>支出，完成预算的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1.21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4.31</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预算数为全年预算数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决算数大于上年数的主要原因是</w:t>
      </w:r>
      <w:r>
        <w:rPr>
          <w:rFonts w:hint="eastAsia" w:ascii="仿宋_GB2312" w:hAnsi="仿宋_GB2312" w:eastAsia="仿宋_GB2312" w:cs="仿宋_GB2312"/>
          <w:sz w:val="32"/>
          <w:szCs w:val="32"/>
          <w:highlight w:val="none"/>
          <w:lang w:eastAsia="zh-CN"/>
        </w:rPr>
        <w:t>东保局</w:t>
      </w:r>
      <w:r>
        <w:rPr>
          <w:rFonts w:hint="eastAsia" w:ascii="仿宋_GB2312" w:hAnsi="仿宋_GB2312" w:eastAsia="仿宋_GB2312" w:cs="仿宋_GB2312"/>
          <w:sz w:val="32"/>
          <w:szCs w:val="32"/>
          <w:highlight w:val="none"/>
        </w:rPr>
        <w:t>2024年度增加两台公务船舶的运行维护费用。截止</w:t>
      </w:r>
      <w:r>
        <w:rPr>
          <w:rFonts w:hint="eastAsia" w:ascii="仿宋_GB2312" w:hAnsi="仿宋_GB2312" w:eastAsia="仿宋_GB2312" w:cs="仿宋_GB2312"/>
          <w:sz w:val="32"/>
          <w:szCs w:val="32"/>
          <w:highlight w:val="none"/>
          <w:lang w:eastAsia="zh-CN"/>
        </w:rPr>
        <w:t>到</w:t>
      </w:r>
      <w:r>
        <w:rPr>
          <w:rFonts w:hint="eastAsia" w:ascii="仿宋_GB2312" w:hAnsi="仿宋_GB2312" w:eastAsia="仿宋_GB2312" w:cs="仿宋_GB2312"/>
          <w:sz w:val="32"/>
          <w:szCs w:val="32"/>
        </w:rPr>
        <w:t>2024年12月31日，我单位开支财政拨款的公务用车保有量为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辆。</w:t>
      </w:r>
    </w:p>
    <w:p>
      <w:pPr>
        <w:pStyle w:val="18"/>
        <w:keepNext w:val="0"/>
        <w:keepLines w:val="0"/>
        <w:pageBreakBefore w:val="0"/>
        <w:widowControl w:val="0"/>
        <w:kinsoku/>
        <w:wordWrap/>
        <w:overflowPunct/>
        <w:topLinePunct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预算数为全年预算数</w:t>
      </w:r>
      <w:r>
        <w:rPr>
          <w:rFonts w:hint="eastAsia" w:ascii="仿宋_GB2312" w:hAnsi="仿宋_GB2312" w:eastAsia="仿宋_GB2312" w:cs="仿宋_GB2312"/>
          <w:sz w:val="32"/>
          <w:szCs w:val="32"/>
        </w:rPr>
        <w:t>。决算数小于上年数的主要原因是积极贯彻落实关于厉行节约及</w:t>
      </w:r>
      <w:r>
        <w:rPr>
          <w:rFonts w:hint="eastAsia" w:ascii="仿宋_GB2312" w:hAnsi="仿宋_GB2312" w:eastAsia="仿宋_GB2312" w:cs="仿宋_GB2312"/>
          <w:kern w:val="2"/>
          <w:sz w:val="32"/>
          <w:szCs w:val="32"/>
          <w:lang w:bidi="ar"/>
        </w:rPr>
        <w:t>继续坚持“过紧日子”要求</w:t>
      </w:r>
      <w:r>
        <w:rPr>
          <w:rFonts w:hint="eastAsia" w:ascii="仿宋_GB2312" w:hAnsi="仿宋_GB2312" w:eastAsia="仿宋_GB2312" w:cs="仿宋_GB2312"/>
          <w:sz w:val="32"/>
          <w:szCs w:val="32"/>
        </w:rPr>
        <w:t>，从严控制公务接待</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。2024年度共接待来访团组</w:t>
      </w:r>
      <w:r>
        <w:rPr>
          <w:rFonts w:hint="eastAsia" w:ascii="仿宋_GB2312" w:hAnsi="仿宋_GB2312" w:eastAsia="仿宋_GB2312" w:cs="仿宋_GB2312"/>
          <w:sz w:val="32"/>
          <w:szCs w:val="32"/>
          <w:lang w:val="en-US" w:eastAsia="zh-CN"/>
        </w:rPr>
        <w:t>111</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804</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highlight w:val="none"/>
        </w:rPr>
        <w:t>，主要是市</w:t>
      </w:r>
      <w:r>
        <w:rPr>
          <w:rFonts w:hint="eastAsia" w:ascii="仿宋_GB2312" w:hAnsi="仿宋_GB2312" w:eastAsia="仿宋_GB2312" w:cs="仿宋_GB2312"/>
          <w:sz w:val="32"/>
          <w:szCs w:val="32"/>
        </w:rPr>
        <w:t>直林业部门与相关单位交流工作情况及接受上级相关部门检查指导工作发生的接待支出。</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十</w:t>
      </w:r>
      <w:r>
        <w:rPr>
          <w:rFonts w:hint="eastAsia" w:ascii="黑体" w:hAnsi="黑体" w:eastAsia="黑体" w:cs="黑体"/>
          <w:b w:val="0"/>
          <w:bCs/>
          <w:color w:val="auto"/>
          <w:sz w:val="32"/>
          <w:szCs w:val="32"/>
        </w:rPr>
        <w:t>、关于机关运行经费支出说明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207.91</w:t>
      </w:r>
      <w:r>
        <w:rPr>
          <w:rFonts w:hint="eastAsia" w:ascii="仿宋_GB2312" w:hAnsi="仿宋_GB2312" w:eastAsia="仿宋_GB2312" w:cs="仿宋_GB2312"/>
          <w:sz w:val="32"/>
          <w:szCs w:val="32"/>
        </w:rPr>
        <w:t>万元，比上年决算数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18.43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lang w:val="en-US" w:eastAsia="zh-CN"/>
        </w:rPr>
        <w:t>8.14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：本年从公用经费调整到人员经费数比上年增加。</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4年度，会议费预算6.17万元，支出决算为6.17万元，完成预算的100%。用于召开2024年全市林长会、全市林业工作会、自然保护地生态产品价值实现调研课题座谈会、新形势下全市疫木管控调度会会议等，</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518</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内容为传达2024年湖南省总林长会精神，听取全市2023年林长制工作汇报，研究部署下阶段工作</w:t>
      </w:r>
      <w:r>
        <w:rPr>
          <w:rFonts w:hint="eastAsia" w:ascii="仿宋_GB2312" w:hAnsi="仿宋_GB2312" w:eastAsia="仿宋_GB2312" w:cs="仿宋_GB2312"/>
          <w:sz w:val="32"/>
          <w:szCs w:val="32"/>
          <w:lang w:eastAsia="zh-CN"/>
        </w:rPr>
        <w:t>；自然保护地课题调研座谈会交流发言，自然保护地生态环境推进会；就国家林草局通报案件进行专题汇报、县市区分管领导汇报各自管控措施及表态发言等。</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培训费预算13.08万元，支出决算为13.08万元，完成</w:t>
      </w:r>
      <w:bookmarkStart w:id="0" w:name="_GoBack"/>
      <w:bookmarkEnd w:id="0"/>
      <w:r>
        <w:rPr>
          <w:rFonts w:hint="eastAsia" w:ascii="仿宋_GB2312" w:hAnsi="仿宋_GB2312" w:eastAsia="仿宋_GB2312" w:cs="仿宋_GB2312"/>
          <w:color w:val="000000"/>
          <w:kern w:val="0"/>
          <w:sz w:val="32"/>
          <w:szCs w:val="32"/>
          <w:lang w:val="en-US" w:eastAsia="zh-CN" w:bidi="ar-SA"/>
        </w:rPr>
        <w:t>预算的100%。用于开展2023年全市林长制工作培训、全市标准化暨知识产权保护培训、2023年全市自然保护地生态保护修复与利用培训等，人数450人，内容为学习习近平新时代生态文明思想，解读林长制文件精神，解析《森林法》《湿地法》等法规，讲解基层林长履职；林业标准化建设、林业植物新品种知识产权保护；自然保护地生态保护、修复和生态旅游等。</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年度政府采购支出总额4676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43万元，其中：政府采购货物支出</w:t>
      </w:r>
      <w:r>
        <w:rPr>
          <w:rFonts w:hint="eastAsia" w:ascii="仿宋_GB2312" w:hAnsi="仿宋_GB2312" w:eastAsia="仿宋_GB2312" w:cs="仿宋_GB2312"/>
          <w:sz w:val="32"/>
          <w:szCs w:val="32"/>
          <w:lang w:val="en-US" w:eastAsia="zh-CN"/>
        </w:rPr>
        <w:t>200.28</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3865.69</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610.45</w:t>
      </w:r>
      <w:r>
        <w:rPr>
          <w:rFonts w:hint="eastAsia" w:ascii="仿宋_GB2312" w:hAnsi="仿宋_GB2312" w:eastAsia="仿宋_GB2312" w:cs="仿宋_GB2312"/>
          <w:sz w:val="32"/>
          <w:szCs w:val="32"/>
        </w:rPr>
        <w:t>万元。授予中小企业合同金额653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61万元，占政府采购支出总额的</w:t>
      </w:r>
      <w:r>
        <w:rPr>
          <w:rFonts w:hint="eastAsia" w:ascii="仿宋_GB2312" w:hAnsi="仿宋_GB2312" w:eastAsia="仿宋_GB2312" w:cs="仿宋_GB2312"/>
          <w:sz w:val="32"/>
          <w:szCs w:val="32"/>
          <w:lang w:val="en-US" w:eastAsia="zh-CN"/>
        </w:rPr>
        <w:t>13.98</w:t>
      </w:r>
      <w:r>
        <w:rPr>
          <w:rFonts w:hint="eastAsia" w:ascii="仿宋_GB2312" w:hAnsi="仿宋_GB2312" w:eastAsia="仿宋_GB2312" w:cs="仿宋_GB2312"/>
          <w:sz w:val="32"/>
          <w:szCs w:val="32"/>
        </w:rPr>
        <w:t>%，其中：授予小微企业合同金额479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48万元，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73.36</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39.86</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8.71</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70.44</w:t>
      </w:r>
      <w:r>
        <w:rPr>
          <w:rFonts w:hint="eastAsia" w:ascii="仿宋_GB2312" w:hAnsi="仿宋_GB2312" w:eastAsia="仿宋_GB2312" w:cs="仿宋_GB2312"/>
          <w:color w:val="auto"/>
          <w:sz w:val="32"/>
          <w:szCs w:val="32"/>
        </w:rPr>
        <w:t>%。</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8"/>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eastAsia="zh-CN"/>
        </w:rPr>
        <w:t>岳阳市林业局其他用车</w:t>
      </w:r>
      <w:r>
        <w:rPr>
          <w:rFonts w:hint="eastAsia" w:ascii="仿宋_GB2312" w:hAnsi="仿宋_GB2312" w:eastAsia="仿宋_GB2312" w:cs="仿宋_GB2312"/>
          <w:color w:val="auto"/>
          <w:sz w:val="32"/>
          <w:szCs w:val="32"/>
          <w:lang w:val="en-US" w:eastAsia="zh-CN"/>
        </w:rPr>
        <w:t>1辆，岳阳市林业科学研究所</w:t>
      </w:r>
      <w:r>
        <w:rPr>
          <w:rFonts w:hint="eastAsia" w:ascii="仿宋_GB2312" w:hAnsi="仿宋_GB2312" w:eastAsia="仿宋_GB2312" w:cs="仿宋_GB2312"/>
          <w:color w:val="auto"/>
          <w:kern w:val="2"/>
          <w:sz w:val="32"/>
          <w:szCs w:val="32"/>
          <w:highlight w:val="none"/>
        </w:rPr>
        <w:t>基地生产性用车1辆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台（套）。</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b/>
          <w:bCs/>
          <w:kern w:val="0"/>
          <w:sz w:val="32"/>
          <w:szCs w:val="32"/>
          <w:lang w:val="en-US" w:eastAsia="zh-CN"/>
        </w:rPr>
        <w:t>绩</w:t>
      </w:r>
      <w:r>
        <w:rPr>
          <w:rFonts w:hint="eastAsia" w:ascii="仿宋_GB2312" w:hAnsi="仿宋_GB2312" w:eastAsia="仿宋_GB2312" w:cs="仿宋_GB2312"/>
          <w:b/>
          <w:bCs/>
          <w:kern w:val="0"/>
          <w:sz w:val="32"/>
          <w:szCs w:val="32"/>
        </w:rPr>
        <w:t>效自评开展情况。</w:t>
      </w:r>
      <w:r>
        <w:rPr>
          <w:rFonts w:hint="eastAsia" w:ascii="仿宋_GB2312" w:hAnsi="仿宋_GB2312" w:eastAsia="仿宋_GB2312" w:cs="仿宋_GB2312"/>
          <w:kern w:val="0"/>
          <w:sz w:val="32"/>
          <w:szCs w:val="32"/>
        </w:rPr>
        <w:t>组织对2024年度本部门（单位）整体支出开展绩效自评，涉及项目</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lang w:val="en-US" w:eastAsia="zh-CN"/>
        </w:rPr>
        <w:t>8769.9</w:t>
      </w:r>
      <w:r>
        <w:rPr>
          <w:rFonts w:hint="eastAsia" w:ascii="仿宋_GB2312" w:hAnsi="仿宋_GB2312" w:eastAsia="仿宋_GB2312" w:cs="仿宋_GB2312"/>
          <w:kern w:val="0"/>
          <w:sz w:val="32"/>
          <w:szCs w:val="32"/>
        </w:rPr>
        <w:t>万元。其中，一般公共预算项目</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个</w:t>
      </w:r>
      <w:r>
        <w:rPr>
          <w:rFonts w:hint="eastAsia" w:ascii="仿宋_GB2312" w:hAnsi="仿宋_GB2312" w:eastAsia="仿宋_GB2312" w:cs="仿宋_GB2312"/>
          <w:kern w:val="0"/>
          <w:sz w:val="32"/>
          <w:szCs w:val="32"/>
          <w:lang w:val="en-US" w:eastAsia="zh-CN"/>
        </w:rPr>
        <w:t>4420.66</w:t>
      </w:r>
      <w:r>
        <w:rPr>
          <w:rFonts w:hint="eastAsia" w:ascii="仿宋_GB2312" w:hAnsi="仿宋_GB2312" w:eastAsia="仿宋_GB2312" w:cs="仿宋_GB2312"/>
          <w:kern w:val="0"/>
          <w:sz w:val="32"/>
          <w:szCs w:val="32"/>
        </w:rPr>
        <w:t>万元，占一般公共预算支出总额的</w:t>
      </w:r>
      <w:r>
        <w:rPr>
          <w:rFonts w:hint="eastAsia" w:ascii="仿宋_GB2312" w:hAnsi="仿宋_GB2312" w:eastAsia="仿宋_GB2312" w:cs="仿宋_GB2312"/>
          <w:kern w:val="0"/>
          <w:sz w:val="32"/>
          <w:szCs w:val="32"/>
          <w:lang w:val="en-US" w:eastAsia="zh-CN"/>
        </w:rPr>
        <w:t>51.41</w:t>
      </w:r>
      <w:r>
        <w:rPr>
          <w:rFonts w:hint="eastAsia" w:ascii="仿宋_GB2312" w:hAnsi="仿宋_GB2312" w:eastAsia="仿宋_GB2312" w:cs="仿宋_GB2312"/>
          <w:kern w:val="0"/>
          <w:sz w:val="32"/>
          <w:szCs w:val="32"/>
        </w:rPr>
        <w:t>%；政府性基金预算项目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个</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万元；国有资本经营预算项目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个</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highlight w:val="none"/>
        </w:rPr>
        <w:t>社会保险基金预算项目</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个</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overflowPunct w:val="0"/>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b/>
          <w:bCs/>
          <w:kern w:val="0"/>
          <w:sz w:val="32"/>
          <w:szCs w:val="32"/>
        </w:rPr>
        <w:t>部门评价开展情况。</w:t>
      </w:r>
      <w:r>
        <w:rPr>
          <w:rFonts w:hint="eastAsia" w:ascii="仿宋_GB2312" w:hAnsi="仿宋_GB2312" w:eastAsia="仿宋_GB2312" w:cs="仿宋_GB2312"/>
          <w:kern w:val="0"/>
          <w:sz w:val="32"/>
          <w:szCs w:val="32"/>
        </w:rPr>
        <w:t>组织对</w:t>
      </w:r>
      <w:r>
        <w:rPr>
          <w:rFonts w:hint="eastAsia" w:ascii="仿宋_GB2312" w:hAnsi="仿宋_GB2312" w:eastAsia="仿宋_GB2312" w:cs="仿宋_GB2312"/>
          <w:kern w:val="0"/>
          <w:sz w:val="32"/>
          <w:szCs w:val="32"/>
          <w:lang w:eastAsia="zh-CN"/>
        </w:rPr>
        <w:t>本</w:t>
      </w:r>
      <w:r>
        <w:rPr>
          <w:rFonts w:hint="eastAsia" w:ascii="仿宋_GB2312" w:hAnsi="仿宋_GB2312" w:eastAsia="仿宋_GB2312" w:cs="仿宋_GB2312"/>
          <w:kern w:val="0"/>
          <w:sz w:val="32"/>
          <w:szCs w:val="32"/>
        </w:rPr>
        <w:t>单位2024年度“</w:t>
      </w:r>
      <w:r>
        <w:rPr>
          <w:rFonts w:hint="eastAsia" w:ascii="仿宋_GB2312" w:hAnsi="仿宋_GB2312" w:eastAsia="仿宋_GB2312" w:cs="仿宋_GB2312"/>
          <w:b w:val="0"/>
          <w:bCs w:val="0"/>
          <w:sz w:val="32"/>
          <w:szCs w:val="32"/>
          <w:vertAlign w:val="baseline"/>
          <w:lang w:val="en-US" w:eastAsia="zh-CN"/>
        </w:rPr>
        <w:t>森林防火专项</w:t>
      </w:r>
      <w:r>
        <w:rPr>
          <w:rFonts w:hint="eastAsia" w:ascii="仿宋_GB2312" w:hAnsi="仿宋_GB2312" w:eastAsia="仿宋_GB2312" w:cs="仿宋_GB2312"/>
          <w:kern w:val="0"/>
          <w:sz w:val="32"/>
          <w:szCs w:val="32"/>
        </w:rPr>
        <w:t>”等</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kern w:val="0"/>
          <w:sz w:val="32"/>
          <w:szCs w:val="32"/>
        </w:rPr>
        <w:t>个项目开展了部门评价，涉及一般公共预算支出</w:t>
      </w:r>
      <w:r>
        <w:rPr>
          <w:rFonts w:hint="eastAsia" w:ascii="仿宋_GB2312" w:hAnsi="仿宋_GB2312" w:eastAsia="仿宋_GB2312" w:cs="仿宋_GB2312"/>
          <w:sz w:val="32"/>
          <w:szCs w:val="32"/>
          <w:lang w:val="en-US" w:eastAsia="zh-CN"/>
        </w:rPr>
        <w:t>80.26</w:t>
      </w:r>
      <w:r>
        <w:rPr>
          <w:rFonts w:hint="eastAsia" w:ascii="仿宋_GB2312" w:hAnsi="仿宋_GB2312" w:eastAsia="仿宋_GB2312" w:cs="仿宋_GB2312"/>
          <w:kern w:val="0"/>
          <w:sz w:val="32"/>
          <w:szCs w:val="32"/>
        </w:rPr>
        <w:t>万元，政府性基金预算支出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kern w:val="0"/>
          <w:sz w:val="32"/>
          <w:szCs w:val="32"/>
        </w:rPr>
        <w:t>万元，国有资本经营预算支出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kern w:val="0"/>
          <w:sz w:val="32"/>
          <w:szCs w:val="32"/>
        </w:rPr>
        <w:t>万元，社会保险基金预算支出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kern w:val="0"/>
          <w:sz w:val="32"/>
          <w:szCs w:val="32"/>
        </w:rPr>
        <w:t>万元。</w:t>
      </w:r>
    </w:p>
    <w:p>
      <w:pPr>
        <w:overflowPunct w:val="0"/>
        <w:spacing w:line="60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b/>
          <w:bCs/>
          <w:kern w:val="0"/>
          <w:sz w:val="32"/>
          <w:szCs w:val="32"/>
        </w:rPr>
        <w:t>事前绩效评估开展情况。</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本单位及所属单位本年度未新增重大政策和重大项目，所以无事前绩效评估开展情况。</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b/>
          <w:bCs/>
          <w:kern w:val="0"/>
          <w:sz w:val="32"/>
          <w:szCs w:val="32"/>
        </w:rPr>
        <w:t>绩效自评结果。</w:t>
      </w:r>
      <w:r>
        <w:rPr>
          <w:rFonts w:hint="eastAsia" w:ascii="仿宋_GB2312" w:hAnsi="仿宋_GB2312" w:eastAsia="仿宋_GB2312" w:cs="仿宋_GB2312"/>
          <w:kern w:val="0"/>
          <w:sz w:val="32"/>
          <w:szCs w:val="32"/>
        </w:rPr>
        <w:t>2024年度本部门（单位）整体支出</w:t>
      </w:r>
      <w:r>
        <w:rPr>
          <w:rFonts w:hint="eastAsia" w:ascii="仿宋_GB2312" w:hAnsi="仿宋_GB2312" w:eastAsia="仿宋_GB2312" w:cs="仿宋_GB2312"/>
          <w:sz w:val="32"/>
          <w:szCs w:val="32"/>
        </w:rPr>
        <w:t>全年预算数</w:t>
      </w:r>
      <w:r>
        <w:rPr>
          <w:rFonts w:hint="eastAsia" w:ascii="仿宋_GB2312" w:hAnsi="仿宋_GB2312" w:eastAsia="仿宋_GB2312" w:cs="仿宋_GB2312"/>
          <w:sz w:val="32"/>
          <w:szCs w:val="32"/>
          <w:lang w:val="en-US" w:eastAsia="zh-CN"/>
        </w:rPr>
        <w:t>44680.18</w:t>
      </w:r>
      <w:r>
        <w:rPr>
          <w:rFonts w:hint="eastAsia" w:ascii="仿宋_GB2312" w:hAnsi="仿宋_GB2312" w:eastAsia="仿宋_GB2312" w:cs="仿宋_GB2312"/>
          <w:sz w:val="32"/>
          <w:szCs w:val="32"/>
        </w:rPr>
        <w:t>万元，执行数</w:t>
      </w:r>
      <w:r>
        <w:rPr>
          <w:rFonts w:hint="eastAsia" w:ascii="仿宋_GB2312" w:hAnsi="仿宋_GB2312" w:eastAsia="仿宋_GB2312" w:cs="仿宋_GB2312"/>
          <w:sz w:val="32"/>
          <w:szCs w:val="32"/>
          <w:lang w:val="en-US" w:eastAsia="zh-CN"/>
        </w:rPr>
        <w:t>8769.9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19.63</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市林业局</w:t>
      </w:r>
      <w:r>
        <w:rPr>
          <w:rFonts w:hint="eastAsia" w:ascii="仿宋_GB2312" w:hAnsi="仿宋_GB2312" w:eastAsia="仿宋_GB2312" w:cs="仿宋_GB2312"/>
          <w:kern w:val="0"/>
          <w:sz w:val="32"/>
          <w:szCs w:val="32"/>
        </w:rPr>
        <w:t>绩效自评得分</w:t>
      </w:r>
      <w:r>
        <w:rPr>
          <w:rFonts w:hint="eastAsia" w:ascii="仿宋_GB2312" w:hAnsi="仿宋_GB2312" w:eastAsia="仿宋_GB2312" w:cs="仿宋_GB2312"/>
          <w:sz w:val="32"/>
          <w:szCs w:val="32"/>
          <w:lang w:val="en-US" w:eastAsia="zh-CN"/>
        </w:rPr>
        <w:t>90.73</w:t>
      </w:r>
      <w:r>
        <w:rPr>
          <w:rFonts w:hint="eastAsia" w:ascii="仿宋_GB2312" w:hAnsi="仿宋_GB2312" w:eastAsia="仿宋_GB2312" w:cs="仿宋_GB2312"/>
          <w:sz w:val="32"/>
          <w:szCs w:val="32"/>
        </w:rPr>
        <w:t>分</w:t>
      </w:r>
      <w:r>
        <w:rPr>
          <w:rFonts w:hint="eastAsia" w:ascii="仿宋_GB2312" w:hAnsi="仿宋_GB2312" w:eastAsia="仿宋_GB2312" w:cs="仿宋_GB2312"/>
          <w:kern w:val="0"/>
          <w:sz w:val="32"/>
          <w:szCs w:val="32"/>
        </w:rPr>
        <w:t>，评价等级为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东保局</w:t>
      </w:r>
      <w:r>
        <w:rPr>
          <w:rFonts w:hint="eastAsia" w:ascii="仿宋_GB2312" w:hAnsi="仿宋_GB2312" w:eastAsia="仿宋_GB2312" w:cs="仿宋_GB2312"/>
          <w:kern w:val="0"/>
          <w:sz w:val="32"/>
          <w:szCs w:val="32"/>
        </w:rPr>
        <w:t>绩效自评得分</w:t>
      </w:r>
      <w:r>
        <w:rPr>
          <w:rFonts w:hint="eastAsia" w:ascii="仿宋_GB2312" w:hAnsi="仿宋_GB2312" w:eastAsia="仿宋_GB2312" w:cs="仿宋_GB2312"/>
          <w:sz w:val="32"/>
          <w:szCs w:val="32"/>
          <w:lang w:val="en-US" w:eastAsia="zh-CN"/>
        </w:rPr>
        <w:t>94.91</w:t>
      </w:r>
      <w:r>
        <w:rPr>
          <w:rFonts w:hint="eastAsia" w:ascii="仿宋_GB2312" w:hAnsi="仿宋_GB2312" w:eastAsia="仿宋_GB2312" w:cs="仿宋_GB2312"/>
          <w:sz w:val="32"/>
          <w:szCs w:val="32"/>
        </w:rPr>
        <w:t>分</w:t>
      </w:r>
      <w:r>
        <w:rPr>
          <w:rFonts w:hint="eastAsia" w:ascii="仿宋_GB2312" w:hAnsi="仿宋_GB2312" w:eastAsia="仿宋_GB2312" w:cs="仿宋_GB2312"/>
          <w:kern w:val="0"/>
          <w:sz w:val="32"/>
          <w:szCs w:val="32"/>
        </w:rPr>
        <w:t>，评价等级为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，市林科所</w:t>
      </w:r>
      <w:r>
        <w:rPr>
          <w:rFonts w:hint="eastAsia" w:ascii="仿宋_GB2312" w:hAnsi="仿宋_GB2312" w:eastAsia="仿宋_GB2312" w:cs="仿宋_GB2312"/>
          <w:kern w:val="0"/>
          <w:sz w:val="32"/>
          <w:szCs w:val="32"/>
        </w:rPr>
        <w:t>绩效自评得分</w:t>
      </w:r>
      <w:r>
        <w:rPr>
          <w:rFonts w:hint="eastAsia" w:ascii="仿宋_GB2312" w:hAnsi="仿宋_GB2312" w:eastAsia="仿宋_GB2312" w:cs="仿宋_GB2312"/>
          <w:kern w:val="0"/>
          <w:sz w:val="32"/>
          <w:szCs w:val="32"/>
          <w:lang w:val="en-US" w:eastAsia="zh-CN"/>
        </w:rPr>
        <w:t>96.7</w:t>
      </w:r>
      <w:r>
        <w:rPr>
          <w:rFonts w:hint="eastAsia" w:ascii="仿宋_GB2312" w:hAnsi="仿宋_GB2312" w:eastAsia="仿宋_GB2312" w:cs="仿宋_GB2312"/>
          <w:sz w:val="32"/>
          <w:szCs w:val="32"/>
        </w:rPr>
        <w:t>分</w:t>
      </w:r>
      <w:r>
        <w:rPr>
          <w:rFonts w:hint="eastAsia" w:ascii="仿宋_GB2312" w:hAnsi="仿宋_GB2312" w:eastAsia="仿宋_GB2312" w:cs="仿宋_GB2312"/>
          <w:kern w:val="0"/>
          <w:sz w:val="32"/>
          <w:szCs w:val="32"/>
        </w:rPr>
        <w:t>，评价等级为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优秀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。市林业局</w:t>
      </w:r>
      <w:r>
        <w:rPr>
          <w:rFonts w:hint="eastAsia" w:ascii="仿宋_GB2312" w:hAnsi="仿宋_GB2312" w:eastAsia="仿宋_GB2312" w:cs="仿宋_GB2312"/>
          <w:sz w:val="32"/>
          <w:szCs w:val="32"/>
        </w:rPr>
        <w:t>绩效目标完成情况：一是</w:t>
      </w:r>
      <w:r>
        <w:rPr>
          <w:rFonts w:hint="eastAsia" w:ascii="仿宋_GB2312" w:hAnsi="仿宋_GB2312" w:eastAsia="仿宋_GB2312" w:cs="仿宋_GB2312"/>
          <w:color w:val="000000"/>
          <w:sz w:val="32"/>
          <w:szCs w:val="32"/>
          <w:highlight w:val="none"/>
        </w:rPr>
        <w:t>完成营造林任务11.3万亩</w:t>
      </w:r>
      <w:r>
        <w:rPr>
          <w:rFonts w:hint="eastAsia" w:ascii="仿宋_GB2312" w:hAnsi="仿宋_GB2312" w:eastAsia="仿宋_GB2312" w:cs="仿宋_GB2312"/>
          <w:sz w:val="32"/>
          <w:szCs w:val="32"/>
        </w:rPr>
        <w:t>；二是</w:t>
      </w:r>
      <w:r>
        <w:rPr>
          <w:rFonts w:hint="eastAsia" w:ascii="仿宋_GB2312" w:hAnsi="仿宋_GB2312" w:eastAsia="仿宋_GB2312" w:cs="仿宋_GB2312"/>
          <w:color w:val="000000"/>
          <w:sz w:val="32"/>
          <w:szCs w:val="32"/>
          <w:highlight w:val="none"/>
        </w:rPr>
        <w:t>完成省级生态廊道建设800亩</w:t>
      </w:r>
      <w:r>
        <w:rPr>
          <w:rFonts w:hint="eastAsia" w:ascii="仿宋_GB2312" w:hAnsi="仿宋_GB2312" w:eastAsia="仿宋_GB2312" w:cs="仿宋_GB2312"/>
          <w:color w:val="000000"/>
          <w:sz w:val="32"/>
          <w:szCs w:val="32"/>
          <w:highlight w:val="none"/>
          <w:lang w:eastAsia="zh-CN"/>
        </w:rPr>
        <w:t>；三是</w:t>
      </w:r>
      <w:r>
        <w:rPr>
          <w:rFonts w:hint="eastAsia" w:ascii="仿宋_GB2312" w:hAnsi="仿宋_GB2312" w:eastAsia="仿宋_GB2312" w:cs="仿宋_GB2312"/>
          <w:color w:val="000000"/>
          <w:sz w:val="32"/>
          <w:szCs w:val="32"/>
          <w:highlight w:val="none"/>
        </w:rPr>
        <w:t>加大森林防火基础设施建设，完成防火基础能力提升两年行动年度建设任务</w:t>
      </w:r>
      <w:r>
        <w:rPr>
          <w:rFonts w:hint="eastAsia" w:ascii="仿宋_GB2312" w:hAnsi="仿宋_GB2312" w:eastAsia="仿宋_GB2312" w:cs="仿宋_GB2312"/>
          <w:color w:val="000000"/>
          <w:sz w:val="32"/>
          <w:szCs w:val="32"/>
          <w:highlight w:val="none"/>
          <w:lang w:eastAsia="zh-CN"/>
        </w:rPr>
        <w:t>；四是</w:t>
      </w:r>
      <w:r>
        <w:rPr>
          <w:rFonts w:hint="eastAsia" w:ascii="仿宋_GB2312" w:hAnsi="仿宋_GB2312" w:eastAsia="仿宋_GB2312" w:cs="仿宋_GB2312"/>
          <w:color w:val="000000"/>
          <w:sz w:val="32"/>
          <w:szCs w:val="32"/>
          <w:highlight w:val="none"/>
        </w:rPr>
        <w:t>森林火灾受害率控制在0.9‰以内，全年不发生重大及以上森林火灾</w:t>
      </w:r>
      <w:r>
        <w:rPr>
          <w:rFonts w:hint="eastAsia" w:ascii="仿宋_GB2312" w:hAnsi="仿宋_GB2312" w:eastAsia="仿宋_GB2312" w:cs="仿宋_GB2312"/>
          <w:color w:val="000000"/>
          <w:sz w:val="32"/>
          <w:szCs w:val="32"/>
          <w:highlight w:val="none"/>
          <w:lang w:eastAsia="zh-CN"/>
        </w:rPr>
        <w:t>；五是</w:t>
      </w:r>
      <w:r>
        <w:rPr>
          <w:rFonts w:hint="eastAsia" w:ascii="仿宋_GB2312" w:hAnsi="仿宋_GB2312" w:eastAsia="仿宋_GB2312" w:cs="仿宋_GB2312"/>
          <w:color w:val="000000"/>
          <w:sz w:val="32"/>
          <w:szCs w:val="32"/>
          <w:highlight w:val="none"/>
        </w:rPr>
        <w:t>林业有害生物成灾率控制在23.62‰以内</w:t>
      </w:r>
      <w:r>
        <w:rPr>
          <w:rFonts w:hint="eastAsia" w:ascii="仿宋_GB2312" w:hAnsi="仿宋_GB2312" w:eastAsia="仿宋_GB2312" w:cs="仿宋_GB2312"/>
          <w:color w:val="000000"/>
          <w:sz w:val="32"/>
          <w:szCs w:val="32"/>
          <w:highlight w:val="none"/>
          <w:lang w:eastAsia="zh-CN"/>
        </w:rPr>
        <w:t>；六是</w:t>
      </w:r>
      <w:r>
        <w:rPr>
          <w:rFonts w:hint="eastAsia" w:ascii="仿宋_GB2312" w:hAnsi="仿宋_GB2312" w:eastAsia="仿宋_GB2312" w:cs="仿宋_GB2312"/>
          <w:color w:val="000000"/>
          <w:sz w:val="32"/>
          <w:szCs w:val="32"/>
          <w:highlight w:val="none"/>
        </w:rPr>
        <w:t>林业无公害防治率达到85%以上</w:t>
      </w:r>
      <w:r>
        <w:rPr>
          <w:rFonts w:hint="eastAsia" w:ascii="仿宋_GB2312" w:hAnsi="仿宋_GB2312" w:eastAsia="仿宋_GB2312" w:cs="仿宋_GB2312"/>
          <w:color w:val="000000"/>
          <w:sz w:val="32"/>
          <w:szCs w:val="32"/>
          <w:highlight w:val="none"/>
          <w:lang w:eastAsia="zh-CN"/>
        </w:rPr>
        <w:t>；七是</w:t>
      </w:r>
      <w:r>
        <w:rPr>
          <w:rFonts w:hint="eastAsia" w:ascii="仿宋_GB2312" w:hAnsi="仿宋_GB2312" w:eastAsia="仿宋_GB2312" w:cs="仿宋_GB2312"/>
          <w:color w:val="000000"/>
          <w:sz w:val="32"/>
          <w:szCs w:val="32"/>
          <w:highlight w:val="none"/>
        </w:rPr>
        <w:t>湿地保护率</w:t>
      </w:r>
      <w:r>
        <w:rPr>
          <w:rFonts w:hint="eastAsia" w:ascii="仿宋_GB2312" w:hAnsi="仿宋_GB2312" w:eastAsia="仿宋_GB2312" w:cs="仿宋_GB2312"/>
          <w:color w:val="000000"/>
          <w:sz w:val="32"/>
          <w:szCs w:val="32"/>
          <w:highlight w:val="none"/>
          <w:lang w:val="en-US" w:eastAsia="zh-CN"/>
        </w:rPr>
        <w:t>67.27</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；八是</w:t>
      </w:r>
      <w:r>
        <w:rPr>
          <w:rFonts w:hint="eastAsia" w:ascii="仿宋_GB2312" w:hAnsi="仿宋_GB2312" w:eastAsia="仿宋_GB2312" w:cs="仿宋_GB2312"/>
          <w:color w:val="000000"/>
          <w:sz w:val="32"/>
          <w:szCs w:val="32"/>
          <w:highlight w:val="none"/>
        </w:rPr>
        <w:t>持续开展自然保护地整合优化，按要求完成各类交办问题和目标任务</w:t>
      </w:r>
      <w:r>
        <w:rPr>
          <w:rFonts w:hint="eastAsia" w:ascii="仿宋_GB2312" w:hAnsi="仿宋_GB2312" w:eastAsia="仿宋_GB2312" w:cs="仿宋_GB2312"/>
          <w:sz w:val="32"/>
          <w:szCs w:val="32"/>
        </w:rPr>
        <w:t>。发现的主要问题及原因：</w:t>
      </w:r>
      <w:r>
        <w:rPr>
          <w:rFonts w:hint="eastAsia" w:ascii="仿宋_GB2312" w:hAnsi="仿宋_GB2312" w:eastAsia="仿宋_GB2312" w:cs="仿宋_GB2312"/>
          <w:b w:val="0"/>
          <w:bCs w:val="0"/>
          <w:sz w:val="32"/>
          <w:szCs w:val="32"/>
        </w:rPr>
        <w:t>一是</w:t>
      </w:r>
      <w:r>
        <w:rPr>
          <w:rFonts w:hint="eastAsia" w:ascii="仿宋_GB2312" w:hAnsi="仿宋_GB2312" w:eastAsia="仿宋_GB2312" w:cs="仿宋_GB2312"/>
          <w:b w:val="0"/>
          <w:bCs w:val="0"/>
          <w:color w:val="000000"/>
          <w:sz w:val="32"/>
          <w:szCs w:val="32"/>
        </w:rPr>
        <w:t>预算编制与预算执行有偏差。</w:t>
      </w:r>
      <w:r>
        <w:rPr>
          <w:rFonts w:hint="eastAsia" w:ascii="仿宋_GB2312" w:hAnsi="仿宋_GB2312" w:eastAsia="仿宋_GB2312" w:cs="仿宋_GB2312"/>
          <w:bCs/>
          <w:color w:val="000000"/>
          <w:kern w:val="2"/>
          <w:sz w:val="32"/>
          <w:szCs w:val="32"/>
          <w:lang w:val="en-US" w:eastAsia="zh-CN" w:bidi="ar-SA"/>
        </w:rPr>
        <w:t>因许多人员经费有政策支撑却没有经费预算，人员经费和工作经费缺口较大，导致预算编制与预算执行有差距</w:t>
      </w:r>
      <w:r>
        <w:rPr>
          <w:rFonts w:hint="eastAsia" w:ascii="仿宋_GB2312" w:hAnsi="仿宋_GB2312" w:eastAsia="仿宋_GB2312" w:cs="仿宋_GB2312"/>
          <w:sz w:val="32"/>
          <w:szCs w:val="32"/>
        </w:rPr>
        <w:t>；二是</w:t>
      </w:r>
      <w:r>
        <w:rPr>
          <w:rFonts w:hint="eastAsia" w:ascii="仿宋_GB2312" w:hAnsi="仿宋_GB2312" w:eastAsia="仿宋_GB2312" w:cs="仿宋_GB2312"/>
          <w:b w:val="0"/>
          <w:bCs/>
          <w:color w:val="000000"/>
          <w:sz w:val="32"/>
          <w:szCs w:val="32"/>
          <w:lang w:val="en-US" w:eastAsia="zh-CN"/>
        </w:rPr>
        <w:t>资产重购轻管现象仍然存在。</w:t>
      </w:r>
      <w:r>
        <w:rPr>
          <w:rFonts w:hint="eastAsia" w:ascii="仿宋_GB2312" w:hAnsi="仿宋_GB2312" w:eastAsia="仿宋_GB2312" w:cs="仿宋_GB2312"/>
          <w:b w:val="0"/>
          <w:bCs/>
          <w:color w:val="000000"/>
          <w:kern w:val="2"/>
          <w:sz w:val="32"/>
          <w:szCs w:val="32"/>
          <w:lang w:val="en-US" w:eastAsia="zh-CN" w:bidi="ar-SA"/>
        </w:rPr>
        <w:t>由于资产管理意识不够强，还个别存在重购置、轻管理现象，新增资产有未及时粘贴资产条码，人员调整或人员退休，存在未及时办理固定资产移交和变动手续等情况</w:t>
      </w:r>
      <w:r>
        <w:rPr>
          <w:rFonts w:hint="eastAsia" w:ascii="仿宋_GB2312" w:hAnsi="仿宋_GB2312" w:eastAsia="仿宋_GB2312" w:cs="仿宋_GB2312"/>
          <w:sz w:val="32"/>
          <w:szCs w:val="32"/>
        </w:rPr>
        <w:t>。下一步改进措施：一是</w:t>
      </w:r>
      <w:r>
        <w:rPr>
          <w:rFonts w:hint="eastAsia" w:ascii="仿宋_GB2312" w:hAnsi="仿宋_GB2312" w:eastAsia="仿宋_GB2312" w:cs="仿宋_GB2312"/>
          <w:b w:val="0"/>
          <w:bCs/>
          <w:color w:val="000000"/>
          <w:kern w:val="0"/>
          <w:sz w:val="32"/>
          <w:szCs w:val="32"/>
          <w:lang w:val="en-US" w:eastAsia="zh-CN" w:bidi="ar-SA"/>
        </w:rPr>
        <w:t>加强开源节流。</w:t>
      </w:r>
      <w:r>
        <w:rPr>
          <w:rFonts w:hint="eastAsia" w:ascii="仿宋_GB2312" w:hAnsi="仿宋_GB2312" w:eastAsia="仿宋_GB2312" w:cs="仿宋_GB2312"/>
          <w:b w:val="0"/>
          <w:bCs/>
          <w:color w:val="000000"/>
          <w:kern w:val="2"/>
          <w:sz w:val="32"/>
          <w:szCs w:val="32"/>
          <w:lang w:val="en-US" w:eastAsia="zh-CN" w:bidi="ar-SA"/>
        </w:rPr>
        <w:t>一方面积极向财政汇报，争取资金支持；一方面牢固树立“过紧日子”思想，厉行节约，严格支出管理</w:t>
      </w:r>
      <w:r>
        <w:rPr>
          <w:rFonts w:hint="eastAsia" w:ascii="仿宋_GB2312" w:hAnsi="仿宋_GB2312" w:eastAsia="仿宋_GB2312" w:cs="仿宋_GB2312"/>
          <w:sz w:val="32"/>
          <w:szCs w:val="32"/>
        </w:rPr>
        <w:t>；二是</w:t>
      </w:r>
      <w:r>
        <w:rPr>
          <w:rFonts w:hint="eastAsia" w:ascii="仿宋_GB2312" w:hAnsi="仿宋_GB2312" w:eastAsia="仿宋_GB2312" w:cs="仿宋_GB2312"/>
          <w:b w:val="0"/>
          <w:bCs/>
          <w:color w:val="000000"/>
          <w:kern w:val="0"/>
          <w:sz w:val="32"/>
          <w:szCs w:val="32"/>
          <w:lang w:val="en-US" w:eastAsia="zh-CN" w:bidi="ar-SA"/>
        </w:rPr>
        <w:t>加强实物资产管理人员培训。</w:t>
      </w:r>
      <w:r>
        <w:rPr>
          <w:rFonts w:hint="eastAsia" w:ascii="仿宋_GB2312" w:hAnsi="仿宋_GB2312" w:eastAsia="仿宋_GB2312" w:cs="仿宋_GB2312"/>
          <w:b w:val="0"/>
          <w:bCs/>
          <w:color w:val="000000"/>
          <w:kern w:val="2"/>
          <w:sz w:val="32"/>
          <w:szCs w:val="32"/>
          <w:lang w:val="en-US" w:eastAsia="zh-CN" w:bidi="ar-SA"/>
        </w:rPr>
        <w:t>加强实物资产管理人员培训，增强工作责任感，把资产制度、规定落到实处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东保局</w:t>
      </w:r>
      <w:r>
        <w:rPr>
          <w:rFonts w:hint="eastAsia" w:ascii="仿宋_GB2312" w:hAnsi="仿宋_GB2312" w:eastAsia="仿宋_GB2312" w:cs="仿宋_GB2312"/>
          <w:color w:val="auto"/>
          <w:kern w:val="0"/>
          <w:sz w:val="32"/>
          <w:szCs w:val="32"/>
          <w:highlight w:val="none"/>
          <w:lang w:val="en-US" w:eastAsia="zh-CN" w:bidi="ar-SA"/>
        </w:rPr>
        <w:t>绩效目标完成情况：一是联合市森林公安、农业农村、君山区、沿湖乡镇等职能部门开展保护候鸟、麋鹿等野生动物集中巡查巡护执法行动50余次，劝阻、制止、教育进入保护区重点水域垂钓人员1000余人次，救护鸟类20余只，收缴处置钓竿100余支，清理摩托车100余台、车辆50余台，放生处置各类渔获物300余公斤，联合查处非法捕捞案件4起、非法持枪狩猎案件1起；推进生态环境问题整改销号。完成了自然资源部、国家林草局、审计署等部门下发的257个涉保护区遥感监测点位线索的核查和上报工作，并督促相关职能部门立即整改；二是组织开展麋鹿调查监测4次，鸟类检测7次，湿地植被监测5次，编制调查报告近20份。设置动物调查固定样线5条，监测样点68个，进一步丰富保护区的监测数据；2024年3月，我局在全省“敏知万象”监测比赛中，获得省厅团队一等奖，个人一等奖一人、三等奖三人；与中科院、环科院、省林勘院合作完成了《2024 年度湖南东洞庭湖国际重要湿地生态监测报告》《三峡工程运行安全综合监测系统2024年度任务协议书》。三是洞庭湖区域长江岸线候鸟栖息地生态保护与修复工程、2022湿地保护与恢复项目，已全面完成建设任务。2023湿地保护修复项目中湿地修复工程已全部完工；宣教中心已完成招投标工作；2024湿地保护修复项目现依程序开展预算评审工作；</w:t>
      </w:r>
      <w:r>
        <w:rPr>
          <w:rFonts w:hint="eastAsia" w:ascii="仿宋_GB2312" w:hAnsi="仿宋_GB2312" w:eastAsia="仿宋_GB2312" w:cs="仿宋_GB2312"/>
          <w:b w:val="0"/>
          <w:bCs w:val="0"/>
          <w:color w:val="auto"/>
          <w:kern w:val="0"/>
          <w:sz w:val="32"/>
          <w:szCs w:val="32"/>
          <w:highlight w:val="none"/>
          <w:lang w:val="en-US" w:eastAsia="zh-CN" w:bidi="ar-SA"/>
        </w:rPr>
        <w:t>2024年申请两个项目储备入库，其中湿地生态效益补偿项目申请资金</w:t>
      </w:r>
      <w:r>
        <w:rPr>
          <w:rFonts w:hint="eastAsia" w:ascii="仿宋_GB2312" w:hAnsi="仿宋_GB2312" w:eastAsia="仿宋_GB2312" w:cs="仿宋_GB2312"/>
          <w:color w:val="auto"/>
          <w:kern w:val="0"/>
          <w:sz w:val="32"/>
          <w:szCs w:val="32"/>
          <w:highlight w:val="none"/>
          <w:lang w:val="en-US" w:eastAsia="zh-CN" w:bidi="ar-SA"/>
        </w:rPr>
        <w:t>450万元，2025湿地保护与恢复项目申请资金600万元；四是依托“世界湿地日”“世界野生动植物保护日”“爱鸟周”等重要时间节点，深入社区、学校等发放湿地保护、野生动物保护等宣传资料20000余份，悬挂宣传横幅60余条。新华社、湖南卫视、湖南日报等中央及省市媒体宣传保护区在湿地保护等亮点工作110次，其中中央媒体报道25次，省市媒体报道85次；12月28日至30日我们用“沙鸥翔集，锦鳞游泳”的生态画卷交上了硕果累累的“守护好一江碧水”的完美答卷，打造出了一场有声有色的文旅盛会,10余家中央、省市主流媒体对本届观鸟节进行全网宣发，全网阅读量超1000万。</w:t>
      </w:r>
      <w:r>
        <w:rPr>
          <w:rFonts w:hint="eastAsia" w:ascii="仿宋_GB2312" w:hAnsi="仿宋_GB2312" w:eastAsia="仿宋_GB2312" w:cs="仿宋_GB2312"/>
          <w:sz w:val="32"/>
          <w:szCs w:val="32"/>
          <w:lang w:eastAsia="zh-CN"/>
        </w:rPr>
        <w:t>发现的主要问题及原因分析</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因各种原因，部分项目建设进度</w:t>
      </w:r>
      <w:r>
        <w:rPr>
          <w:rFonts w:hint="eastAsia" w:ascii="仿宋_GB2312" w:hAnsi="仿宋_GB2312" w:eastAsia="仿宋_GB2312" w:cs="仿宋_GB2312"/>
          <w:color w:val="auto"/>
          <w:sz w:val="32"/>
          <w:szCs w:val="32"/>
          <w:lang w:val="en-US" w:eastAsia="zh-CN"/>
        </w:rPr>
        <w:t>缓慢，资金支付率不高。</w:t>
      </w:r>
      <w:r>
        <w:rPr>
          <w:rFonts w:hint="eastAsia" w:ascii="仿宋_GB2312" w:hAnsi="仿宋_GB2312" w:eastAsia="仿宋_GB2312" w:cs="仿宋_GB2312"/>
          <w:sz w:val="32"/>
          <w:szCs w:val="32"/>
        </w:rPr>
        <w:t>下一步改进措施：</w:t>
      </w:r>
      <w:r>
        <w:rPr>
          <w:rFonts w:hint="eastAsia" w:ascii="仿宋_GB2312" w:hAnsi="仿宋_GB2312" w:eastAsia="仿宋_GB2312" w:cs="仿宋_GB2312"/>
          <w:b w:val="0"/>
          <w:bCs w:val="0"/>
          <w:color w:val="auto"/>
          <w:kern w:val="0"/>
          <w:sz w:val="32"/>
          <w:szCs w:val="32"/>
          <w:lang w:val="en-US" w:eastAsia="zh-CN" w:bidi="ar-SA"/>
        </w:rPr>
        <w:t>一是</w:t>
      </w:r>
      <w:r>
        <w:rPr>
          <w:rFonts w:hint="eastAsia" w:ascii="仿宋_GB2312" w:hAnsi="仿宋_GB2312" w:eastAsia="仿宋_GB2312" w:cs="仿宋_GB2312"/>
          <w:color w:val="auto"/>
          <w:sz w:val="32"/>
          <w:szCs w:val="32"/>
          <w:lang w:val="en-US" w:eastAsia="zh-CN"/>
        </w:rPr>
        <w:t>抓住有利时</w:t>
      </w:r>
      <w:r>
        <w:rPr>
          <w:rFonts w:hint="eastAsia" w:ascii="仿宋_GB2312" w:hAnsi="仿宋_GB2312" w:eastAsia="仿宋_GB2312" w:cs="仿宋_GB2312"/>
          <w:sz w:val="32"/>
          <w:szCs w:val="32"/>
          <w:lang w:val="en-US" w:eastAsia="zh-CN"/>
        </w:rPr>
        <w:t>机推进部分项目建设进度，确保项目如质如期完成；二是建议相关项目（如生态修复）制定统一的验收标准</w:t>
      </w:r>
      <w:r>
        <w:rPr>
          <w:rFonts w:hint="eastAsia" w:ascii="仿宋_GB2312" w:hAnsi="仿宋_GB2312" w:eastAsia="仿宋_GB2312" w:cs="仿宋_GB2312"/>
          <w:sz w:val="32"/>
          <w:szCs w:val="32"/>
          <w:lang w:eastAsia="zh-CN"/>
        </w:rPr>
        <w:t>。市林科所</w:t>
      </w:r>
      <w:r>
        <w:rPr>
          <w:rFonts w:hint="eastAsia" w:ascii="仿宋_GB2312" w:hAnsi="仿宋_GB2312" w:eastAsia="仿宋_GB2312" w:cs="仿宋_GB2312"/>
          <w:sz w:val="32"/>
          <w:szCs w:val="32"/>
        </w:rPr>
        <w:t>绩效目标完成情况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一是</w:t>
      </w:r>
      <w:r>
        <w:rPr>
          <w:rFonts w:hint="eastAsia" w:ascii="仿宋_GB2312" w:hAnsi="仿宋_GB2312" w:eastAsia="仿宋_GB2312" w:cs="仿宋_GB2312"/>
          <w:sz w:val="32"/>
          <w:szCs w:val="32"/>
          <w:lang w:val="en-US" w:eastAsia="zh-CN"/>
        </w:rPr>
        <w:t>取得了</w:t>
      </w:r>
      <w:r>
        <w:rPr>
          <w:rFonts w:hint="eastAsia" w:ascii="仿宋_GB2312" w:hAnsi="仿宋_GB2312" w:eastAsia="仿宋_GB2312" w:cs="仿宋_GB2312"/>
          <w:sz w:val="32"/>
          <w:szCs w:val="32"/>
        </w:rPr>
        <w:t>科研成果与项目进展；二是</w:t>
      </w:r>
      <w:r>
        <w:rPr>
          <w:rFonts w:hint="eastAsia" w:ascii="仿宋_GB2312" w:hAnsi="仿宋_GB2312" w:eastAsia="仿宋_GB2312" w:cs="仿宋_GB2312"/>
          <w:sz w:val="32"/>
          <w:szCs w:val="32"/>
          <w:lang w:val="en-US" w:eastAsia="zh-CN"/>
        </w:rPr>
        <w:t>做了</w:t>
      </w:r>
      <w:r>
        <w:rPr>
          <w:rFonts w:hint="eastAsia" w:ascii="仿宋_GB2312" w:hAnsi="仿宋_GB2312" w:eastAsia="仿宋_GB2312" w:cs="仿宋_GB2312"/>
          <w:sz w:val="32"/>
          <w:szCs w:val="32"/>
        </w:rPr>
        <w:t>科普与服务工作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三是进行了基地建设与园区管理；四是做好了义务植树与社会服务工作</w:t>
      </w:r>
      <w:r>
        <w:rPr>
          <w:rFonts w:hint="eastAsia" w:ascii="仿宋_GB2312" w:hAnsi="仿宋_GB2312" w:eastAsia="仿宋_GB2312" w:cs="仿宋_GB2312"/>
          <w:sz w:val="32"/>
          <w:szCs w:val="32"/>
          <w:lang w:eastAsia="zh-CN"/>
        </w:rPr>
        <w:t>。发现的主要问题及原因分析</w:t>
      </w:r>
      <w:r>
        <w:rPr>
          <w:rFonts w:hint="eastAsia" w:ascii="仿宋_GB2312" w:hAnsi="仿宋_GB2312" w:eastAsia="仿宋_GB2312" w:cs="仿宋_GB2312"/>
          <w:sz w:val="32"/>
          <w:szCs w:val="32"/>
        </w:rPr>
        <w:t>：一是预算编制与实际支出差异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单位在制定预算时按年度工作计划设定了目标，但实际支付过程中出现未预见的刚性支出，需要通过压缩其他支出来弥补，导致预算标准与实际支出存在差距；二是预算执行不严格</w:t>
      </w:r>
      <w:r>
        <w:rPr>
          <w:rFonts w:hint="eastAsia" w:ascii="仿宋_GB2312" w:hAnsi="仿宋_GB2312" w:eastAsia="仿宋_GB2312" w:cs="仿宋_GB2312"/>
          <w:sz w:val="32"/>
          <w:szCs w:val="32"/>
          <w:lang w:eastAsia="zh-CN"/>
        </w:rPr>
        <w:t>，在执行过程中，部分支出超过了原定预算限额，未能严格按照预算指标进行控制。</w:t>
      </w:r>
      <w:r>
        <w:rPr>
          <w:rFonts w:hint="eastAsia" w:ascii="仿宋_GB2312" w:hAnsi="仿宋_GB2312" w:eastAsia="仿宋_GB2312" w:cs="仿宋_GB2312"/>
          <w:sz w:val="32"/>
          <w:szCs w:val="32"/>
        </w:rPr>
        <w:t>下一步改进措施：一是加强预算管理与执行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通过学习相关法律法规、完善支出标准并分析执行情况，提升部门在预算管理和资金使用上的精确度；二是规范财务处理与信息披露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严格执行会计制度，确保财务数据准确透明，同时加强三公经费管控和审批管理，实现预算与决算有效衔接。</w:t>
      </w:r>
    </w:p>
    <w:p>
      <w:pPr>
        <w:keepNext w:val="0"/>
        <w:keepLines w:val="0"/>
        <w:pageBreakBefore w:val="0"/>
        <w:widowControl w:val="0"/>
        <w:kinsoku/>
        <w:wordWrap/>
        <w:overflowPunct w:val="0"/>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b/>
          <w:bCs/>
          <w:kern w:val="0"/>
          <w:sz w:val="32"/>
          <w:szCs w:val="32"/>
        </w:rPr>
        <w:t>部门评价结果。</w:t>
      </w:r>
      <w:r>
        <w:rPr>
          <w:rFonts w:hint="eastAsia" w:ascii="仿宋_GB2312" w:hAnsi="仿宋_GB2312" w:eastAsia="仿宋_GB2312" w:cs="仿宋_GB2312"/>
          <w:color w:val="000000" w:themeColor="text1"/>
          <w:sz w:val="32"/>
          <w:szCs w:val="32"/>
          <w:lang w:eastAsia="zh-CN"/>
          <w14:textFill>
            <w14:solidFill>
              <w14:schemeClr w14:val="tx1"/>
            </w14:solidFill>
          </w14:textFill>
        </w:rPr>
        <w:t>森林防火</w:t>
      </w:r>
      <w:r>
        <w:rPr>
          <w:rFonts w:hint="eastAsia" w:ascii="仿宋_GB2312" w:hAnsi="仿宋_GB2312" w:eastAsia="仿宋_GB2312" w:cs="仿宋_GB2312"/>
          <w:color w:val="000000" w:themeColor="text1"/>
          <w:sz w:val="32"/>
          <w:szCs w:val="32"/>
          <w14:textFill>
            <w14:solidFill>
              <w14:schemeClr w14:val="tx1"/>
            </w14:solidFill>
          </w14:textFill>
        </w:rPr>
        <w:t>项目全年预算数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65.6</w:t>
      </w:r>
      <w:r>
        <w:rPr>
          <w:rFonts w:hint="eastAsia" w:ascii="仿宋_GB2312" w:hAnsi="仿宋_GB2312" w:eastAsia="仿宋_GB2312" w:cs="仿宋_GB2312"/>
          <w:color w:val="000000" w:themeColor="text1"/>
          <w:sz w:val="32"/>
          <w:szCs w:val="32"/>
          <w14:textFill>
            <w14:solidFill>
              <w14:schemeClr w14:val="tx1"/>
            </w14:solidFill>
          </w14:textFill>
        </w:rPr>
        <w:t>万元，执行数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65.33</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99.59</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部门评价得分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98.96</w:t>
      </w:r>
      <w:r>
        <w:rPr>
          <w:rFonts w:hint="eastAsia" w:ascii="仿宋_GB2312" w:hAnsi="仿宋_GB2312" w:eastAsia="仿宋_GB2312" w:cs="仿宋_GB2312"/>
          <w:color w:val="000000" w:themeColor="text1"/>
          <w:sz w:val="32"/>
          <w:szCs w:val="32"/>
          <w14:textFill>
            <w14:solidFill>
              <w14:schemeClr w14:val="tx1"/>
            </w14:solidFill>
          </w14:textFill>
        </w:rPr>
        <w:t>分，评价等级为“</w:t>
      </w:r>
      <w:r>
        <w:rPr>
          <w:rFonts w:hint="eastAsia" w:ascii="仿宋_GB2312" w:hAnsi="仿宋_GB2312" w:eastAsia="仿宋_GB2312" w:cs="仿宋_GB2312"/>
          <w:color w:val="000000" w:themeColor="text1"/>
          <w:sz w:val="32"/>
          <w:szCs w:val="32"/>
          <w:lang w:eastAsia="zh-CN"/>
          <w14:textFill>
            <w14:solidFill>
              <w14:schemeClr w14:val="tx1"/>
            </w14:solidFill>
          </w14:textFill>
        </w:rPr>
        <w:t>优秀</w:t>
      </w:r>
      <w:r>
        <w:rPr>
          <w:rFonts w:hint="eastAsia" w:ascii="仿宋_GB2312" w:hAnsi="仿宋_GB2312" w:eastAsia="仿宋_GB2312" w:cs="仿宋_GB2312"/>
          <w:color w:val="000000" w:themeColor="text1"/>
          <w:sz w:val="32"/>
          <w:szCs w:val="32"/>
          <w14:textFill>
            <w14:solidFill>
              <w14:schemeClr w14:val="tx1"/>
            </w14:solidFill>
          </w14:textFill>
        </w:rPr>
        <w:t>”。发现的主要问题及原因：</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项目开展要严格按年初项目绩效目标申报表进行</w:t>
      </w:r>
      <w:r>
        <w:rPr>
          <w:rFonts w:hint="eastAsia" w:ascii="仿宋_GB2312" w:hAnsi="仿宋_GB2312" w:eastAsia="仿宋_GB2312" w:cs="仿宋_GB2312"/>
          <w:color w:val="000000" w:themeColor="text1"/>
          <w:sz w:val="32"/>
          <w:szCs w:val="32"/>
          <w14:textFill>
            <w14:solidFill>
              <w14:schemeClr w14:val="tx1"/>
            </w14:solidFill>
          </w14:textFill>
        </w:rPr>
        <w:t>。下一步改进措施：</w:t>
      </w:r>
      <w:r>
        <w:rPr>
          <w:rFonts w:hint="eastAsia" w:ascii="仿宋_GB2312" w:hAnsi="仿宋_GB2312" w:eastAsia="仿宋_GB2312" w:cs="仿宋_GB2312"/>
          <w:color w:val="000000" w:themeColor="text1"/>
          <w:sz w:val="32"/>
          <w:szCs w:val="32"/>
          <w:lang w:eastAsia="zh-CN"/>
          <w14:textFill>
            <w14:solidFill>
              <w14:schemeClr w14:val="tx1"/>
            </w14:solidFill>
          </w14:textFill>
        </w:rPr>
        <w:t>更好的对照年初项目绩效目标申报表完成项目应达到实施效果</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森林城市创建（国家森林城市创建工作经费和植树造林和长江经济带优先绿色发展工作经费）</w:t>
      </w:r>
      <w:r>
        <w:rPr>
          <w:rFonts w:hint="eastAsia" w:ascii="仿宋_GB2312" w:hAnsi="仿宋_GB2312" w:eastAsia="仿宋_GB2312" w:cs="仿宋_GB2312"/>
          <w:color w:val="000000" w:themeColor="text1"/>
          <w:sz w:val="32"/>
          <w:szCs w:val="32"/>
          <w14:textFill>
            <w14:solidFill>
              <w14:schemeClr w14:val="tx1"/>
            </w14:solidFill>
          </w14:textFill>
        </w:rPr>
        <w:t>项目全年预算数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8.5</w:t>
      </w:r>
      <w:r>
        <w:rPr>
          <w:rFonts w:hint="eastAsia" w:ascii="仿宋_GB2312" w:hAnsi="仿宋_GB2312" w:eastAsia="仿宋_GB2312" w:cs="仿宋_GB2312"/>
          <w:color w:val="000000" w:themeColor="text1"/>
          <w:sz w:val="32"/>
          <w:szCs w:val="32"/>
          <w14:textFill>
            <w14:solidFill>
              <w14:schemeClr w14:val="tx1"/>
            </w14:solidFill>
          </w14:textFill>
        </w:rPr>
        <w:t>万元，执行数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8.5</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部门评价得分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z w:val="32"/>
          <w:szCs w:val="32"/>
          <w14:textFill>
            <w14:solidFill>
              <w14:schemeClr w14:val="tx1"/>
            </w14:solidFill>
          </w14:textFill>
        </w:rPr>
        <w:t>分，评价等级为“</w:t>
      </w:r>
      <w:r>
        <w:rPr>
          <w:rFonts w:hint="eastAsia" w:ascii="仿宋_GB2312" w:hAnsi="仿宋_GB2312" w:eastAsia="仿宋_GB2312" w:cs="仿宋_GB2312"/>
          <w:color w:val="000000" w:themeColor="text1"/>
          <w:sz w:val="32"/>
          <w:szCs w:val="32"/>
          <w:lang w:eastAsia="zh-CN"/>
          <w14:textFill>
            <w14:solidFill>
              <w14:schemeClr w14:val="tx1"/>
            </w14:solidFill>
          </w14:textFill>
        </w:rPr>
        <w:t>优秀</w:t>
      </w:r>
      <w:r>
        <w:rPr>
          <w:rFonts w:hint="eastAsia" w:ascii="仿宋_GB2312" w:hAnsi="仿宋_GB2312" w:eastAsia="仿宋_GB2312" w:cs="仿宋_GB2312"/>
          <w:color w:val="000000" w:themeColor="text1"/>
          <w:sz w:val="32"/>
          <w:szCs w:val="32"/>
          <w14:textFill>
            <w14:solidFill>
              <w14:schemeClr w14:val="tx1"/>
            </w14:solidFill>
          </w14:textFill>
        </w:rPr>
        <w:t>”。发现的主要问题及原因：</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项目资金使用要求要更高</w:t>
      </w:r>
      <w:r>
        <w:rPr>
          <w:rFonts w:hint="eastAsia" w:ascii="仿宋_GB2312" w:hAnsi="仿宋_GB2312" w:eastAsia="仿宋_GB2312" w:cs="仿宋_GB2312"/>
          <w:color w:val="000000" w:themeColor="text1"/>
          <w:sz w:val="32"/>
          <w:szCs w:val="32"/>
          <w14:textFill>
            <w14:solidFill>
              <w14:schemeClr w14:val="tx1"/>
            </w14:solidFill>
          </w14:textFill>
        </w:rPr>
        <w:t>。下一步改进措施：</w:t>
      </w:r>
      <w:r>
        <w:rPr>
          <w:rFonts w:hint="eastAsia" w:ascii="仿宋_GB2312" w:hAnsi="仿宋_GB2312" w:eastAsia="仿宋_GB2312" w:cs="仿宋_GB2312"/>
          <w:color w:val="000000" w:themeColor="text1"/>
          <w:sz w:val="32"/>
          <w:szCs w:val="32"/>
          <w:lang w:eastAsia="zh-CN"/>
          <w14:textFill>
            <w14:solidFill>
              <w14:schemeClr w14:val="tx1"/>
            </w14:solidFill>
          </w14:textFill>
        </w:rPr>
        <w:t>以更高的标准和要求来规范项目资金的使用</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vertAlign w:val="baseline"/>
          <w:lang w:val="en-US" w:eastAsia="zh-CN"/>
          <w14:textFill>
            <w14:solidFill>
              <w14:schemeClr w14:val="tx1"/>
            </w14:solidFill>
          </w14:textFill>
        </w:rPr>
        <w:t>森林资源管护（林业行政执法经费）</w:t>
      </w:r>
      <w:r>
        <w:rPr>
          <w:rFonts w:hint="eastAsia" w:ascii="仿宋_GB2312" w:hAnsi="仿宋_GB2312" w:eastAsia="仿宋_GB2312" w:cs="仿宋_GB2312"/>
          <w:color w:val="000000" w:themeColor="text1"/>
          <w:sz w:val="32"/>
          <w:szCs w:val="32"/>
          <w14:textFill>
            <w14:solidFill>
              <w14:schemeClr w14:val="tx1"/>
            </w14:solidFill>
          </w14:textFill>
        </w:rPr>
        <w:t>项目全年预算数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万元，执行数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6.43</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91.86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部门评价得分</w:t>
      </w:r>
      <w:r>
        <w:rPr>
          <w:rFonts w:hint="eastAsia" w:ascii="仿宋_GB2312" w:hAnsi="仿宋_GB2312" w:eastAsia="仿宋_GB2312" w:cs="仿宋_GB2312"/>
          <w:color w:val="000000"/>
          <w:sz w:val="32"/>
          <w:szCs w:val="32"/>
          <w:highlight w:val="none"/>
          <w:lang w:val="en-US" w:eastAsia="zh-CN"/>
        </w:rPr>
        <w:t>98.19</w:t>
      </w:r>
      <w:r>
        <w:rPr>
          <w:rFonts w:hint="eastAsia" w:ascii="仿宋_GB2312" w:hAnsi="仿宋_GB2312" w:eastAsia="仿宋_GB2312" w:cs="仿宋_GB2312"/>
          <w:color w:val="000000" w:themeColor="text1"/>
          <w:sz w:val="32"/>
          <w:szCs w:val="32"/>
          <w14:textFill>
            <w14:solidFill>
              <w14:schemeClr w14:val="tx1"/>
            </w14:solidFill>
          </w14:textFill>
        </w:rPr>
        <w:t>分，评价等级为“</w:t>
      </w:r>
      <w:r>
        <w:rPr>
          <w:rFonts w:hint="eastAsia" w:ascii="仿宋_GB2312" w:hAnsi="仿宋_GB2312" w:eastAsia="仿宋_GB2312" w:cs="仿宋_GB2312"/>
          <w:color w:val="000000" w:themeColor="text1"/>
          <w:sz w:val="32"/>
          <w:szCs w:val="32"/>
          <w:lang w:eastAsia="zh-CN"/>
          <w14:textFill>
            <w14:solidFill>
              <w14:schemeClr w14:val="tx1"/>
            </w14:solidFill>
          </w14:textFill>
        </w:rPr>
        <w:t>优秀</w:t>
      </w:r>
      <w:r>
        <w:rPr>
          <w:rFonts w:hint="eastAsia" w:ascii="仿宋_GB2312" w:hAnsi="仿宋_GB2312" w:eastAsia="仿宋_GB2312" w:cs="仿宋_GB2312"/>
          <w:color w:val="000000" w:themeColor="text1"/>
          <w:sz w:val="32"/>
          <w:szCs w:val="32"/>
          <w14:textFill>
            <w14:solidFill>
              <w14:schemeClr w14:val="tx1"/>
            </w14:solidFill>
          </w14:textFill>
        </w:rPr>
        <w:t>”。发现的主要问题及原因：</w:t>
      </w:r>
      <w:r>
        <w:rPr>
          <w:rFonts w:hint="eastAsia" w:ascii="仿宋_GB2312" w:hAnsi="仿宋_GB2312" w:eastAsia="仿宋_GB2312" w:cs="仿宋_GB2312"/>
          <w:color w:val="000000" w:themeColor="text1"/>
          <w:sz w:val="32"/>
          <w:szCs w:val="32"/>
          <w:lang w:eastAsia="zh-CN"/>
          <w14:textFill>
            <w14:solidFill>
              <w14:schemeClr w14:val="tx1"/>
            </w14:solidFill>
          </w14:textFill>
        </w:rPr>
        <w:t>项目资金未支付完成</w:t>
      </w:r>
      <w:r>
        <w:rPr>
          <w:rFonts w:hint="eastAsia" w:ascii="仿宋_GB2312" w:hAnsi="仿宋_GB2312" w:eastAsia="仿宋_GB2312" w:cs="仿宋_GB2312"/>
          <w:color w:val="000000" w:themeColor="text1"/>
          <w:sz w:val="32"/>
          <w:szCs w:val="32"/>
          <w14:textFill>
            <w14:solidFill>
              <w14:schemeClr w14:val="tx1"/>
            </w14:solidFill>
          </w14:textFill>
        </w:rPr>
        <w:t>。下一步改进措施：</w:t>
      </w:r>
      <w:r>
        <w:rPr>
          <w:rFonts w:hint="eastAsia" w:ascii="仿宋_GB2312" w:hAnsi="仿宋_GB2312" w:eastAsia="仿宋_GB2312" w:cs="仿宋_GB2312"/>
          <w:color w:val="000000" w:themeColor="text1"/>
          <w:sz w:val="32"/>
          <w:szCs w:val="32"/>
          <w:lang w:eastAsia="zh-CN"/>
          <w14:textFill>
            <w14:solidFill>
              <w14:schemeClr w14:val="tx1"/>
            </w14:solidFill>
          </w14:textFill>
        </w:rPr>
        <w:t>加快项目资金拨付进度，争取下一年度项目支付率尽快达到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val="0"/>
        <w:topLinePunct w:val="0"/>
        <w:bidi w:val="0"/>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b/>
          <w:bCs/>
          <w:kern w:val="0"/>
          <w:sz w:val="32"/>
          <w:szCs w:val="32"/>
          <w:highlight w:val="none"/>
          <w:lang w:val="en-US" w:eastAsia="zh-CN"/>
        </w:rPr>
        <w:t>事</w:t>
      </w:r>
      <w:r>
        <w:rPr>
          <w:rFonts w:hint="eastAsia" w:ascii="仿宋_GB2312" w:hAnsi="仿宋_GB2312" w:eastAsia="仿宋_GB2312" w:cs="仿宋_GB2312"/>
          <w:b/>
          <w:bCs/>
          <w:kern w:val="0"/>
          <w:sz w:val="32"/>
          <w:szCs w:val="32"/>
          <w:highlight w:val="none"/>
        </w:rPr>
        <w:t>前绩效评估结果。</w:t>
      </w:r>
      <w:r>
        <w:rPr>
          <w:rFonts w:hint="eastAsia" w:ascii="仿宋_GB2312" w:hAnsi="仿宋_GB2312" w:eastAsia="仿宋_GB2312" w:cs="仿宋_GB2312"/>
          <w:color w:val="auto"/>
          <w:kern w:val="0"/>
          <w:sz w:val="32"/>
          <w:szCs w:val="32"/>
          <w:lang w:val="en-US" w:eastAsia="zh-CN"/>
        </w:rPr>
        <w:t>本单位及所属单位本年度未开展事前绩效评估，所以无事前绩效评估结果。</w:t>
      </w:r>
    </w:p>
    <w:p>
      <w:pPr>
        <w:numPr>
          <w:ilvl w:val="0"/>
          <w:numId w:val="1"/>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强化重点任务保障。围绕部门核心职能与年度重点工作，合理安排预算，确保关键任务资金需求</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8"/>
        <w:jc w:val="both"/>
        <w:rPr>
          <w:rFonts w:hint="eastAsia" w:ascii="方正小标宋_GBK" w:hAnsi="方正小标宋_GBK" w:eastAsia="方正小标宋_GBK" w:cs="方正小标宋_GBK"/>
          <w:sz w:val="24"/>
          <w:szCs w:val="24"/>
        </w:rPr>
      </w:pPr>
    </w:p>
    <w:p>
      <w:pPr>
        <w:pStyle w:val="18"/>
        <w:jc w:val="both"/>
        <w:rPr>
          <w:rFonts w:hint="eastAsia" w:ascii="方正小标宋_GBK" w:hAnsi="方正小标宋_GBK" w:eastAsia="方正小标宋_GBK" w:cs="方正小标宋_GBK"/>
          <w:sz w:val="72"/>
          <w:szCs w:val="72"/>
          <w:lang w:val="en-US" w:eastAsia="zh-CN"/>
        </w:rPr>
      </w:pPr>
    </w:p>
    <w:p>
      <w:pPr>
        <w:pStyle w:val="18"/>
        <w:jc w:val="both"/>
        <w:rPr>
          <w:rFonts w:hint="eastAsia" w:ascii="方正小标宋_GBK" w:hAnsi="方正小标宋_GBK" w:eastAsia="方正小标宋_GBK" w:cs="方正小标宋_GBK"/>
          <w:sz w:val="72"/>
          <w:szCs w:val="72"/>
          <w:lang w:val="en-US" w:eastAsia="zh-CN"/>
        </w:rPr>
      </w:pPr>
    </w:p>
    <w:p>
      <w:pPr>
        <w:pStyle w:val="18"/>
        <w:jc w:val="both"/>
        <w:rPr>
          <w:rFonts w:hint="eastAsia" w:ascii="方正小标宋_GBK" w:hAnsi="方正小标宋_GBK" w:eastAsia="方正小标宋_GBK" w:cs="方正小标宋_GBK"/>
          <w:sz w:val="72"/>
          <w:szCs w:val="72"/>
          <w:lang w:val="en-US" w:eastAsia="zh-CN"/>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8"/>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jc w:val="left"/>
        <w:rPr>
          <w:rFonts w:hint="eastAsia" w:ascii="仿宋_GB2312" w:hAnsi="仿宋_GB2312" w:eastAsia="仿宋_GB2312" w:cs="仿宋_GB2312"/>
          <w:color w:val="000000"/>
          <w:kern w:val="0"/>
          <w:sz w:val="32"/>
          <w:szCs w:val="32"/>
        </w:rPr>
      </w:pPr>
    </w:p>
    <w:p>
      <w:pPr>
        <w:pStyle w:val="2"/>
        <w:rPr>
          <w:rFonts w:hint="eastAsia" w:ascii="仿宋_GB2312" w:hAnsi="仿宋_GB2312" w:eastAsia="仿宋_GB2312" w:cs="仿宋_GB2312"/>
          <w:color w:val="000000"/>
          <w:kern w:val="0"/>
          <w:sz w:val="32"/>
          <w:szCs w:val="32"/>
        </w:rPr>
      </w:pPr>
    </w:p>
    <w:p>
      <w:pPr>
        <w:pStyle w:val="3"/>
        <w:rPr>
          <w:rFonts w:hint="eastAsia" w:ascii="仿宋_GB2312" w:hAnsi="仿宋_GB2312" w:eastAsia="仿宋_GB2312" w:cs="仿宋_GB2312"/>
          <w:color w:val="000000"/>
          <w:kern w:val="0"/>
          <w:sz w:val="32"/>
          <w:szCs w:val="32"/>
        </w:rPr>
      </w:pPr>
    </w:p>
    <w:p>
      <w:pPr>
        <w:rPr>
          <w:rFonts w:hint="eastAsia" w:ascii="仿宋_GB2312" w:hAnsi="仿宋_GB2312" w:eastAsia="仿宋_GB2312" w:cs="仿宋_GB2312"/>
          <w:color w:val="000000"/>
          <w:kern w:val="0"/>
          <w:sz w:val="32"/>
          <w:szCs w:val="32"/>
        </w:rPr>
      </w:pPr>
    </w:p>
    <w:p>
      <w:pPr>
        <w:pStyle w:val="2"/>
        <w:rPr>
          <w:rFonts w:hint="eastAsia" w:ascii="仿宋_GB2312" w:hAnsi="仿宋_GB2312" w:eastAsia="仿宋_GB2312" w:cs="仿宋_GB2312"/>
          <w:color w:val="000000"/>
          <w:kern w:val="0"/>
          <w:sz w:val="32"/>
          <w:szCs w:val="32"/>
        </w:rPr>
      </w:pPr>
    </w:p>
    <w:p>
      <w:pPr>
        <w:pStyle w:val="3"/>
        <w:rPr>
          <w:rFonts w:hint="eastAsia" w:ascii="仿宋_GB2312" w:hAnsi="仿宋_GB2312" w:eastAsia="仿宋_GB2312" w:cs="仿宋_GB2312"/>
          <w:color w:val="000000"/>
          <w:kern w:val="0"/>
          <w:sz w:val="32"/>
          <w:szCs w:val="32"/>
        </w:rPr>
      </w:pPr>
    </w:p>
    <w:p>
      <w:pPr>
        <w:rPr>
          <w:rFonts w:hint="eastAsia" w:ascii="仿宋_GB2312" w:hAnsi="仿宋_GB2312" w:eastAsia="仿宋_GB2312" w:cs="仿宋_GB2312"/>
          <w:color w:val="000000"/>
          <w:kern w:val="0"/>
          <w:sz w:val="32"/>
          <w:szCs w:val="32"/>
        </w:rPr>
      </w:pPr>
    </w:p>
    <w:p>
      <w:pPr>
        <w:pStyle w:val="2"/>
        <w:rPr>
          <w:rFonts w:hint="eastAsia" w:ascii="仿宋_GB2312" w:hAnsi="仿宋_GB2312" w:eastAsia="仿宋_GB2312" w:cs="仿宋_GB2312"/>
          <w:color w:val="000000"/>
          <w:kern w:val="0"/>
          <w:sz w:val="32"/>
          <w:szCs w:val="32"/>
        </w:rPr>
      </w:pPr>
    </w:p>
    <w:p>
      <w:pPr>
        <w:pStyle w:val="3"/>
        <w:rPr>
          <w:rFonts w:hint="eastAsia" w:ascii="仿宋_GB2312" w:hAnsi="仿宋_GB2312" w:eastAsia="仿宋_GB2312" w:cs="仿宋_GB2312"/>
          <w:color w:val="000000"/>
          <w:kern w:val="0"/>
          <w:sz w:val="32"/>
          <w:szCs w:val="32"/>
        </w:rPr>
      </w:pPr>
    </w:p>
    <w:p>
      <w:pPr>
        <w:rPr>
          <w:rFonts w:hint="eastAsia" w:ascii="仿宋_GB2312" w:hAnsi="仿宋_GB2312" w:eastAsia="仿宋_GB2312" w:cs="仿宋_GB2312"/>
          <w:color w:val="000000"/>
          <w:kern w:val="0"/>
          <w:sz w:val="32"/>
          <w:szCs w:val="32"/>
        </w:rPr>
      </w:pPr>
    </w:p>
    <w:p>
      <w:pPr>
        <w:pStyle w:val="2"/>
        <w:rPr>
          <w:rFonts w:hint="eastAsia" w:ascii="仿宋_GB2312" w:hAnsi="仿宋_GB2312" w:eastAsia="仿宋_GB2312" w:cs="仿宋_GB2312"/>
          <w:color w:val="000000"/>
          <w:kern w:val="0"/>
          <w:sz w:val="32"/>
          <w:szCs w:val="32"/>
        </w:rPr>
      </w:pPr>
    </w:p>
    <w:p>
      <w:pPr>
        <w:pStyle w:val="3"/>
        <w:rPr>
          <w:rFonts w:hint="eastAsia" w:ascii="仿宋_GB2312" w:hAnsi="仿宋_GB2312" w:eastAsia="仿宋_GB2312" w:cs="仿宋_GB2312"/>
          <w:color w:val="000000"/>
          <w:kern w:val="0"/>
          <w:sz w:val="32"/>
          <w:szCs w:val="32"/>
        </w:rPr>
      </w:pPr>
    </w:p>
    <w:p>
      <w:pPr>
        <w:pStyle w:val="3"/>
        <w:ind w:left="0" w:leftChars="0" w:firstLine="0" w:firstLineChars="0"/>
        <w:rPr>
          <w:rFonts w:hint="eastAsia" w:ascii="仿宋_GB2312" w:hAnsi="仿宋_GB2312" w:eastAsia="仿宋_GB2312" w:cs="仿宋_GB2312"/>
          <w:color w:val="000000"/>
          <w:kern w:val="0"/>
          <w:sz w:val="32"/>
          <w:szCs w:val="32"/>
        </w:rPr>
      </w:pPr>
    </w:p>
    <w:p>
      <w:pPr>
        <w:rPr>
          <w:rFonts w:hint="eastAsia"/>
        </w:rPr>
      </w:pP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kern w:val="0"/>
          <w:sz w:val="32"/>
          <w:szCs w:val="32"/>
          <w:highlight w:val="none"/>
        </w:rPr>
        <w:t>三、</w:t>
      </w:r>
      <w:r>
        <w:rPr>
          <w:rFonts w:hint="eastAsia" w:ascii="仿宋_GB2312" w:hAnsi="仿宋_GB2312" w:eastAsia="仿宋_GB2312" w:cs="仿宋_GB2312"/>
          <w:b w:val="0"/>
          <w:bCs w:val="0"/>
          <w:color w:val="auto"/>
          <w:sz w:val="32"/>
          <w:szCs w:val="32"/>
          <w:highlight w:val="none"/>
        </w:rPr>
        <w:t>社会保障和就业支出（类）行政事业单位养老支出（款）</w:t>
      </w:r>
      <w:r>
        <w:rPr>
          <w:rFonts w:hint="eastAsia" w:ascii="仿宋_GB2312" w:hAnsi="仿宋_GB2312" w:eastAsia="仿宋_GB2312" w:cs="仿宋_GB2312"/>
          <w:b w:val="0"/>
          <w:bCs w:val="0"/>
          <w:color w:val="auto"/>
          <w:sz w:val="32"/>
          <w:szCs w:val="32"/>
          <w:highlight w:val="none"/>
          <w:lang w:eastAsia="zh-CN"/>
        </w:rPr>
        <w:t>：指市直林业部门各单位基本养老保险缴费。</w:t>
      </w:r>
    </w:p>
    <w:p>
      <w:pPr>
        <w:pStyle w:val="7"/>
        <w:keepNext w:val="0"/>
        <w:keepLines w:val="0"/>
        <w:pageBreakBefore w:val="0"/>
        <w:numPr>
          <w:ilvl w:val="0"/>
          <w:numId w:val="0"/>
        </w:numPr>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sz w:val="32"/>
          <w:szCs w:val="32"/>
          <w:highlight w:val="none"/>
          <w:lang w:eastAsia="zh-CN"/>
        </w:rPr>
        <w:t>四、</w:t>
      </w:r>
      <w:r>
        <w:rPr>
          <w:rFonts w:hint="eastAsia" w:ascii="仿宋_GB2312" w:hAnsi="仿宋_GB2312" w:eastAsia="仿宋_GB2312" w:cs="仿宋_GB2312"/>
          <w:b w:val="0"/>
          <w:bCs w:val="0"/>
          <w:color w:val="auto"/>
          <w:sz w:val="32"/>
          <w:szCs w:val="32"/>
          <w:highlight w:val="none"/>
        </w:rPr>
        <w:t>社会保障和就业支出（类）抚恤（款）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kern w:val="0"/>
          <w:sz w:val="32"/>
          <w:szCs w:val="32"/>
          <w:highlight w:val="none"/>
        </w:rPr>
        <w:t>指</w:t>
      </w:r>
      <w:r>
        <w:rPr>
          <w:rFonts w:hint="eastAsia" w:ascii="仿宋_GB2312" w:hAnsi="仿宋_GB2312" w:eastAsia="仿宋_GB2312" w:cs="仿宋_GB2312"/>
          <w:b w:val="0"/>
          <w:bCs w:val="0"/>
          <w:color w:val="auto"/>
          <w:kern w:val="0"/>
          <w:sz w:val="32"/>
          <w:szCs w:val="32"/>
        </w:rPr>
        <w:t>市直林业部门各单位干部职工死亡一次性抚恤</w:t>
      </w:r>
      <w:r>
        <w:rPr>
          <w:rFonts w:hint="eastAsia" w:ascii="仿宋_GB2312" w:hAnsi="仿宋_GB2312" w:eastAsia="仿宋_GB2312" w:cs="仿宋_GB2312"/>
          <w:b w:val="0"/>
          <w:bCs w:val="0"/>
          <w:color w:val="auto"/>
          <w:kern w:val="0"/>
          <w:sz w:val="32"/>
          <w:szCs w:val="32"/>
          <w:lang w:eastAsia="zh-CN"/>
        </w:rPr>
        <w:t>金</w:t>
      </w:r>
      <w:r>
        <w:rPr>
          <w:rFonts w:hint="eastAsia" w:ascii="仿宋_GB2312" w:hAnsi="仿宋_GB2312" w:eastAsia="仿宋_GB2312" w:cs="仿宋_GB2312"/>
          <w:b w:val="0"/>
          <w:bCs w:val="0"/>
          <w:color w:val="auto"/>
          <w:kern w:val="0"/>
          <w:sz w:val="32"/>
          <w:szCs w:val="32"/>
        </w:rPr>
        <w:t>、</w:t>
      </w:r>
      <w:r>
        <w:rPr>
          <w:rFonts w:hint="eastAsia" w:ascii="仿宋_GB2312" w:hAnsi="仿宋_GB2312" w:eastAsia="仿宋_GB2312" w:cs="仿宋_GB2312"/>
          <w:b w:val="0"/>
          <w:bCs w:val="0"/>
          <w:color w:val="auto"/>
          <w:kern w:val="0"/>
          <w:sz w:val="32"/>
          <w:szCs w:val="32"/>
          <w:lang w:eastAsia="zh-CN"/>
        </w:rPr>
        <w:t>单</w:t>
      </w:r>
      <w:r>
        <w:rPr>
          <w:rFonts w:hint="eastAsia" w:ascii="仿宋_GB2312" w:hAnsi="仿宋_GB2312" w:eastAsia="仿宋_GB2312" w:cs="仿宋_GB2312"/>
          <w:b w:val="0"/>
          <w:bCs w:val="0"/>
          <w:color w:val="auto"/>
          <w:kern w:val="0"/>
          <w:sz w:val="32"/>
          <w:szCs w:val="32"/>
        </w:rPr>
        <w:t>位工作人员死亡遗属生活补助</w:t>
      </w:r>
      <w:r>
        <w:rPr>
          <w:rFonts w:hint="eastAsia" w:ascii="仿宋_GB2312" w:hAnsi="仿宋_GB2312" w:eastAsia="仿宋_GB2312" w:cs="仿宋_GB2312"/>
          <w:b w:val="0"/>
          <w:bCs w:val="0"/>
          <w:color w:val="auto"/>
          <w:kern w:val="0"/>
          <w:sz w:val="32"/>
          <w:szCs w:val="32"/>
          <w:lang w:eastAsia="zh-CN"/>
        </w:rPr>
        <w:t>等</w:t>
      </w:r>
      <w:r>
        <w:rPr>
          <w:rFonts w:hint="eastAsia" w:ascii="仿宋_GB2312" w:hAnsi="仿宋_GB2312" w:eastAsia="仿宋_GB2312" w:cs="仿宋_GB2312"/>
          <w:b w:val="0"/>
          <w:bCs w:val="0"/>
          <w:color w:val="auto"/>
          <w:kern w:val="0"/>
          <w:sz w:val="32"/>
          <w:szCs w:val="32"/>
        </w:rPr>
        <w:t>。</w:t>
      </w:r>
    </w:p>
    <w:p>
      <w:pPr>
        <w:pStyle w:val="8"/>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五、</w:t>
      </w:r>
      <w:r>
        <w:rPr>
          <w:rFonts w:hint="eastAsia" w:ascii="仿宋_GB2312" w:hAnsi="仿宋_GB2312" w:eastAsia="仿宋_GB2312" w:cs="仿宋_GB2312"/>
          <w:b w:val="0"/>
          <w:bCs w:val="0"/>
          <w:color w:val="auto"/>
          <w:sz w:val="32"/>
          <w:szCs w:val="32"/>
          <w:highlight w:val="none"/>
        </w:rPr>
        <w:t>社会保障和就业支出（类）退役安置（款）</w:t>
      </w:r>
      <w:r>
        <w:rPr>
          <w:rFonts w:hint="eastAsia" w:ascii="仿宋_GB2312" w:hAnsi="仿宋_GB2312" w:eastAsia="仿宋_GB2312" w:cs="仿宋_GB2312"/>
          <w:b w:val="0"/>
          <w:bCs w:val="0"/>
          <w:color w:val="auto"/>
          <w:sz w:val="32"/>
          <w:szCs w:val="32"/>
          <w:highlight w:val="none"/>
          <w:lang w:eastAsia="zh-CN"/>
        </w:rPr>
        <w:t>：指市林业局企业军转干部住院救助等资金。</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auto"/>
          <w:sz w:val="32"/>
          <w:szCs w:val="32"/>
          <w:highlight w:val="none"/>
          <w:lang w:eastAsia="zh-CN"/>
        </w:rPr>
        <w:t>六、</w:t>
      </w:r>
      <w:r>
        <w:rPr>
          <w:rFonts w:hint="eastAsia" w:ascii="仿宋_GB2312" w:hAnsi="仿宋_GB2312" w:eastAsia="仿宋_GB2312" w:cs="仿宋_GB2312"/>
          <w:b w:val="0"/>
          <w:bCs w:val="0"/>
          <w:color w:val="auto"/>
          <w:sz w:val="32"/>
          <w:szCs w:val="32"/>
          <w:highlight w:val="none"/>
        </w:rPr>
        <w:t>社会保障和就业支出（类）残疾人事业（款）</w:t>
      </w:r>
      <w:r>
        <w:rPr>
          <w:rFonts w:hint="eastAsia" w:ascii="仿宋_GB2312" w:hAnsi="仿宋_GB2312" w:eastAsia="仿宋_GB2312" w:cs="仿宋_GB2312"/>
          <w:b w:val="0"/>
          <w:bCs w:val="0"/>
          <w:color w:val="auto"/>
          <w:sz w:val="32"/>
          <w:szCs w:val="32"/>
          <w:highlight w:val="none"/>
          <w:lang w:eastAsia="zh-CN"/>
        </w:rPr>
        <w:t>：</w:t>
      </w:r>
      <w:r>
        <w:rPr>
          <w:rFonts w:hint="eastAsia" w:ascii="Times New Roman" w:hAnsi="Times New Roman" w:eastAsia="仿宋_GB2312" w:cs="黑体"/>
          <w:color w:val="000000"/>
          <w:kern w:val="0"/>
          <w:sz w:val="32"/>
          <w:szCs w:val="32"/>
          <w:lang w:val="en-US" w:eastAsia="zh-CN" w:bidi="ar-SA"/>
        </w:rPr>
        <w:t>指单位残疾人保障金缴费。</w:t>
      </w:r>
    </w:p>
    <w:p>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highlight w:val="none"/>
          <w:lang w:eastAsia="zh-CN"/>
        </w:rPr>
        <w:t>七、</w:t>
      </w:r>
      <w:r>
        <w:rPr>
          <w:rFonts w:hint="eastAsia" w:ascii="仿宋_GB2312" w:hAnsi="仿宋_GB2312" w:eastAsia="仿宋_GB2312" w:cs="仿宋_GB2312"/>
          <w:b w:val="0"/>
          <w:bCs w:val="0"/>
          <w:color w:val="auto"/>
          <w:sz w:val="32"/>
          <w:szCs w:val="32"/>
          <w:highlight w:val="none"/>
        </w:rPr>
        <w:t>社会保障和就业支出（类）</w:t>
      </w:r>
      <w:r>
        <w:rPr>
          <w:rFonts w:hint="eastAsia" w:ascii="仿宋_GB2312" w:hAnsi="仿宋_GB2312" w:eastAsia="仿宋_GB2312" w:cs="仿宋_GB2312"/>
          <w:b w:val="0"/>
          <w:bCs w:val="0"/>
          <w:color w:val="auto"/>
          <w:sz w:val="32"/>
          <w:szCs w:val="32"/>
          <w:highlight w:val="none"/>
          <w:lang w:eastAsia="zh-CN"/>
        </w:rPr>
        <w:t>其他社会保障和就业支出</w:t>
      </w:r>
      <w:r>
        <w:rPr>
          <w:rFonts w:hint="eastAsia" w:ascii="仿宋_GB2312" w:hAnsi="仿宋_GB2312" w:eastAsia="仿宋_GB2312" w:cs="仿宋_GB2312"/>
          <w:b w:val="0"/>
          <w:bCs w:val="0"/>
          <w:color w:val="auto"/>
          <w:sz w:val="32"/>
          <w:szCs w:val="32"/>
          <w:highlight w:val="none"/>
        </w:rPr>
        <w:t>（款）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lang w:eastAsia="zh-CN"/>
        </w:rPr>
        <w:t>指工伤保险缴费支出。</w:t>
      </w:r>
    </w:p>
    <w:p>
      <w:pPr>
        <w:pStyle w:val="8"/>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highlight w:val="none"/>
          <w:lang w:eastAsia="zh-CN"/>
        </w:rPr>
        <w:t>八、</w:t>
      </w:r>
      <w:r>
        <w:rPr>
          <w:rFonts w:hint="eastAsia" w:ascii="仿宋_GB2312" w:hAnsi="仿宋_GB2312" w:eastAsia="仿宋_GB2312" w:cs="仿宋_GB2312"/>
          <w:b w:val="0"/>
          <w:bCs w:val="0"/>
          <w:color w:val="auto"/>
          <w:sz w:val="32"/>
          <w:szCs w:val="32"/>
          <w:highlight w:val="none"/>
        </w:rPr>
        <w:t>卫生健康支出（类）行政事业单位医疗（款）</w:t>
      </w:r>
      <w:r>
        <w:rPr>
          <w:rFonts w:hint="eastAsia" w:ascii="仿宋_GB2312" w:hAnsi="仿宋_GB2312" w:eastAsia="仿宋_GB2312" w:cs="仿宋_GB2312"/>
          <w:b w:val="0"/>
          <w:bCs w:val="0"/>
          <w:color w:val="auto"/>
          <w:sz w:val="32"/>
          <w:szCs w:val="32"/>
          <w:highlight w:val="none"/>
          <w:lang w:eastAsia="zh-CN"/>
        </w:rPr>
        <w:t>：指市直林业部门</w:t>
      </w:r>
      <w:r>
        <w:rPr>
          <w:rFonts w:hint="eastAsia" w:ascii="仿宋_GB2312" w:hAnsi="仿宋_GB2312" w:eastAsia="仿宋_GB2312" w:cs="仿宋_GB2312"/>
          <w:b w:val="0"/>
          <w:bCs w:val="0"/>
          <w:color w:val="auto"/>
          <w:kern w:val="0"/>
          <w:sz w:val="32"/>
          <w:szCs w:val="32"/>
          <w:lang w:eastAsia="zh-CN"/>
        </w:rPr>
        <w:t>各单位职工基本医疗保险缴费。</w:t>
      </w:r>
    </w:p>
    <w:p>
      <w:pPr>
        <w:ind w:firstLine="640" w:firstLineChars="200"/>
        <w:jc w:val="left"/>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highlight w:val="none"/>
          <w:lang w:eastAsia="zh-CN"/>
        </w:rPr>
        <w:t>九、</w:t>
      </w:r>
      <w:r>
        <w:rPr>
          <w:rFonts w:hint="eastAsia" w:ascii="仿宋_GB2312" w:hAnsi="仿宋_GB2312" w:eastAsia="仿宋_GB2312" w:cs="仿宋_GB2312"/>
          <w:b w:val="0"/>
          <w:bCs w:val="0"/>
          <w:color w:val="auto"/>
          <w:sz w:val="32"/>
          <w:szCs w:val="32"/>
          <w:highlight w:val="none"/>
        </w:rPr>
        <w:t>节能环保支出（类）自然生态保护（款）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lang w:eastAsia="zh-CN"/>
        </w:rPr>
        <w:t>指市林业局野生动植物保护项目；东保局动植物保护及保护区湿地建设资金；市林科所</w:t>
      </w:r>
      <w:r>
        <w:rPr>
          <w:rFonts w:hint="eastAsia" w:ascii="Times New Roman" w:hAnsi="Times New Roman" w:eastAsia="仿宋_GB2312" w:cs="黑体"/>
          <w:color w:val="000000"/>
          <w:kern w:val="0"/>
          <w:sz w:val="32"/>
          <w:szCs w:val="32"/>
          <w:lang w:val="en-US" w:eastAsia="zh-CN" w:bidi="ar-SA"/>
        </w:rPr>
        <w:t>2023年中央国家重点野生动植物保护补助资金、省级林业生态保护修复及发展资金、生态文明建设补助。</w:t>
      </w:r>
    </w:p>
    <w:p>
      <w:pPr>
        <w:pStyle w:val="8"/>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highlight w:val="none"/>
          <w:lang w:eastAsia="zh-CN"/>
        </w:rPr>
        <w:t>十、</w:t>
      </w:r>
      <w:r>
        <w:rPr>
          <w:rFonts w:hint="eastAsia" w:ascii="仿宋_GB2312" w:hAnsi="仿宋_GB2312" w:eastAsia="仿宋_GB2312" w:cs="仿宋_GB2312"/>
          <w:b w:val="0"/>
          <w:bCs w:val="0"/>
          <w:color w:val="auto"/>
          <w:sz w:val="32"/>
          <w:szCs w:val="32"/>
          <w:highlight w:val="none"/>
        </w:rPr>
        <w:t>节能环保支出（类）其他节能环保支出（款）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lang w:eastAsia="zh-CN"/>
        </w:rPr>
        <w:t>指市林业局湖南省岳阳市东洞庭湖流域河湖湿地保护修复项目、湖南省岳阳市东洞庭湖国际重要湿地保护修复项目；东保局</w:t>
      </w:r>
      <w:r>
        <w:rPr>
          <w:rFonts w:hint="eastAsia" w:ascii="仿宋_GB2312" w:hAnsi="仿宋_GB2312" w:eastAsia="仿宋_GB2312" w:cs="仿宋_GB2312"/>
          <w:b w:val="0"/>
          <w:bCs w:val="0"/>
          <w:color w:val="auto"/>
          <w:sz w:val="32"/>
          <w:szCs w:val="32"/>
          <w:lang w:val="en-US" w:eastAsia="zh-CN"/>
        </w:rPr>
        <w:t>2022年湿地保护与修复项目支出等</w:t>
      </w:r>
      <w:r>
        <w:rPr>
          <w:rFonts w:hint="eastAsia" w:ascii="仿宋_GB2312" w:hAnsi="仿宋_GB2312" w:eastAsia="仿宋_GB2312" w:cs="仿宋_GB2312"/>
          <w:b w:val="0"/>
          <w:bCs w:val="0"/>
          <w:color w:val="auto"/>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sz w:val="32"/>
          <w:szCs w:val="32"/>
          <w:highlight w:val="none"/>
          <w:lang w:eastAsia="zh-CN"/>
        </w:rPr>
        <w:t>十一、</w:t>
      </w:r>
      <w:r>
        <w:rPr>
          <w:rFonts w:hint="eastAsia" w:ascii="仿宋_GB2312" w:hAnsi="仿宋_GB2312" w:eastAsia="仿宋_GB2312" w:cs="仿宋_GB2312"/>
          <w:b w:val="0"/>
          <w:bCs w:val="0"/>
          <w:color w:val="auto"/>
          <w:sz w:val="32"/>
          <w:szCs w:val="32"/>
          <w:highlight w:val="none"/>
        </w:rPr>
        <w:t>城乡社区支出（类）城乡社区管理事务（款）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kern w:val="0"/>
          <w:sz w:val="32"/>
          <w:szCs w:val="32"/>
          <w:lang w:val="en-US" w:eastAsia="zh-CN"/>
        </w:rPr>
        <w:t>指东保局观鸟节项目、2023年长江岸线候鸟栖息地生态保护与修复工程等。</w:t>
      </w:r>
    </w:p>
    <w:p>
      <w:pPr>
        <w:pStyle w:val="7"/>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highlight w:val="none"/>
          <w:lang w:eastAsia="zh-CN"/>
        </w:rPr>
        <w:t>十二、</w:t>
      </w:r>
      <w:r>
        <w:rPr>
          <w:rFonts w:hint="eastAsia" w:ascii="仿宋_GB2312" w:hAnsi="仿宋_GB2312" w:eastAsia="仿宋_GB2312" w:cs="仿宋_GB2312"/>
          <w:b w:val="0"/>
          <w:bCs w:val="0"/>
          <w:color w:val="auto"/>
          <w:sz w:val="32"/>
          <w:szCs w:val="32"/>
          <w:highlight w:val="none"/>
        </w:rPr>
        <w:t xml:space="preserve">农林水支出（类）林业和草原（款） </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lang w:eastAsia="zh-CN"/>
        </w:rPr>
        <w:t>指市直林业部门</w:t>
      </w:r>
      <w:r>
        <w:rPr>
          <w:rFonts w:hint="eastAsia" w:ascii="仿宋_GB2312" w:hAnsi="仿宋_GB2312" w:eastAsia="仿宋_GB2312" w:cs="仿宋_GB2312"/>
          <w:b w:val="0"/>
          <w:bCs w:val="0"/>
          <w:color w:val="auto"/>
          <w:kern w:val="0"/>
          <w:sz w:val="32"/>
          <w:szCs w:val="32"/>
        </w:rPr>
        <w:t>为保障机构正常运行及开展日常工作的基本支出，以及造林绿化、森林防火、动植物保护、国际湿地城市创建</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highlight w:val="none"/>
          <w:lang w:eastAsia="zh-CN"/>
        </w:rPr>
        <w:t>森林生态博览园运行维护费、</w:t>
      </w:r>
      <w:r>
        <w:rPr>
          <w:rFonts w:hint="eastAsia" w:ascii="仿宋_GB2312" w:hAnsi="仿宋_GB2312" w:eastAsia="仿宋_GB2312" w:cs="仿宋_GB2312"/>
          <w:b w:val="0"/>
          <w:bCs w:val="0"/>
          <w:color w:val="auto"/>
          <w:kern w:val="0"/>
          <w:sz w:val="32"/>
          <w:szCs w:val="32"/>
          <w:highlight w:val="none"/>
          <w:lang w:val="en-US" w:eastAsia="zh-CN"/>
        </w:rPr>
        <w:t>义务植树经费、</w:t>
      </w:r>
      <w:r>
        <w:rPr>
          <w:rFonts w:hint="eastAsia" w:ascii="Times New Roman" w:hAnsi="Times New Roman" w:eastAsia="仿宋_GB2312" w:cs="黑体"/>
          <w:color w:val="000000"/>
          <w:kern w:val="0"/>
          <w:sz w:val="32"/>
          <w:szCs w:val="32"/>
          <w:lang w:val="en-US" w:eastAsia="zh-CN" w:bidi="ar-SA"/>
        </w:rPr>
        <w:t>2024年省级林木种苗繁育资金、2023年湿地保护与恢复项目</w:t>
      </w:r>
      <w:r>
        <w:rPr>
          <w:rFonts w:hint="eastAsia" w:ascii="仿宋_GB2312" w:hAnsi="仿宋_GB2312" w:eastAsia="仿宋_GB2312" w:cs="仿宋_GB2312"/>
          <w:b w:val="0"/>
          <w:bCs w:val="0"/>
          <w:color w:val="auto"/>
          <w:sz w:val="32"/>
          <w:szCs w:val="32"/>
          <w:lang w:val="en-US" w:eastAsia="zh-CN"/>
        </w:rPr>
        <w:t>等。</w:t>
      </w:r>
    </w:p>
    <w:p>
      <w:pPr>
        <w:pStyle w:val="8"/>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十三、</w:t>
      </w:r>
      <w:r>
        <w:rPr>
          <w:rFonts w:hint="eastAsia" w:ascii="仿宋_GB2312" w:hAnsi="仿宋_GB2312" w:eastAsia="仿宋_GB2312" w:cs="仿宋_GB2312"/>
          <w:b w:val="0"/>
          <w:bCs w:val="0"/>
          <w:color w:val="auto"/>
          <w:sz w:val="32"/>
          <w:szCs w:val="32"/>
          <w:highlight w:val="none"/>
        </w:rPr>
        <w:t>农林水支出（类）其他农林水支出（款）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kern w:val="0"/>
          <w:sz w:val="32"/>
          <w:szCs w:val="32"/>
          <w:highlight w:val="none"/>
          <w:lang w:eastAsia="zh-CN"/>
        </w:rPr>
        <w:t>指市直林业部门的绩效奖、第十三个月工资、其他资金等。</w:t>
      </w:r>
    </w:p>
    <w:p>
      <w:pPr>
        <w:pStyle w:val="7"/>
        <w:keepNext w:val="0"/>
        <w:keepLines w:val="0"/>
        <w:pageBreakBefore w:val="0"/>
        <w:numPr>
          <w:ilvl w:val="0"/>
          <w:numId w:val="0"/>
        </w:numPr>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highlight w:val="none"/>
          <w:lang w:eastAsia="zh-CN"/>
        </w:rPr>
        <w:t>十四、</w:t>
      </w:r>
      <w:r>
        <w:rPr>
          <w:rFonts w:hint="eastAsia" w:ascii="仿宋_GB2312" w:hAnsi="仿宋_GB2312" w:eastAsia="仿宋_GB2312" w:cs="仿宋_GB2312"/>
          <w:b w:val="0"/>
          <w:bCs w:val="0"/>
          <w:color w:val="auto"/>
          <w:sz w:val="32"/>
          <w:szCs w:val="32"/>
          <w:highlight w:val="none"/>
        </w:rPr>
        <w:t>交通运输支出（类）公路水路运输（款）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lang w:eastAsia="zh-CN"/>
        </w:rPr>
        <w:t>指市林科所</w:t>
      </w:r>
      <w:r>
        <w:rPr>
          <w:rFonts w:hint="eastAsia" w:ascii="Times New Roman" w:hAnsi="Times New Roman" w:eastAsia="仿宋_GB2312" w:cs="黑体"/>
          <w:color w:val="000000"/>
          <w:kern w:val="0"/>
          <w:sz w:val="32"/>
          <w:szCs w:val="32"/>
          <w:lang w:val="en-US" w:eastAsia="zh-CN" w:bidi="ar-SA"/>
        </w:rPr>
        <w:t>2024年林路养护资金</w:t>
      </w:r>
      <w:r>
        <w:rPr>
          <w:rFonts w:hint="eastAsia" w:ascii="仿宋_GB2312" w:hAnsi="仿宋_GB2312" w:eastAsia="仿宋_GB2312" w:cs="仿宋_GB2312"/>
          <w:b w:val="0"/>
          <w:bCs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lang w:eastAsia="zh-CN"/>
        </w:rPr>
      </w:pPr>
      <w:r>
        <w:rPr>
          <w:rFonts w:hint="eastAsia" w:ascii="仿宋_GB2312" w:hAnsi="仿宋_GB2312" w:eastAsia="仿宋_GB2312" w:cs="仿宋_GB2312"/>
          <w:b w:val="0"/>
          <w:bCs w:val="0"/>
          <w:color w:val="auto"/>
          <w:sz w:val="32"/>
          <w:szCs w:val="32"/>
          <w:highlight w:val="none"/>
          <w:lang w:eastAsia="zh-CN"/>
        </w:rPr>
        <w:t>十五、</w:t>
      </w:r>
      <w:r>
        <w:rPr>
          <w:rFonts w:hint="eastAsia" w:ascii="仿宋_GB2312" w:hAnsi="仿宋_GB2312" w:eastAsia="仿宋_GB2312" w:cs="仿宋_GB2312"/>
          <w:b w:val="0"/>
          <w:bCs w:val="0"/>
          <w:color w:val="auto"/>
          <w:sz w:val="32"/>
          <w:szCs w:val="32"/>
          <w:highlight w:val="none"/>
        </w:rPr>
        <w:t>资源勘探工业信息等支出（类）国有资产监管（款）</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kern w:val="0"/>
          <w:sz w:val="32"/>
          <w:szCs w:val="32"/>
          <w:lang w:eastAsia="zh-CN"/>
        </w:rPr>
        <w:t>指市林业局市属国有企业退休干部帮扶解困资金。</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lang w:eastAsia="zh-CN"/>
        </w:rPr>
      </w:pPr>
      <w:r>
        <w:rPr>
          <w:rFonts w:hint="eastAsia" w:ascii="仿宋_GB2312" w:hAnsi="仿宋_GB2312" w:eastAsia="仿宋_GB2312" w:cs="仿宋_GB2312"/>
          <w:b w:val="0"/>
          <w:bCs w:val="0"/>
          <w:color w:val="auto"/>
          <w:kern w:val="0"/>
          <w:sz w:val="32"/>
          <w:szCs w:val="32"/>
          <w:highlight w:val="none"/>
          <w:lang w:eastAsia="zh-CN"/>
        </w:rPr>
        <w:t>十六、住房保障支出（类）住房改革支出（款）：</w:t>
      </w:r>
      <w:r>
        <w:rPr>
          <w:rFonts w:hint="eastAsia" w:ascii="仿宋_GB2312" w:hAnsi="仿宋_GB2312" w:eastAsia="仿宋_GB2312" w:cs="仿宋_GB2312"/>
          <w:b w:val="0"/>
          <w:bCs w:val="0"/>
          <w:color w:val="auto"/>
          <w:kern w:val="0"/>
          <w:sz w:val="32"/>
          <w:szCs w:val="32"/>
          <w:lang w:eastAsia="zh-CN"/>
        </w:rPr>
        <w:t>指市直林业部门各单位住房公积金支出。</w:t>
      </w:r>
    </w:p>
    <w:p>
      <w:pPr>
        <w:pStyle w:val="3"/>
        <w:keepNext w:val="0"/>
        <w:keepLines w:val="0"/>
        <w:pageBreakBefore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sz w:val="32"/>
          <w:szCs w:val="32"/>
          <w:highlight w:val="none"/>
          <w:lang w:eastAsia="zh-CN"/>
        </w:rPr>
        <w:t>十七、</w:t>
      </w:r>
      <w:r>
        <w:rPr>
          <w:rFonts w:hint="eastAsia" w:ascii="仿宋_GB2312" w:hAnsi="仿宋_GB2312" w:eastAsia="仿宋_GB2312" w:cs="仿宋_GB2312"/>
          <w:sz w:val="32"/>
          <w:szCs w:val="32"/>
          <w:highlight w:val="none"/>
        </w:rPr>
        <w:t>科学技术支出</w:t>
      </w:r>
      <w:r>
        <w:rPr>
          <w:rFonts w:hint="eastAsia" w:ascii="仿宋_GB2312" w:hAnsi="仿宋_GB2312" w:eastAsia="仿宋_GB2312" w:cs="仿宋_GB2312"/>
          <w:b w:val="0"/>
          <w:bCs w:val="0"/>
          <w:color w:val="auto"/>
          <w:kern w:val="0"/>
          <w:sz w:val="32"/>
          <w:szCs w:val="32"/>
          <w:highlight w:val="none"/>
          <w:lang w:eastAsia="zh-CN"/>
        </w:rPr>
        <w:t>（类）</w:t>
      </w:r>
      <w:r>
        <w:rPr>
          <w:rFonts w:hint="eastAsia" w:ascii="仿宋_GB2312" w:hAnsi="仿宋_GB2312" w:eastAsia="仿宋_GB2312" w:cs="仿宋_GB2312"/>
          <w:sz w:val="32"/>
          <w:szCs w:val="32"/>
          <w:highlight w:val="none"/>
          <w:lang w:val="en-US" w:eastAsia="zh-CN"/>
        </w:rPr>
        <w:t>基础研究</w:t>
      </w:r>
      <w:r>
        <w:rPr>
          <w:rFonts w:hint="eastAsia" w:ascii="仿宋_GB2312" w:hAnsi="仿宋_GB2312" w:eastAsia="仿宋_GB2312" w:cs="仿宋_GB2312"/>
          <w:b w:val="0"/>
          <w:bCs w:val="0"/>
          <w:color w:val="auto"/>
          <w:kern w:val="0"/>
          <w:sz w:val="32"/>
          <w:szCs w:val="32"/>
          <w:highlight w:val="none"/>
          <w:lang w:eastAsia="zh-CN"/>
        </w:rPr>
        <w:t>（款）：指自然科学基金。</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sz w:val="32"/>
          <w:szCs w:val="32"/>
          <w:highlight w:val="none"/>
          <w:lang w:val="en-US" w:eastAsia="zh-CN"/>
        </w:rPr>
        <w:t>十八、科学技术支出</w:t>
      </w:r>
      <w:r>
        <w:rPr>
          <w:rFonts w:hint="eastAsia" w:ascii="仿宋_GB2312" w:hAnsi="仿宋_GB2312" w:eastAsia="仿宋_GB2312" w:cs="仿宋_GB2312"/>
          <w:b w:val="0"/>
          <w:bCs w:val="0"/>
          <w:color w:val="auto"/>
          <w:kern w:val="0"/>
          <w:sz w:val="32"/>
          <w:szCs w:val="32"/>
          <w:highlight w:val="none"/>
          <w:lang w:eastAsia="zh-CN"/>
        </w:rPr>
        <w:t>（类）</w:t>
      </w:r>
      <w:r>
        <w:rPr>
          <w:rFonts w:hint="eastAsia" w:ascii="仿宋_GB2312" w:hAnsi="仿宋_GB2312" w:eastAsia="仿宋_GB2312" w:cs="仿宋_GB2312"/>
          <w:sz w:val="32"/>
          <w:szCs w:val="32"/>
          <w:highlight w:val="none"/>
          <w:lang w:val="en-US" w:eastAsia="zh-CN"/>
        </w:rPr>
        <w:t>其他科学技术支出</w:t>
      </w:r>
      <w:r>
        <w:rPr>
          <w:rFonts w:hint="eastAsia" w:ascii="仿宋_GB2312" w:hAnsi="仿宋_GB2312" w:eastAsia="仿宋_GB2312" w:cs="仿宋_GB2312"/>
          <w:b w:val="0"/>
          <w:bCs w:val="0"/>
          <w:color w:val="auto"/>
          <w:kern w:val="0"/>
          <w:sz w:val="32"/>
          <w:szCs w:val="32"/>
          <w:highlight w:val="none"/>
          <w:lang w:eastAsia="zh-CN"/>
        </w:rPr>
        <w:t>（款）：指市林科所科技创新专项资金。</w:t>
      </w:r>
    </w:p>
    <w:p>
      <w:pPr>
        <w:pStyle w:val="3"/>
        <w:keepNext w:val="0"/>
        <w:keepLines w:val="0"/>
        <w:pageBreakBefore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b w:val="0"/>
          <w:bCs w:val="0"/>
          <w:color w:val="auto"/>
          <w:kern w:val="0"/>
          <w:sz w:val="32"/>
          <w:szCs w:val="32"/>
          <w:highlight w:val="none"/>
          <w:lang w:eastAsia="zh-CN"/>
        </w:rPr>
        <w:t>十九、文化旅游体育与传媒支出（类）文化和旅游（款）：指市林业局2022年历史文化名城第二批保护专项经费古树名木规划保护三年行动规划编制经费。</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b w:val="0"/>
          <w:bCs w:val="0"/>
          <w:color w:val="auto"/>
          <w:kern w:val="0"/>
          <w:sz w:val="32"/>
          <w:szCs w:val="32"/>
          <w:highlight w:val="none"/>
          <w:lang w:eastAsia="zh-CN"/>
        </w:rPr>
        <w:t>二十、自然资源海洋气象等支出（类）自然资源事务（款）：指东保局</w:t>
      </w:r>
      <w:r>
        <w:rPr>
          <w:rFonts w:hint="eastAsia" w:ascii="仿宋_GB2312" w:hAnsi="仿宋_GB2312" w:eastAsia="仿宋_GB2312" w:cs="仿宋_GB2312"/>
          <w:b w:val="0"/>
          <w:bCs w:val="0"/>
          <w:color w:val="auto"/>
          <w:kern w:val="0"/>
          <w:sz w:val="32"/>
          <w:szCs w:val="32"/>
          <w:highlight w:val="none"/>
          <w:lang w:val="en-US" w:eastAsia="zh-CN"/>
        </w:rPr>
        <w:t>2024年长江岸线候鸟栖息地生态保护与修复工程、湿地保护6+1与恢复项目等</w:t>
      </w:r>
      <w:r>
        <w:rPr>
          <w:rFonts w:hint="eastAsia" w:ascii="仿宋_GB2312" w:hAnsi="仿宋_GB2312" w:eastAsia="仿宋_GB2312" w:cs="仿宋_GB2312"/>
          <w:b w:val="0"/>
          <w:bCs w:val="0"/>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eastAsia="zh-CN"/>
        </w:rPr>
        <w:t>二十一、</w:t>
      </w:r>
      <w:r>
        <w:rPr>
          <w:rFonts w:hint="eastAsia" w:ascii="仿宋_GB2312" w:hAnsi="仿宋_GB2312" w:eastAsia="仿宋_GB2312" w:cs="仿宋_GB2312"/>
          <w:b w:val="0"/>
          <w:bCs w:val="0"/>
          <w:color w:val="auto"/>
          <w:kern w:val="0"/>
          <w:sz w:val="32"/>
          <w:szCs w:val="32"/>
        </w:rPr>
        <w:t>财政拨款收入：指市级财政当年拨付的资金。</w:t>
      </w:r>
    </w:p>
    <w:p>
      <w:pPr>
        <w:pStyle w:val="13"/>
        <w:keepNext w:val="0"/>
        <w:keepLines w:val="0"/>
        <w:pageBreakBefore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eastAsia="zh-CN"/>
        </w:rPr>
        <w:t>二十二、</w:t>
      </w:r>
      <w:r>
        <w:rPr>
          <w:rFonts w:hint="eastAsia" w:ascii="仿宋_GB2312" w:hAnsi="仿宋_GB2312" w:eastAsia="仿宋_GB2312" w:cs="仿宋_GB2312"/>
          <w:b w:val="0"/>
          <w:bCs w:val="0"/>
          <w:color w:val="auto"/>
          <w:kern w:val="0"/>
          <w:sz w:val="32"/>
          <w:szCs w:val="32"/>
        </w:rPr>
        <w:t>其他收入：指除“财政拨款收入”以外的收入。</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eastAsia="zh-CN"/>
        </w:rPr>
        <w:t>二十三</w:t>
      </w:r>
      <w:r>
        <w:rPr>
          <w:rFonts w:hint="eastAsia" w:ascii="仿宋_GB2312" w:hAnsi="仿宋_GB2312" w:eastAsia="仿宋_GB2312" w:cs="仿宋_GB2312"/>
          <w:b w:val="0"/>
          <w:bCs w:val="0"/>
          <w:color w:val="auto"/>
          <w:kern w:val="0"/>
          <w:sz w:val="32"/>
          <w:szCs w:val="32"/>
        </w:rPr>
        <w:t>、基本支出：指为保障机构正常运转、完成日常工作任务而发生的人员支出和公用支出。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eastAsia="zh-CN"/>
        </w:rPr>
        <w:t>二十四</w:t>
      </w:r>
      <w:r>
        <w:rPr>
          <w:rFonts w:hint="eastAsia" w:ascii="仿宋_GB2312" w:hAnsi="仿宋_GB2312" w:eastAsia="仿宋_GB2312" w:cs="仿宋_GB2312"/>
          <w:b w:val="0"/>
          <w:bCs w:val="0"/>
          <w:color w:val="auto"/>
          <w:kern w:val="0"/>
          <w:sz w:val="32"/>
          <w:szCs w:val="32"/>
        </w:rPr>
        <w:t>、项目支出：指在基本支出之外为完成特定行政任务和林业发展目标所发生的支出。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8"/>
        <w:jc w:val="center"/>
        <w:rPr>
          <w:rFonts w:hint="eastAsia" w:ascii="仿宋_GB2312" w:hAnsi="仿宋_GB2312" w:eastAsia="仿宋_GB2312" w:cs="仿宋_GB2312"/>
          <w:sz w:val="32"/>
          <w:szCs w:val="32"/>
        </w:rPr>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
      <w:pPr>
        <w:pStyle w:val="2"/>
      </w:pPr>
    </w:p>
    <w:p>
      <w:pPr>
        <w:pStyle w:val="18"/>
        <w:jc w:val="both"/>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8"/>
        <w:jc w:val="both"/>
        <w:rPr>
          <w:rFonts w:hint="eastAsia" w:ascii="方正小标宋_GBK" w:hAnsi="方正小标宋_GBK" w:eastAsia="方正小标宋_GBK" w:cs="方正小标宋_GBK"/>
          <w:sz w:val="70"/>
          <w:szCs w:val="70"/>
          <w:lang w:eastAsia="zh-CN"/>
        </w:rPr>
      </w:pPr>
    </w:p>
    <w:p>
      <w:pPr>
        <w:pStyle w:val="18"/>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yNTM2ZTNkYzRlNjQxMDkzYmY3OWJhZDY3ZTJkMWYifQ=="/>
  </w:docVars>
  <w:rsids>
    <w:rsidRoot w:val="004506F9"/>
    <w:rsid w:val="0002229B"/>
    <w:rsid w:val="000273BD"/>
    <w:rsid w:val="000273CC"/>
    <w:rsid w:val="00040CBC"/>
    <w:rsid w:val="000415B7"/>
    <w:rsid w:val="00041E3F"/>
    <w:rsid w:val="00055DAA"/>
    <w:rsid w:val="00061F7B"/>
    <w:rsid w:val="000658A3"/>
    <w:rsid w:val="00074155"/>
    <w:rsid w:val="000A3F69"/>
    <w:rsid w:val="000C024B"/>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21F0D"/>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7F6C6F"/>
    <w:rsid w:val="00812ED5"/>
    <w:rsid w:val="008243F1"/>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92181"/>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097D2F"/>
    <w:rsid w:val="012D2791"/>
    <w:rsid w:val="01730582"/>
    <w:rsid w:val="021533E7"/>
    <w:rsid w:val="024535A0"/>
    <w:rsid w:val="026305F6"/>
    <w:rsid w:val="028D5BF3"/>
    <w:rsid w:val="02A91D81"/>
    <w:rsid w:val="02E80AFB"/>
    <w:rsid w:val="03101E00"/>
    <w:rsid w:val="03215DBB"/>
    <w:rsid w:val="037979A5"/>
    <w:rsid w:val="03C076C5"/>
    <w:rsid w:val="04561A95"/>
    <w:rsid w:val="04BC223F"/>
    <w:rsid w:val="04F55751"/>
    <w:rsid w:val="0539563E"/>
    <w:rsid w:val="05686195"/>
    <w:rsid w:val="059958AD"/>
    <w:rsid w:val="05FB4360"/>
    <w:rsid w:val="063444F1"/>
    <w:rsid w:val="0659586C"/>
    <w:rsid w:val="06B86C28"/>
    <w:rsid w:val="06C857E7"/>
    <w:rsid w:val="06EB2968"/>
    <w:rsid w:val="07091040"/>
    <w:rsid w:val="070E48A8"/>
    <w:rsid w:val="07830DF3"/>
    <w:rsid w:val="079E5C2C"/>
    <w:rsid w:val="07A11279"/>
    <w:rsid w:val="07B216D8"/>
    <w:rsid w:val="07BB67DE"/>
    <w:rsid w:val="07C37441"/>
    <w:rsid w:val="082A3964"/>
    <w:rsid w:val="087846CF"/>
    <w:rsid w:val="08AF5C17"/>
    <w:rsid w:val="08B80F70"/>
    <w:rsid w:val="08C24A73"/>
    <w:rsid w:val="09216B15"/>
    <w:rsid w:val="092D54BA"/>
    <w:rsid w:val="095A5B83"/>
    <w:rsid w:val="09797736"/>
    <w:rsid w:val="09842C00"/>
    <w:rsid w:val="0A1C72DC"/>
    <w:rsid w:val="0A3208AE"/>
    <w:rsid w:val="0A6749FB"/>
    <w:rsid w:val="0A856C30"/>
    <w:rsid w:val="0AAA48E8"/>
    <w:rsid w:val="0AC0235E"/>
    <w:rsid w:val="0B042439"/>
    <w:rsid w:val="0B7B7D63"/>
    <w:rsid w:val="0B866A2E"/>
    <w:rsid w:val="0BA80E28"/>
    <w:rsid w:val="0BCA5413"/>
    <w:rsid w:val="0BFB5B29"/>
    <w:rsid w:val="0C255D6D"/>
    <w:rsid w:val="0C6C0502"/>
    <w:rsid w:val="0C6C62F9"/>
    <w:rsid w:val="0C71390F"/>
    <w:rsid w:val="0C765ED2"/>
    <w:rsid w:val="0D2C7836"/>
    <w:rsid w:val="0D350DE1"/>
    <w:rsid w:val="0D58062B"/>
    <w:rsid w:val="0DFE7425"/>
    <w:rsid w:val="0E022299"/>
    <w:rsid w:val="0E325320"/>
    <w:rsid w:val="0E8F62CF"/>
    <w:rsid w:val="0EAF24CD"/>
    <w:rsid w:val="10944070"/>
    <w:rsid w:val="109D6F15"/>
    <w:rsid w:val="109E6C9D"/>
    <w:rsid w:val="10C34956"/>
    <w:rsid w:val="10E2302E"/>
    <w:rsid w:val="10EA5F52"/>
    <w:rsid w:val="114535BD"/>
    <w:rsid w:val="11867E5D"/>
    <w:rsid w:val="11944E2C"/>
    <w:rsid w:val="11B85B3D"/>
    <w:rsid w:val="120927D5"/>
    <w:rsid w:val="120C7C36"/>
    <w:rsid w:val="12105979"/>
    <w:rsid w:val="12384B3D"/>
    <w:rsid w:val="12583BA5"/>
    <w:rsid w:val="12706417"/>
    <w:rsid w:val="12771554"/>
    <w:rsid w:val="13734957"/>
    <w:rsid w:val="138B7476"/>
    <w:rsid w:val="13BA5B9C"/>
    <w:rsid w:val="14BB6070"/>
    <w:rsid w:val="150A66AF"/>
    <w:rsid w:val="15190FE8"/>
    <w:rsid w:val="1519357C"/>
    <w:rsid w:val="151F77AB"/>
    <w:rsid w:val="155572BB"/>
    <w:rsid w:val="159B7C4F"/>
    <w:rsid w:val="15C50828"/>
    <w:rsid w:val="16027CCE"/>
    <w:rsid w:val="16FE0496"/>
    <w:rsid w:val="17113AF9"/>
    <w:rsid w:val="17312619"/>
    <w:rsid w:val="173C0FBE"/>
    <w:rsid w:val="177C13BA"/>
    <w:rsid w:val="17AA572A"/>
    <w:rsid w:val="17F02536"/>
    <w:rsid w:val="194D73B5"/>
    <w:rsid w:val="19502AFF"/>
    <w:rsid w:val="198804EA"/>
    <w:rsid w:val="198C1D89"/>
    <w:rsid w:val="19B66E06"/>
    <w:rsid w:val="1A037B71"/>
    <w:rsid w:val="1A077661"/>
    <w:rsid w:val="1A7935F0"/>
    <w:rsid w:val="1AA80E44"/>
    <w:rsid w:val="1AC473D9"/>
    <w:rsid w:val="1AC5013C"/>
    <w:rsid w:val="1AF61E20"/>
    <w:rsid w:val="1B210BF7"/>
    <w:rsid w:val="1B214753"/>
    <w:rsid w:val="1B302BE8"/>
    <w:rsid w:val="1B697EA8"/>
    <w:rsid w:val="1B813443"/>
    <w:rsid w:val="1BB47375"/>
    <w:rsid w:val="1BCD48DA"/>
    <w:rsid w:val="1BE063BC"/>
    <w:rsid w:val="1C033E58"/>
    <w:rsid w:val="1C063FC0"/>
    <w:rsid w:val="1C3D55BC"/>
    <w:rsid w:val="1C5A616E"/>
    <w:rsid w:val="1CD557F5"/>
    <w:rsid w:val="1CE67A02"/>
    <w:rsid w:val="1D5C4168"/>
    <w:rsid w:val="1D5C7CC4"/>
    <w:rsid w:val="1D6923E1"/>
    <w:rsid w:val="1D8A2A83"/>
    <w:rsid w:val="1D97DEFF"/>
    <w:rsid w:val="1DC85359"/>
    <w:rsid w:val="1DDD64C7"/>
    <w:rsid w:val="1DFF72E5"/>
    <w:rsid w:val="1E0839A8"/>
    <w:rsid w:val="1E562965"/>
    <w:rsid w:val="1EBD0C36"/>
    <w:rsid w:val="1EFC6F07"/>
    <w:rsid w:val="1F0527A6"/>
    <w:rsid w:val="1F3E1D77"/>
    <w:rsid w:val="1F470500"/>
    <w:rsid w:val="1F947BE9"/>
    <w:rsid w:val="20687CE3"/>
    <w:rsid w:val="20AC2D10"/>
    <w:rsid w:val="20C22534"/>
    <w:rsid w:val="20E16435"/>
    <w:rsid w:val="21026DD4"/>
    <w:rsid w:val="211F34E2"/>
    <w:rsid w:val="215D225D"/>
    <w:rsid w:val="216435EB"/>
    <w:rsid w:val="21C67E02"/>
    <w:rsid w:val="21DA1633"/>
    <w:rsid w:val="222B4109"/>
    <w:rsid w:val="222F1E4B"/>
    <w:rsid w:val="22507B57"/>
    <w:rsid w:val="227D2BB6"/>
    <w:rsid w:val="22804455"/>
    <w:rsid w:val="22A31EF1"/>
    <w:rsid w:val="22AC03C2"/>
    <w:rsid w:val="22C00CF5"/>
    <w:rsid w:val="23A10B26"/>
    <w:rsid w:val="23E26A49"/>
    <w:rsid w:val="2418246B"/>
    <w:rsid w:val="24294678"/>
    <w:rsid w:val="244514B2"/>
    <w:rsid w:val="245931AF"/>
    <w:rsid w:val="24CF45A0"/>
    <w:rsid w:val="250017D3"/>
    <w:rsid w:val="250A26FB"/>
    <w:rsid w:val="251946ED"/>
    <w:rsid w:val="252D66FD"/>
    <w:rsid w:val="25317C88"/>
    <w:rsid w:val="255319AC"/>
    <w:rsid w:val="255B6AB3"/>
    <w:rsid w:val="259A582D"/>
    <w:rsid w:val="25EF3DCB"/>
    <w:rsid w:val="262B0B7B"/>
    <w:rsid w:val="264834DB"/>
    <w:rsid w:val="26727023"/>
    <w:rsid w:val="26DE799C"/>
    <w:rsid w:val="271B299E"/>
    <w:rsid w:val="27533EE6"/>
    <w:rsid w:val="275F6D2E"/>
    <w:rsid w:val="27767BD4"/>
    <w:rsid w:val="277D5407"/>
    <w:rsid w:val="283B15FE"/>
    <w:rsid w:val="284B33BE"/>
    <w:rsid w:val="286E4DBC"/>
    <w:rsid w:val="29714AF7"/>
    <w:rsid w:val="298C1931"/>
    <w:rsid w:val="29AF73CD"/>
    <w:rsid w:val="29BB2216"/>
    <w:rsid w:val="29E452C9"/>
    <w:rsid w:val="2A24600D"/>
    <w:rsid w:val="2A5A558B"/>
    <w:rsid w:val="2ABC6246"/>
    <w:rsid w:val="2AE9690F"/>
    <w:rsid w:val="2B08148B"/>
    <w:rsid w:val="2B3B716B"/>
    <w:rsid w:val="2B8072A0"/>
    <w:rsid w:val="2BBC3256"/>
    <w:rsid w:val="2BC5112A"/>
    <w:rsid w:val="2BCC4267"/>
    <w:rsid w:val="2C867F83"/>
    <w:rsid w:val="2CBE62A5"/>
    <w:rsid w:val="2CE05106"/>
    <w:rsid w:val="2CE90A48"/>
    <w:rsid w:val="2D391DD0"/>
    <w:rsid w:val="2E0E6DB8"/>
    <w:rsid w:val="2E7B3D22"/>
    <w:rsid w:val="2E8D23D3"/>
    <w:rsid w:val="2F61116A"/>
    <w:rsid w:val="2FC31E25"/>
    <w:rsid w:val="2FD858D0"/>
    <w:rsid w:val="2FDF85B8"/>
    <w:rsid w:val="2FFFEE04"/>
    <w:rsid w:val="304F36B8"/>
    <w:rsid w:val="30881D1B"/>
    <w:rsid w:val="3089479E"/>
    <w:rsid w:val="30977539"/>
    <w:rsid w:val="30F93D50"/>
    <w:rsid w:val="31615451"/>
    <w:rsid w:val="3186310A"/>
    <w:rsid w:val="31C95635"/>
    <w:rsid w:val="320209E2"/>
    <w:rsid w:val="3216623C"/>
    <w:rsid w:val="327D275F"/>
    <w:rsid w:val="32C75788"/>
    <w:rsid w:val="32D16607"/>
    <w:rsid w:val="32D71C14"/>
    <w:rsid w:val="32E75E2A"/>
    <w:rsid w:val="333F7A14"/>
    <w:rsid w:val="336254B1"/>
    <w:rsid w:val="33AF4B9A"/>
    <w:rsid w:val="33AF6948"/>
    <w:rsid w:val="34272982"/>
    <w:rsid w:val="34C06933"/>
    <w:rsid w:val="34DD5737"/>
    <w:rsid w:val="34DF85B0"/>
    <w:rsid w:val="34E05800"/>
    <w:rsid w:val="3500231B"/>
    <w:rsid w:val="35DA3A24"/>
    <w:rsid w:val="364610BA"/>
    <w:rsid w:val="36621224"/>
    <w:rsid w:val="36BA5D2F"/>
    <w:rsid w:val="36FE4069"/>
    <w:rsid w:val="37024FE0"/>
    <w:rsid w:val="37133BC2"/>
    <w:rsid w:val="37135440"/>
    <w:rsid w:val="372B09DB"/>
    <w:rsid w:val="37C4673A"/>
    <w:rsid w:val="37F963E3"/>
    <w:rsid w:val="381E22EE"/>
    <w:rsid w:val="38A30A45"/>
    <w:rsid w:val="38BE5E78"/>
    <w:rsid w:val="38EF5A38"/>
    <w:rsid w:val="38FE5C7B"/>
    <w:rsid w:val="394915ED"/>
    <w:rsid w:val="396B5955"/>
    <w:rsid w:val="39AB5E03"/>
    <w:rsid w:val="3A266A81"/>
    <w:rsid w:val="3A2B6F44"/>
    <w:rsid w:val="3ACF167E"/>
    <w:rsid w:val="3B1D063B"/>
    <w:rsid w:val="3B4E6A46"/>
    <w:rsid w:val="3B8F36BC"/>
    <w:rsid w:val="3B936B4F"/>
    <w:rsid w:val="3BAB3E99"/>
    <w:rsid w:val="3BBD3634"/>
    <w:rsid w:val="3BF05D4F"/>
    <w:rsid w:val="3C3E4D0D"/>
    <w:rsid w:val="3C487939"/>
    <w:rsid w:val="3C793F97"/>
    <w:rsid w:val="3CAA05F4"/>
    <w:rsid w:val="3CB46D7D"/>
    <w:rsid w:val="3D6764E5"/>
    <w:rsid w:val="3D687B67"/>
    <w:rsid w:val="3DD11BB1"/>
    <w:rsid w:val="3DF32C30"/>
    <w:rsid w:val="3DF338D5"/>
    <w:rsid w:val="3E116017"/>
    <w:rsid w:val="3E622809"/>
    <w:rsid w:val="3E8409D1"/>
    <w:rsid w:val="3EAE40E4"/>
    <w:rsid w:val="3F0D6C18"/>
    <w:rsid w:val="3F125FDD"/>
    <w:rsid w:val="3F485EA2"/>
    <w:rsid w:val="40322DDA"/>
    <w:rsid w:val="404E74E8"/>
    <w:rsid w:val="40A315E2"/>
    <w:rsid w:val="40FC6F44"/>
    <w:rsid w:val="410B53D9"/>
    <w:rsid w:val="415154E2"/>
    <w:rsid w:val="418A27A2"/>
    <w:rsid w:val="418D13E5"/>
    <w:rsid w:val="41D67795"/>
    <w:rsid w:val="41D869DB"/>
    <w:rsid w:val="41F93484"/>
    <w:rsid w:val="420C31B7"/>
    <w:rsid w:val="425608D6"/>
    <w:rsid w:val="42975177"/>
    <w:rsid w:val="42976F25"/>
    <w:rsid w:val="42B51AA1"/>
    <w:rsid w:val="431C38CE"/>
    <w:rsid w:val="43866A12"/>
    <w:rsid w:val="439E60B3"/>
    <w:rsid w:val="43CC52F4"/>
    <w:rsid w:val="43DB1093"/>
    <w:rsid w:val="43EB5BA5"/>
    <w:rsid w:val="44246EDE"/>
    <w:rsid w:val="446D66E7"/>
    <w:rsid w:val="44782D86"/>
    <w:rsid w:val="44E73A68"/>
    <w:rsid w:val="45091C30"/>
    <w:rsid w:val="45352A25"/>
    <w:rsid w:val="457C68A6"/>
    <w:rsid w:val="46054AED"/>
    <w:rsid w:val="463B7823"/>
    <w:rsid w:val="46770F87"/>
    <w:rsid w:val="4690085B"/>
    <w:rsid w:val="46A05541"/>
    <w:rsid w:val="46DC584E"/>
    <w:rsid w:val="477C493B"/>
    <w:rsid w:val="47E0136E"/>
    <w:rsid w:val="47EC192A"/>
    <w:rsid w:val="483F42E6"/>
    <w:rsid w:val="48B9571B"/>
    <w:rsid w:val="48BB76E5"/>
    <w:rsid w:val="48C7608A"/>
    <w:rsid w:val="48DD3AFF"/>
    <w:rsid w:val="48DD765B"/>
    <w:rsid w:val="48F86243"/>
    <w:rsid w:val="491FF225"/>
    <w:rsid w:val="494B0A69"/>
    <w:rsid w:val="496A3433"/>
    <w:rsid w:val="49A168DB"/>
    <w:rsid w:val="49D071C0"/>
    <w:rsid w:val="49D3791F"/>
    <w:rsid w:val="49D62A28"/>
    <w:rsid w:val="4B047E79"/>
    <w:rsid w:val="4B386DCB"/>
    <w:rsid w:val="4B5C107E"/>
    <w:rsid w:val="4B8F2339"/>
    <w:rsid w:val="4B9F6E4A"/>
    <w:rsid w:val="4BE156B5"/>
    <w:rsid w:val="4C417FD8"/>
    <w:rsid w:val="4C4A14AC"/>
    <w:rsid w:val="4C523EBC"/>
    <w:rsid w:val="4C545E87"/>
    <w:rsid w:val="4C650094"/>
    <w:rsid w:val="4D553DB6"/>
    <w:rsid w:val="4D5A571F"/>
    <w:rsid w:val="4D7F5185"/>
    <w:rsid w:val="4DC91F90"/>
    <w:rsid w:val="4EC310A1"/>
    <w:rsid w:val="4F9071D6"/>
    <w:rsid w:val="4F98252E"/>
    <w:rsid w:val="4F9D1E71"/>
    <w:rsid w:val="4F9F1B0F"/>
    <w:rsid w:val="4FA72771"/>
    <w:rsid w:val="4FFD214C"/>
    <w:rsid w:val="503C55AF"/>
    <w:rsid w:val="50C80BF1"/>
    <w:rsid w:val="512A18AC"/>
    <w:rsid w:val="51622DF4"/>
    <w:rsid w:val="518C1C1F"/>
    <w:rsid w:val="51BD627C"/>
    <w:rsid w:val="51D04201"/>
    <w:rsid w:val="51EB4B97"/>
    <w:rsid w:val="52001F63"/>
    <w:rsid w:val="520914C1"/>
    <w:rsid w:val="52173BDE"/>
    <w:rsid w:val="52862B12"/>
    <w:rsid w:val="52C553E8"/>
    <w:rsid w:val="52F61177"/>
    <w:rsid w:val="531B76FE"/>
    <w:rsid w:val="5352765A"/>
    <w:rsid w:val="536C7F5A"/>
    <w:rsid w:val="538A1445"/>
    <w:rsid w:val="538C05FC"/>
    <w:rsid w:val="538F3C48"/>
    <w:rsid w:val="539F3E8B"/>
    <w:rsid w:val="53A5521A"/>
    <w:rsid w:val="54114FE9"/>
    <w:rsid w:val="54210D44"/>
    <w:rsid w:val="54244390"/>
    <w:rsid w:val="54297BF9"/>
    <w:rsid w:val="54387E3C"/>
    <w:rsid w:val="54703A7A"/>
    <w:rsid w:val="54802CFF"/>
    <w:rsid w:val="54C618EB"/>
    <w:rsid w:val="54EA382C"/>
    <w:rsid w:val="55572544"/>
    <w:rsid w:val="5569651D"/>
    <w:rsid w:val="55937A20"/>
    <w:rsid w:val="559D089E"/>
    <w:rsid w:val="560B3A5A"/>
    <w:rsid w:val="562543F0"/>
    <w:rsid w:val="56462CE4"/>
    <w:rsid w:val="564B654C"/>
    <w:rsid w:val="56521689"/>
    <w:rsid w:val="567E79B3"/>
    <w:rsid w:val="56E235EF"/>
    <w:rsid w:val="5777D4F5"/>
    <w:rsid w:val="57F22B6F"/>
    <w:rsid w:val="587B479B"/>
    <w:rsid w:val="58951D01"/>
    <w:rsid w:val="58C9181F"/>
    <w:rsid w:val="58CF5213"/>
    <w:rsid w:val="58DC7930"/>
    <w:rsid w:val="592A069B"/>
    <w:rsid w:val="59C3464B"/>
    <w:rsid w:val="59D6612D"/>
    <w:rsid w:val="59DD8326"/>
    <w:rsid w:val="5A47527D"/>
    <w:rsid w:val="5A7D0C9E"/>
    <w:rsid w:val="5B321A89"/>
    <w:rsid w:val="5B48305A"/>
    <w:rsid w:val="5B555777"/>
    <w:rsid w:val="5B750EEC"/>
    <w:rsid w:val="5B8B207C"/>
    <w:rsid w:val="5B8B2F47"/>
    <w:rsid w:val="5BE31E0F"/>
    <w:rsid w:val="5BEC1C38"/>
    <w:rsid w:val="5C9E573D"/>
    <w:rsid w:val="5CE7781B"/>
    <w:rsid w:val="5D2B343B"/>
    <w:rsid w:val="5D445AA3"/>
    <w:rsid w:val="5DDC3F2E"/>
    <w:rsid w:val="5DEF592A"/>
    <w:rsid w:val="5DF254FF"/>
    <w:rsid w:val="5E211941"/>
    <w:rsid w:val="5E4044BD"/>
    <w:rsid w:val="5E5E4943"/>
    <w:rsid w:val="5E79352B"/>
    <w:rsid w:val="5E7D301B"/>
    <w:rsid w:val="5E8343A9"/>
    <w:rsid w:val="5EC74623"/>
    <w:rsid w:val="5F16521D"/>
    <w:rsid w:val="5F3A53B0"/>
    <w:rsid w:val="5F555D46"/>
    <w:rsid w:val="5FBF1411"/>
    <w:rsid w:val="5FC6BB1E"/>
    <w:rsid w:val="5FF720F1"/>
    <w:rsid w:val="60D61108"/>
    <w:rsid w:val="60D96503"/>
    <w:rsid w:val="60DA0BF8"/>
    <w:rsid w:val="611B2398"/>
    <w:rsid w:val="6166423A"/>
    <w:rsid w:val="61926DDD"/>
    <w:rsid w:val="61A56F03"/>
    <w:rsid w:val="61C86CA3"/>
    <w:rsid w:val="61CE3B8D"/>
    <w:rsid w:val="622964C1"/>
    <w:rsid w:val="624F4CCE"/>
    <w:rsid w:val="625935EA"/>
    <w:rsid w:val="62854B94"/>
    <w:rsid w:val="62CD2097"/>
    <w:rsid w:val="62CF4061"/>
    <w:rsid w:val="62EF200D"/>
    <w:rsid w:val="630C2BBF"/>
    <w:rsid w:val="63161C90"/>
    <w:rsid w:val="632C14B3"/>
    <w:rsid w:val="63310878"/>
    <w:rsid w:val="63B1353D"/>
    <w:rsid w:val="63B23767"/>
    <w:rsid w:val="63B3128D"/>
    <w:rsid w:val="63FA510E"/>
    <w:rsid w:val="64502F80"/>
    <w:rsid w:val="64682077"/>
    <w:rsid w:val="648A0240"/>
    <w:rsid w:val="653308D7"/>
    <w:rsid w:val="65385EEE"/>
    <w:rsid w:val="659A2704"/>
    <w:rsid w:val="659A6BA8"/>
    <w:rsid w:val="65BC08CD"/>
    <w:rsid w:val="65C21C5B"/>
    <w:rsid w:val="65D53F00"/>
    <w:rsid w:val="65F322FD"/>
    <w:rsid w:val="66442670"/>
    <w:rsid w:val="66FE3167"/>
    <w:rsid w:val="675863D3"/>
    <w:rsid w:val="67C9107F"/>
    <w:rsid w:val="67DF4006"/>
    <w:rsid w:val="67FF5C0B"/>
    <w:rsid w:val="68142C42"/>
    <w:rsid w:val="68447EF6"/>
    <w:rsid w:val="68703BF0"/>
    <w:rsid w:val="68EB3277"/>
    <w:rsid w:val="69653029"/>
    <w:rsid w:val="696A0640"/>
    <w:rsid w:val="69855479"/>
    <w:rsid w:val="69877444"/>
    <w:rsid w:val="69CA2B35"/>
    <w:rsid w:val="6A0445F0"/>
    <w:rsid w:val="6A356EA0"/>
    <w:rsid w:val="6A7554EE"/>
    <w:rsid w:val="6AB73D58"/>
    <w:rsid w:val="6AFC79BD"/>
    <w:rsid w:val="6B225676"/>
    <w:rsid w:val="6B5E41D4"/>
    <w:rsid w:val="6B8C2459"/>
    <w:rsid w:val="6BAA4A2F"/>
    <w:rsid w:val="6C0C59DE"/>
    <w:rsid w:val="6CBF1AC9"/>
    <w:rsid w:val="6D605FE2"/>
    <w:rsid w:val="6DDEC5C0"/>
    <w:rsid w:val="6E041063"/>
    <w:rsid w:val="6E2F3C06"/>
    <w:rsid w:val="6EA27A4F"/>
    <w:rsid w:val="6ED76777"/>
    <w:rsid w:val="6EEE555E"/>
    <w:rsid w:val="6EFC0924"/>
    <w:rsid w:val="6F3C2A7E"/>
    <w:rsid w:val="6F5A4CB2"/>
    <w:rsid w:val="6F5B58E3"/>
    <w:rsid w:val="6F875CF8"/>
    <w:rsid w:val="6FA04DBB"/>
    <w:rsid w:val="6FB74722"/>
    <w:rsid w:val="6FC211D5"/>
    <w:rsid w:val="6FEF8B7E"/>
    <w:rsid w:val="702B0EE2"/>
    <w:rsid w:val="703A4106"/>
    <w:rsid w:val="70B30B1E"/>
    <w:rsid w:val="714B0D57"/>
    <w:rsid w:val="71571FBA"/>
    <w:rsid w:val="715C2F64"/>
    <w:rsid w:val="716F713B"/>
    <w:rsid w:val="717958C4"/>
    <w:rsid w:val="717FE77F"/>
    <w:rsid w:val="71973F9C"/>
    <w:rsid w:val="71A6591B"/>
    <w:rsid w:val="720E0702"/>
    <w:rsid w:val="722F68CA"/>
    <w:rsid w:val="72404633"/>
    <w:rsid w:val="728E35F1"/>
    <w:rsid w:val="729F75AC"/>
    <w:rsid w:val="72F84F0E"/>
    <w:rsid w:val="73247AB1"/>
    <w:rsid w:val="7338355D"/>
    <w:rsid w:val="737D59BA"/>
    <w:rsid w:val="737F32B1"/>
    <w:rsid w:val="73BD3FCA"/>
    <w:rsid w:val="744C6B36"/>
    <w:rsid w:val="747607E0"/>
    <w:rsid w:val="75B25848"/>
    <w:rsid w:val="75C44D0C"/>
    <w:rsid w:val="75C4732A"/>
    <w:rsid w:val="75C5557C"/>
    <w:rsid w:val="75D44E39"/>
    <w:rsid w:val="75ED6880"/>
    <w:rsid w:val="762075D5"/>
    <w:rsid w:val="762A1882"/>
    <w:rsid w:val="76684159"/>
    <w:rsid w:val="766B2934"/>
    <w:rsid w:val="7671300D"/>
    <w:rsid w:val="7693567A"/>
    <w:rsid w:val="76B80C3C"/>
    <w:rsid w:val="76C021E7"/>
    <w:rsid w:val="77073972"/>
    <w:rsid w:val="77161E07"/>
    <w:rsid w:val="7730111A"/>
    <w:rsid w:val="776BDA01"/>
    <w:rsid w:val="77B96132"/>
    <w:rsid w:val="77C37683"/>
    <w:rsid w:val="78322C70"/>
    <w:rsid w:val="784F55D0"/>
    <w:rsid w:val="7876121D"/>
    <w:rsid w:val="78B24E6F"/>
    <w:rsid w:val="78DF4BA6"/>
    <w:rsid w:val="78F915C9"/>
    <w:rsid w:val="79314CD6"/>
    <w:rsid w:val="79387CB6"/>
    <w:rsid w:val="793B7903"/>
    <w:rsid w:val="79667075"/>
    <w:rsid w:val="7969375C"/>
    <w:rsid w:val="796E798B"/>
    <w:rsid w:val="79881FD6"/>
    <w:rsid w:val="79951709"/>
    <w:rsid w:val="79DD09BA"/>
    <w:rsid w:val="79E461EC"/>
    <w:rsid w:val="79FF515B"/>
    <w:rsid w:val="7A140880"/>
    <w:rsid w:val="7A9279F6"/>
    <w:rsid w:val="7ADD3367"/>
    <w:rsid w:val="7B05641A"/>
    <w:rsid w:val="7BC77B74"/>
    <w:rsid w:val="7C136915"/>
    <w:rsid w:val="7C176405"/>
    <w:rsid w:val="7C442F72"/>
    <w:rsid w:val="7C6A0C2B"/>
    <w:rsid w:val="7C6B04FF"/>
    <w:rsid w:val="7C8D5A55"/>
    <w:rsid w:val="7CD04B69"/>
    <w:rsid w:val="7CDB4E1D"/>
    <w:rsid w:val="7CFE5817"/>
    <w:rsid w:val="7D11554A"/>
    <w:rsid w:val="7D3B6123"/>
    <w:rsid w:val="7D6E474B"/>
    <w:rsid w:val="7D8E6B9B"/>
    <w:rsid w:val="7DFBFF20"/>
    <w:rsid w:val="7E3A287F"/>
    <w:rsid w:val="7E492AC2"/>
    <w:rsid w:val="7E574376"/>
    <w:rsid w:val="7E9E1962"/>
    <w:rsid w:val="7E9F11B4"/>
    <w:rsid w:val="7F144E7E"/>
    <w:rsid w:val="7F37EC1E"/>
    <w:rsid w:val="7F7C0DDA"/>
    <w:rsid w:val="7F7DCD9D"/>
    <w:rsid w:val="7F970A6F"/>
    <w:rsid w:val="7F975393"/>
    <w:rsid w:val="7FC1FFF3"/>
    <w:rsid w:val="7FC69637"/>
    <w:rsid w:val="7FD64829"/>
    <w:rsid w:val="7FDF8620"/>
    <w:rsid w:val="7FE24F7C"/>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annotation subject"/>
    <w:basedOn w:val="6"/>
    <w:next w:val="1"/>
    <w:semiHidden/>
    <w:qFormat/>
    <w:uiPriority w:val="99"/>
    <w:rPr>
      <w:bCs/>
    </w:rPr>
  </w:style>
  <w:style w:type="paragraph" w:styleId="6">
    <w:name w:val="annotation text"/>
    <w:basedOn w:val="1"/>
    <w:semiHidden/>
    <w:qFormat/>
    <w:uiPriority w:val="99"/>
    <w:pPr>
      <w:jc w:val="left"/>
    </w:pPr>
  </w:style>
  <w:style w:type="paragraph" w:styleId="7">
    <w:name w:val="Body Text"/>
    <w:basedOn w:val="1"/>
    <w:next w:val="8"/>
    <w:unhideWhenUsed/>
    <w:qFormat/>
    <w:uiPriority w:val="99"/>
    <w:pPr>
      <w:spacing w:after="120"/>
    </w:pPr>
  </w:style>
  <w:style w:type="paragraph" w:styleId="8">
    <w:name w:val="toc 5"/>
    <w:basedOn w:val="1"/>
    <w:next w:val="1"/>
    <w:qFormat/>
    <w:uiPriority w:val="0"/>
    <w:pPr>
      <w:ind w:left="1680" w:leftChars="800"/>
    </w:pPr>
  </w:style>
  <w:style w:type="paragraph" w:styleId="9">
    <w:name w:val="Balloon Text"/>
    <w:basedOn w:val="1"/>
    <w:link w:val="20"/>
    <w:semiHidden/>
    <w:unhideWhenUsed/>
    <w:qFormat/>
    <w:uiPriority w:val="99"/>
    <w:rPr>
      <w:sz w:val="18"/>
      <w:szCs w:val="18"/>
    </w:rPr>
  </w:style>
  <w:style w:type="paragraph" w:styleId="10">
    <w:name w:val="footer"/>
    <w:basedOn w:val="1"/>
    <w:link w:val="17"/>
    <w:unhideWhenUsed/>
    <w:qFormat/>
    <w:uiPriority w:val="99"/>
    <w:pPr>
      <w:tabs>
        <w:tab w:val="center" w:pos="4153"/>
        <w:tab w:val="right" w:pos="8306"/>
      </w:tabs>
      <w:snapToGrid w:val="0"/>
      <w:jc w:val="left"/>
    </w:pPr>
    <w:rPr>
      <w:sz w:val="18"/>
      <w:szCs w:val="18"/>
    </w:rPr>
  </w:style>
  <w:style w:type="paragraph" w:styleId="11">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7"/>
    <w:qFormat/>
    <w:uiPriority w:val="0"/>
    <w:pPr>
      <w:ind w:firstLine="420" w:firstLineChars="100"/>
    </w:pPr>
  </w:style>
  <w:style w:type="character" w:customStyle="1" w:styleId="16">
    <w:name w:val="页眉 Char"/>
    <w:basedOn w:val="15"/>
    <w:link w:val="11"/>
    <w:qFormat/>
    <w:uiPriority w:val="99"/>
    <w:rPr>
      <w:sz w:val="18"/>
      <w:szCs w:val="18"/>
    </w:rPr>
  </w:style>
  <w:style w:type="character" w:customStyle="1" w:styleId="17">
    <w:name w:val="页脚 Char"/>
    <w:basedOn w:val="15"/>
    <w:link w:val="10"/>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5"/>
    <w:link w:val="9"/>
    <w:semiHidden/>
    <w:qFormat/>
    <w:uiPriority w:val="99"/>
    <w:rPr>
      <w:sz w:val="18"/>
      <w:szCs w:val="18"/>
    </w:rPr>
  </w:style>
  <w:style w:type="character" w:customStyle="1" w:styleId="21">
    <w:name w:val="font01"/>
    <w:basedOn w:val="15"/>
    <w:qFormat/>
    <w:uiPriority w:val="0"/>
    <w:rPr>
      <w:rFonts w:hint="eastAsia" w:ascii="宋体" w:hAnsi="宋体" w:eastAsia="宋体" w:cs="宋体"/>
      <w:color w:val="000000"/>
      <w:sz w:val="22"/>
      <w:szCs w:val="22"/>
      <w:u w:val="none"/>
    </w:rPr>
  </w:style>
  <w:style w:type="character" w:customStyle="1" w:styleId="22">
    <w:name w:val="font21"/>
    <w:basedOn w:val="15"/>
    <w:qFormat/>
    <w:uiPriority w:val="0"/>
    <w:rPr>
      <w:rFonts w:hint="eastAsia" w:ascii="宋体" w:hAnsi="宋体" w:eastAsia="宋体" w:cs="宋体"/>
      <w:color w:val="000000"/>
      <w:sz w:val="24"/>
      <w:szCs w:val="24"/>
      <w:u w:val="none"/>
    </w:rPr>
  </w:style>
  <w:style w:type="character" w:customStyle="1" w:styleId="23">
    <w:name w:val="font11"/>
    <w:basedOn w:val="1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11317</Words>
  <Characters>12253</Characters>
  <Lines>63</Lines>
  <Paragraphs>18</Paragraphs>
  <TotalTime>25</TotalTime>
  <ScaleCrop>false</ScaleCrop>
  <LinksUpToDate>false</LinksUpToDate>
  <CharactersWithSpaces>12267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易洪宇</cp:lastModifiedBy>
  <cp:lastPrinted>2024-08-11T02:20:00Z</cp:lastPrinted>
  <dcterms:modified xsi:type="dcterms:W3CDTF">2025-09-29T09:05:29Z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98623D6660B449428EB8E073C6C952EA</vt:lpwstr>
  </property>
</Properties>
</file>