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4C019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69FCD40F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  <w:bookmarkStart w:id="0" w:name="_GoBack"/>
      <w:bookmarkEnd w:id="0"/>
    </w:p>
    <w:p w14:paraId="34C773A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岳阳市养老和工伤保险服务中心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 w14:paraId="5F8CA39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 w14:paraId="3E2B890D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18AC8D6F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42F455B5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23EB27B0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702FC92D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409331C6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01E23D4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68E38B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F157AFF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93B6A2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A8EE425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CF704E3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0EFE75D">
      <w:pPr>
        <w:spacing w:line="600" w:lineRule="exact"/>
        <w:jc w:val="center"/>
        <w:rPr>
          <w:rFonts w:hint="default" w:ascii="Times New Roman" w:hAnsi="Times New Roman" w:eastAsia="FangSong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  <w:u w:val="single"/>
        </w:rPr>
        <w:t>（盖章）</w:t>
      </w:r>
    </w:p>
    <w:p w14:paraId="727F51DA">
      <w:pPr>
        <w:spacing w:line="600" w:lineRule="exact"/>
        <w:jc w:val="center"/>
        <w:rPr>
          <w:rFonts w:hint="default" w:ascii="Times New Roman" w:hAnsi="Times New Roman" w:eastAsia="KaiTi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27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日</w:t>
      </w:r>
    </w:p>
    <w:p w14:paraId="080A50E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（此页为封面）</w:t>
      </w: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岳阳市养老和工伤保险服务中心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 w14:paraId="50377EA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 w14:paraId="1EAC17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680286C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0F4F5A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岳阳市养老和工伤保险服务中心位于岳阳楼区炮台山路102号，隶属岳阳市人力资源和社会保障局，是专门从事企业养老保险、机关事业单位养老保险、工伤保险经办工作的公益一类副处级财政全额拨款事业单位。现有人员编制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val="en-US" w:eastAsia="zh-CN"/>
        </w:rPr>
        <w:t>85</w:t>
      </w: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名，下设部室：综合部、参保登记部、企保个人账户部、企保退休待遇部、工伤待遇部、工伤预防部、城居保部、内控稽核部、财务部、机关事保所、离退服务所、工伤事故勘察所、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val="en-US" w:eastAsia="zh-CN"/>
        </w:rPr>
        <w:t>统计信息部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eastAsia="zh-CN"/>
        </w:rPr>
        <w:t>。</w:t>
      </w:r>
    </w:p>
    <w:p w14:paraId="7B6D963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 w14:paraId="7E1EF72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  <w:t>（一）基本支出情况</w:t>
      </w:r>
    </w:p>
    <w:p w14:paraId="542CB93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2024年基本支出为1409.73万元，其中：人员经费1271.40万元、日常公用经费138.33万元。</w:t>
      </w:r>
    </w:p>
    <w:p w14:paraId="077320A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三公经费使用情况：三公经费合计使用0.51万元，全部为公务接待费，接待费实际开支占年初预算的51%。2024年“三公”经费支出决算数小于预算数的主要原因是认真贯彻落实中央“八项规定”精神和厉行节约要求，进一步从严控制“三公”经费开支，全年实际支出与预算有所节约。</w:t>
      </w:r>
    </w:p>
    <w:p w14:paraId="34126674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  <w:t>项目支出情况</w:t>
      </w:r>
    </w:p>
    <w:p w14:paraId="261EE69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项目支出为139.94万元，其中一般公共预算财政拨款66.51万元，国有资本经营预算财政拨款73.43万元。</w:t>
      </w:r>
    </w:p>
    <w:p w14:paraId="1709343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三、政府性基金预算支出情况</w:t>
      </w:r>
    </w:p>
    <w:p w14:paraId="6D7B47A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年度无政府性基金预算支出。</w:t>
      </w:r>
    </w:p>
    <w:p w14:paraId="750DBE1E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4FEAF53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年国有资本经营预算支出为73.43万元，为国有企业退休人员社会化管理补助支出，均为项目支出，该项目为非基建项目，用于市本级国有企业退休职工社会化管理服务、短信服务、政策宣传、上门资格认证服务等开支。具体为：办公费10.73万元、印刷费12.32万元、劳务费26.80万元、其他商品和服务支出20.03万元、生活补助3.55万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。</w:t>
      </w:r>
    </w:p>
    <w:p w14:paraId="7B05EEBE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093E015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年度在经费账套内无社会保险基金预算支出，社会保险基金设有独立账套核算，单独进行了绩效评价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。</w:t>
      </w:r>
    </w:p>
    <w:p w14:paraId="4174F9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42546F6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1、预算配置方面：财政供养人员控制在预算编制内。</w:t>
      </w:r>
    </w:p>
    <w:p w14:paraId="67E701A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2、预算管理方面：本着厉行节俭、只减不增的原则，严格执行“三公经费”标准和审批制度与程序，公用经费、“三公经费”都得到了有效控制。</w:t>
      </w:r>
    </w:p>
    <w:p w14:paraId="258B024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3、资产管理方面：健全内部控制制度，资产配置合理。对需要经过政府采购的项目均进行了政府采购，制度执行总体有效。</w:t>
      </w:r>
    </w:p>
    <w:p w14:paraId="296C3C8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4、职责履行方面：较好的完成了市本级企业职工基本养老保险、机关事业单位养老保险、工伤保险经办管理工作，切实大力宣传各种政策制度，优化服务，社会效益良好，社会公众满意度高。</w:t>
      </w:r>
    </w:p>
    <w:p w14:paraId="6D90C09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 w14:paraId="0F37B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认真对照市委市政府和局党组的要求，当前工作还存在着一定困难与问题，一是养老保险参保扩面和提高缴费率有一定难度。养老保险已基本实现全覆盖，目前未参保人员较少，加之养老保险缴费额逐年提高，参保人员存在一定的缴费负担，参保扩面与提高缴费率工作还需进一步攻坚克难。二是追缴违规领取社保基金有一定难度。由于目前暂未实现与公安、民政等部门的实时数据共享，只能通过人社部或省人社厅下发预警信息且信息预警准确度不高，仅靠人社部门追缴手段有限。</w:t>
      </w:r>
    </w:p>
    <w:p w14:paraId="32AA4F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5F009F5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300C5B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一）坚持党建引领。把党的政治建设摆在首位，把旗帜鲜明讲政治贯穿于经办工作的全过程、各方面，守好意识形态工作主阵地。推进全面从严治党，深化党风廉政建设和“三型四有”、作风建设主题活动，加强作风建设，夯实全市养老和工伤保险系统干部职工真抓实干的工作作风。</w:t>
      </w:r>
    </w:p>
    <w:p w14:paraId="379E8B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二）提升社会保障。继续落实企业职工养老保险全国统筹和工伤保险省级统筹。聚焦“温暖社保”行动计划，加大全面参保专项行动力度。推行社保服务“一窗办”“暖心办”“延伸办”，推进便民服务，实现经办能力全面提升。深入开展“四进四送”集中宣传活动，提升宣传效果。</w:t>
      </w:r>
    </w:p>
    <w:p w14:paraId="711B2A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（三）维护基金安全。加强部稽核考核系统、省社保中心、基金监管预警系统等渠道下发的疑点数据的分发和核查，加强部门联动,以“零容忍”态度严厉打击、严肃查处违规骗取社会保险待遇违法违纪行为。</w:t>
      </w:r>
    </w:p>
    <w:p w14:paraId="74EDD6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（四）突出创先争优。强化绩效考核和真抓实干督查激励考核，严格落实考核机制，全面完成省委省政府、市委市政府以及省、市人社部门下达的目标任务，推动我市社会保障事业高质量、可持续发展。</w:t>
      </w:r>
    </w:p>
    <w:p w14:paraId="5C84E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011400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596409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九、部门整体支出绩效自评结果拟应用和公开情况</w:t>
      </w:r>
    </w:p>
    <w:p w14:paraId="7F3599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本单位部门整体支出绩效自评报告已在本单位门户网站公开。</w:t>
      </w:r>
    </w:p>
    <w:p w14:paraId="1F209E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13F919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FangSong_GB2312" w:cs="Times New Roman"/>
          <w:sz w:val="32"/>
          <w:szCs w:val="32"/>
          <w:highlight w:val="none"/>
          <w:lang w:val="en-US" w:eastAsia="zh-CN"/>
        </w:rPr>
        <w:t>无。</w:t>
      </w:r>
    </w:p>
    <w:p w14:paraId="2E6C9E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53C349"/>
    <w:multiLevelType w:val="singleLevel"/>
    <w:tmpl w:val="9553C3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674F6A9"/>
    <w:multiLevelType w:val="singleLevel"/>
    <w:tmpl w:val="3674F6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F067417"/>
    <w:multiLevelType w:val="singleLevel"/>
    <w:tmpl w:val="5F0674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465031E"/>
    <w:multiLevelType w:val="singleLevel"/>
    <w:tmpl w:val="7465031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463BE"/>
    <w:rsid w:val="00501EE6"/>
    <w:rsid w:val="06B156A8"/>
    <w:rsid w:val="0A1B17B6"/>
    <w:rsid w:val="0BAC78DB"/>
    <w:rsid w:val="0C12272B"/>
    <w:rsid w:val="2F5C1DA5"/>
    <w:rsid w:val="2FA06136"/>
    <w:rsid w:val="31B77767"/>
    <w:rsid w:val="359A3628"/>
    <w:rsid w:val="466B7502"/>
    <w:rsid w:val="49CB13F2"/>
    <w:rsid w:val="4C0A12CF"/>
    <w:rsid w:val="5A753B98"/>
    <w:rsid w:val="67024A05"/>
    <w:rsid w:val="6B0625EA"/>
    <w:rsid w:val="6B4E4C35"/>
    <w:rsid w:val="6C3B62C3"/>
    <w:rsid w:val="7CC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1734</Words>
  <Characters>1824</Characters>
  <Lines>0</Lines>
  <Paragraphs>0</Paragraphs>
  <TotalTime>460</TotalTime>
  <ScaleCrop>false</ScaleCrop>
  <LinksUpToDate>false</LinksUpToDate>
  <CharactersWithSpaces>1835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2025-06-23T09:39:00Z</dcterms:created>
  <dc:creator>.</dc:creator>
  <cp:lastModifiedBy>大头</cp:lastModifiedBy>
  <cp:lastPrinted>2025-06-27T08:10:00Z</cp:lastPrinted>
  <dcterms:modified xsi:type="dcterms:W3CDTF">2025-07-30T01:36:56Z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1C31B7CE8BFC4BE7AA4DF745F88F58E4_11</vt:lpwstr>
  </property>
  <property fmtid="{D5CDD505-2E9C-101B-9397-08002B2CF9AE}" pid="4" name="KSOTemplateDocerSaveRecord">
    <vt:lpwstr>eyJoZGlkIjoiMTg0ZDQ4ZDc1NTM3Zjc0NmEzYjUzNjM5MDc2NjBjMWIiLCJ1c2VySWQiOiI2ODA2MTI2MTEifQ==</vt:lpwstr>
  </property>
</Properties>
</file>