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3E43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1FA22CA1">
      <w:pPr>
        <w:ind w:firstLine="1320" w:firstLineChars="3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岳阳市就业服务中心</w:t>
      </w:r>
    </w:p>
    <w:p w14:paraId="0F2D664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314CBEED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022048EF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79D84A75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1359C01F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1E418CCC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53FA8C84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A26E923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279E0357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A90E056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A4C359F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9297EF4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79E6226F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7A0CBE69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5255E95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1F38D3F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 w14:paraId="0492397D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eastAsia" w:eastAsia="楷体_GB2312" w:cs="Times New Roman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</w:t>
      </w:r>
      <w:r>
        <w:rPr>
          <w:rFonts w:hint="eastAsia" w:eastAsia="楷体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月 </w:t>
      </w:r>
      <w:r>
        <w:rPr>
          <w:rFonts w:hint="eastAsia" w:eastAsia="楷体_GB2312" w:cs="Times New Roman"/>
          <w:sz w:val="32"/>
          <w:szCs w:val="32"/>
          <w:highlight w:val="none"/>
          <w:lang w:val="en-US" w:eastAsia="zh-CN"/>
        </w:rPr>
        <w:t>23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 日</w:t>
      </w:r>
    </w:p>
    <w:p w14:paraId="7D3BC8F8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 w14:paraId="56604E0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岳阳市就业服务中心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</w:t>
      </w:r>
    </w:p>
    <w:p w14:paraId="6B94179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 w14:paraId="1F0486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433B8CD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78869A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我中心是公益一类副处级事业单位。中心在职在编人员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人，退休39人。内设5个部室，分别为综合部、基层平台服务部、人才交流服务部、农民工就业服务部、创业指导服务部。并辖市失业保险基金管理服务所、市创业培训服务所、市人力资源服务所3个分支机构。</w:t>
      </w:r>
    </w:p>
    <w:p w14:paraId="34CC2F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我中心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贯彻落实党中央和省委、市委关于就业创业、人力资源和失业保险工作的方针政策和决策部署，开展政府促进就业、人力资源服务和失业保险调查研究工作，积极参与制定政府促进就业、人力资源和失业保险的发展规划，并组织实施的行政辅助性工作，指导推进全市公共就业服务体系建设，面向社会提供就业、人才和培训等公益服务。</w:t>
      </w:r>
    </w:p>
    <w:p w14:paraId="4749031A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一般公共预算支出情况</w:t>
      </w:r>
    </w:p>
    <w:p w14:paraId="0BF49490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基本支出情况</w:t>
      </w:r>
    </w:p>
    <w:p w14:paraId="20ECE7D0">
      <w:pPr>
        <w:ind w:firstLine="640" w:firstLineChars="200"/>
        <w:rPr>
          <w:rFonts w:hint="default" w:ascii="Times New Roman" w:hAnsi="Times New Roman" w:eastAsia="仿宋_GB2312" w:cs="Times New Roman"/>
          <w:b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2024年基本支出年初预算数为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1494.72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万元（数据来源见表23）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是指为保障单位机构正常运转、完成日常工作任务而发生的各项支出，包括用于基本工资、津贴补贴等人员经费以及办公费、印刷费、水电费、差旅费等日常公用经费。</w:t>
      </w:r>
    </w:p>
    <w:p w14:paraId="71ABE664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 w14:paraId="3259F72B">
      <w:pPr>
        <w:ind w:firstLine="640" w:firstLineChars="200"/>
        <w:rPr>
          <w:rFonts w:hint="eastAsia" w:ascii="Times New Roman" w:hAnsi="Times New Roman" w:eastAsia="仿宋_GB2312" w:cs="Times New Roman"/>
          <w:b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项目预算为40万元。项目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支出数为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.00万元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其中1万元被财政冻结收回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，是指单位为完成特定行政工作任务或事业发展目标而发生的支出，包括有关业务工作经费、运行维护经费、其他事业发展资金等。其中：社保信息化便民服务创新提升行动专项专项支出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.00万元，主要用于开展就业创业工作方面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社会保险基金防风险堵漏洞专项工作经费专项支出10.00万元，主要用于开展失业保险基金和资金相关活动等正常运转工作方面。</w:t>
      </w:r>
    </w:p>
    <w:p w14:paraId="02848E6F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 w14:paraId="37B08BC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我中心无政府性基金预算支出情况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。</w:t>
      </w:r>
    </w:p>
    <w:p w14:paraId="0268F32B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5698BB9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我中心无国有资本经营预算支出情况。</w:t>
      </w:r>
    </w:p>
    <w:p w14:paraId="2C627506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6440A9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我中心无社会保险基金预算支出情况。</w:t>
      </w:r>
    </w:p>
    <w:p w14:paraId="3000B1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62E034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2024年度，我中心在“四本预算”支出的绩效目标管理下，取得了显著成效，不仅全面超额完成了预定的各项就业指标，还有效促进了社会稳定和经济发展，提升了服务对象的满意度，展现了良好的资产管理与业务开展能力，具体表现如下：</w:t>
      </w:r>
    </w:p>
    <w:p w14:paraId="2D9CB6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运行成本与管理效率：本年预算配置控制较好，财政供养人员控制在预算编制以内，编制数93人，2024年实际在职人数90人。本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着厉行节俭、只减不增的原则，严格执行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三公经费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标准和审批制度与程序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都得到了有效控制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2024年三公经费预算数3万元，决算数为2.04万元。</w:t>
      </w:r>
    </w:p>
    <w:p w14:paraId="5442577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履职效能：2024年度，我中心认真落实绩效管理目标，转变观念。根据年初工作计划和重点工作，积极履行职责，强化管理，很好地完成了年度工作目标，同时加强了预算收支的管理，建立健全了内部管理制度，严格了内部管理流程，部门整体支出管理得到了有效提升。</w:t>
      </w:r>
    </w:p>
    <w:p w14:paraId="3FF7C7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社会效能与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服务对象满意度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本年度，我中心持续加大政策制度宣传力度，创新宣传形式、拓展宣传渠道，确保政策信息广泛覆盖、精准触达。同时，以优化服务为抓手，不断提升服务质量与效率，切实增强公众获得感与满意度，取得了良好的社会效益，社会公众满意度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。</w:t>
      </w:r>
    </w:p>
    <w:p w14:paraId="292D37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可持续发展能力：近年来，在市委、市政府的坚强领导下，我中心紧扣核心目标，立足就业服务职能定位，积极构建全方位就业服务体系。通过一系列务实举措，有效缓解结构性就业矛盾，为区域经济社会可持续发展筑牢人力资源根基。未来，我中心将持续创新服务模式，完善长效工作机制，为实现更高质量和更充分就业目标注入持久动力。</w:t>
      </w:r>
    </w:p>
    <w:p w14:paraId="01D4429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 w14:paraId="065760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尽管202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年度我中心在诸多方面取得了显著成绩，但在深入分析与自我评估中，也发现了一些问题与挑战，这些问题可能影响到预算绩效的进一步提升和部门长期发展。具体分析如下：</w:t>
      </w:r>
    </w:p>
    <w:p w14:paraId="08E29780">
      <w:pPr>
        <w:pStyle w:val="2"/>
        <w:numPr>
          <w:ilvl w:val="0"/>
          <w:numId w:val="3"/>
        </w:num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预算绩效管理机制不健全，尚未建立科学、系统的绩效指标体系，难以全面、准确地衡量预算执行效果。</w:t>
      </w:r>
    </w:p>
    <w:p w14:paraId="3B947ED0">
      <w:pPr>
        <w:pStyle w:val="2"/>
        <w:numPr>
          <w:ilvl w:val="0"/>
          <w:numId w:val="3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预算管理精细化程度不足，与实际业务需求存在偏差，导致预算执行进度不均衡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，指标需调剂使用的问题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16EDEA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在采购培训服务、办公设备等过程中，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由于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政府采购流程复杂、效率低下，或是市场调研和供应商选择阶段耗时过长，偶尔出现采购周期较长，影响项目及时推进的情况。</w:t>
      </w:r>
    </w:p>
    <w:p w14:paraId="38A7BA2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6C8FAA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针对上述问题，建议采取以下措施：</w:t>
      </w:r>
    </w:p>
    <w:p w14:paraId="17E798EB">
      <w:pPr>
        <w:pStyle w:val="2"/>
        <w:numPr>
          <w:ilvl w:val="0"/>
          <w:numId w:val="5"/>
        </w:num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加强制度建设，完善财务管理制度，强化绩效结果应用。同时提升人员能力。加强预算绩效管理培训，增强科学编制与动态监控能力。</w:t>
      </w:r>
    </w:p>
    <w:p w14:paraId="60AD3007">
      <w:pPr>
        <w:pStyle w:val="2"/>
        <w:numPr>
          <w:ilvl w:val="0"/>
          <w:numId w:val="5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严格按照预算规定项目的财务支出内容进行财务预算，在预算金额内严控费用支出。推动建立过紧日子的长效机制，推进预算一体化系统建设，使预算管理水平更上台阶。</w:t>
      </w:r>
    </w:p>
    <w:p w14:paraId="27E2BC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简化政府采购流程，提升采购效率，同时加强供应商管理和评估，确保物资和服务质量。</w:t>
      </w:r>
    </w:p>
    <w:p w14:paraId="7AAE0B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通过这些问题的识别与改进，将进一步提升预算绩效管理水平，增强部门履职效能，促进资源的合理配置与高效利用。</w:t>
      </w:r>
    </w:p>
    <w:p w14:paraId="58CAC5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九、部门整体支出绩效自评结果拟应用和公开情况</w:t>
      </w:r>
    </w:p>
    <w:p w14:paraId="27E91D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250DF0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0E4EE7"/>
    <w:multiLevelType w:val="singleLevel"/>
    <w:tmpl w:val="C50E4EE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25274B2"/>
    <w:multiLevelType w:val="singleLevel"/>
    <w:tmpl w:val="F25274B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642E049"/>
    <w:multiLevelType w:val="singleLevel"/>
    <w:tmpl w:val="F642E0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6D00D27"/>
    <w:multiLevelType w:val="singleLevel"/>
    <w:tmpl w:val="56D00D27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B48FCA7"/>
    <w:multiLevelType w:val="singleLevel"/>
    <w:tmpl w:val="6B48FC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87391"/>
    <w:rsid w:val="7EF8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eastAsia="仿宋" w:cs="仿宋"/>
      <w:sz w:val="31"/>
      <w:szCs w:val="31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2025-07-30T01:33:00Z</dcterms:created>
  <dc:creator>大头</dc:creator>
  <cp:lastModifiedBy>大头</cp:lastModifiedBy>
  <dcterms:modified xsi:type="dcterms:W3CDTF">2025-07-30T01:35:31Z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BB8AC51AEEFA40A79E2E90888078197A_11</vt:lpwstr>
  </property>
</Properties>
</file>