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4"/>
        <w:jc w:val="center"/>
        <w:rPr>
          <w:sz w:val="56"/>
          <w:szCs w:val="56"/>
        </w:rPr>
      </w:pPr>
    </w:p>
    <w:p w14:paraId="3BDF5AB8">
      <w:pPr>
        <w:pStyle w:val="14"/>
        <w:jc w:val="center"/>
        <w:rPr>
          <w:sz w:val="56"/>
          <w:szCs w:val="56"/>
        </w:rPr>
      </w:pPr>
    </w:p>
    <w:p w14:paraId="60CA4575">
      <w:pPr>
        <w:pStyle w:val="14"/>
        <w:jc w:val="center"/>
        <w:rPr>
          <w:sz w:val="84"/>
          <w:szCs w:val="84"/>
        </w:rPr>
      </w:pPr>
    </w:p>
    <w:p w14:paraId="215EB31D">
      <w:pPr>
        <w:pStyle w:val="14"/>
        <w:jc w:val="center"/>
        <w:rPr>
          <w:sz w:val="84"/>
          <w:szCs w:val="84"/>
        </w:rPr>
      </w:pPr>
    </w:p>
    <w:p w14:paraId="376C8602">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15AEDD8E">
      <w:pPr>
        <w:pStyle w:val="14"/>
        <w:jc w:val="center"/>
        <w:rPr>
          <w:rFonts w:hint="eastAsia" w:ascii="方正小标宋_GBK" w:hAnsi="方正小标宋_GBK" w:eastAsia="方正小标宋_GBK" w:cs="方正小标宋_GBK"/>
          <w:sz w:val="84"/>
          <w:szCs w:val="84"/>
          <w:lang w:val="en-US" w:eastAsia="zh-CN"/>
        </w:rPr>
      </w:pPr>
      <w:r>
        <w:rPr>
          <w:rFonts w:hint="eastAsia" w:ascii="方正小标宋_GBK" w:hAnsi="方正小标宋_GBK" w:eastAsia="方正小标宋_GBK" w:cs="方正小标宋_GBK"/>
          <w:sz w:val="84"/>
          <w:szCs w:val="84"/>
          <w:lang w:val="en-US" w:eastAsia="zh-CN"/>
        </w:rPr>
        <w:t>岳阳市就业服务中心</w:t>
      </w:r>
    </w:p>
    <w:p w14:paraId="6934EBE9">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14:paraId="3A699C16">
      <w:pPr>
        <w:pStyle w:val="14"/>
        <w:jc w:val="center"/>
        <w:rPr>
          <w:rFonts w:hint="eastAsia" w:ascii="方正小标宋_GBK" w:hAnsi="方正小标宋_GBK" w:eastAsia="方正小标宋_GBK" w:cs="方正小标宋_GBK"/>
          <w:sz w:val="56"/>
          <w:szCs w:val="56"/>
        </w:rPr>
      </w:pPr>
    </w:p>
    <w:p w14:paraId="72C8FB58">
      <w:pPr>
        <w:pStyle w:val="14"/>
        <w:jc w:val="center"/>
        <w:rPr>
          <w:sz w:val="56"/>
          <w:szCs w:val="56"/>
        </w:rPr>
      </w:pPr>
    </w:p>
    <w:p w14:paraId="25018D25">
      <w:pPr>
        <w:pStyle w:val="14"/>
        <w:jc w:val="center"/>
        <w:rPr>
          <w:sz w:val="56"/>
          <w:szCs w:val="56"/>
        </w:rPr>
      </w:pPr>
    </w:p>
    <w:p w14:paraId="5EE73A38">
      <w:pPr>
        <w:pStyle w:val="14"/>
        <w:jc w:val="center"/>
        <w:rPr>
          <w:sz w:val="56"/>
          <w:szCs w:val="56"/>
        </w:rPr>
      </w:pPr>
    </w:p>
    <w:p w14:paraId="297571C5">
      <w:pPr>
        <w:pStyle w:val="14"/>
        <w:jc w:val="center"/>
        <w:rPr>
          <w:sz w:val="32"/>
          <w:szCs w:val="32"/>
        </w:rPr>
      </w:pPr>
    </w:p>
    <w:p w14:paraId="08493D1E">
      <w:pPr>
        <w:pStyle w:val="14"/>
        <w:jc w:val="center"/>
        <w:rPr>
          <w:sz w:val="32"/>
          <w:szCs w:val="32"/>
        </w:rPr>
      </w:pPr>
    </w:p>
    <w:p w14:paraId="5BD6E8BD">
      <w:pPr>
        <w:pStyle w:val="14"/>
        <w:jc w:val="center"/>
        <w:rPr>
          <w:sz w:val="32"/>
          <w:szCs w:val="32"/>
        </w:rPr>
      </w:pPr>
    </w:p>
    <w:p w14:paraId="1062A3B4">
      <w:pPr>
        <w:pStyle w:val="14"/>
        <w:jc w:val="center"/>
        <w:rPr>
          <w:sz w:val="32"/>
          <w:szCs w:val="32"/>
        </w:rPr>
      </w:pPr>
    </w:p>
    <w:p w14:paraId="6E6A6544">
      <w:pPr>
        <w:rPr>
          <w:rFonts w:hint="eastAsia"/>
          <w:b/>
          <w:sz w:val="36"/>
          <w:szCs w:val="28"/>
        </w:rPr>
      </w:pPr>
      <w:r>
        <w:rPr>
          <w:rFonts w:hint="eastAsia"/>
          <w:b/>
          <w:sz w:val="36"/>
          <w:szCs w:val="28"/>
        </w:rPr>
        <w:br w:type="page"/>
      </w:r>
    </w:p>
    <w:p w14:paraId="24F3309B">
      <w:pPr>
        <w:pStyle w:val="14"/>
        <w:spacing w:line="500" w:lineRule="exact"/>
        <w:jc w:val="center"/>
        <w:rPr>
          <w:b/>
          <w:sz w:val="36"/>
          <w:szCs w:val="28"/>
        </w:rPr>
      </w:pPr>
      <w:r>
        <w:rPr>
          <w:rFonts w:hint="eastAsia"/>
          <w:b/>
          <w:sz w:val="36"/>
          <w:szCs w:val="28"/>
        </w:rPr>
        <w:t>目录</w:t>
      </w:r>
    </w:p>
    <w:p w14:paraId="6CBD0C22">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岳阳市就业服务中心</w:t>
      </w:r>
      <w:r>
        <w:rPr>
          <w:rFonts w:hint="eastAsia" w:ascii="黑体" w:hAnsi="黑体" w:eastAsia="黑体" w:cs="黑体"/>
          <w:b w:val="0"/>
          <w:bCs/>
          <w:sz w:val="28"/>
          <w:szCs w:val="28"/>
        </w:rPr>
        <w:t>概况</w:t>
      </w:r>
    </w:p>
    <w:p w14:paraId="060CB1D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4"/>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br w:type="page"/>
      </w:r>
    </w:p>
    <w:p w14:paraId="7451E5AB">
      <w:pPr>
        <w:pStyle w:val="14"/>
        <w:jc w:val="center"/>
        <w:rPr>
          <w:rFonts w:hint="eastAsia" w:ascii="方正小标宋_GBK" w:hAnsi="方正小标宋_GBK" w:eastAsia="方正小标宋_GBK" w:cs="方正小标宋_GBK"/>
          <w:sz w:val="84"/>
          <w:szCs w:val="84"/>
        </w:rPr>
      </w:pPr>
    </w:p>
    <w:p w14:paraId="1095DEAB">
      <w:pPr>
        <w:pStyle w:val="14"/>
        <w:jc w:val="center"/>
        <w:rPr>
          <w:rFonts w:hint="eastAsia" w:ascii="方正小标宋_GBK" w:hAnsi="方正小标宋_GBK" w:eastAsia="方正小标宋_GBK" w:cs="方正小标宋_GBK"/>
          <w:sz w:val="84"/>
          <w:szCs w:val="84"/>
        </w:rPr>
      </w:pPr>
    </w:p>
    <w:p w14:paraId="0DEEC249">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4"/>
        <w:jc w:val="center"/>
        <w:rPr>
          <w:rFonts w:hint="eastAsia" w:ascii="方正小标宋_GBK" w:hAnsi="方正小标宋_GBK" w:eastAsia="方正小标宋_GBK" w:cs="方正小标宋_GBK"/>
          <w:sz w:val="84"/>
          <w:szCs w:val="84"/>
        </w:rPr>
      </w:pP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岳阳市就业服务中心</w:t>
      </w:r>
      <w:r>
        <w:rPr>
          <w:rFonts w:hint="eastAsia" w:ascii="方正小标宋_GBK" w:hAnsi="方正小标宋_GBK" w:eastAsia="方正小标宋_GBK" w:cs="方正小标宋_GBK"/>
          <w:sz w:val="84"/>
          <w:szCs w:val="84"/>
        </w:rPr>
        <w:t>概况</w:t>
      </w:r>
    </w:p>
    <w:p w14:paraId="77A0C778">
      <w:pPr>
        <w:pStyle w:val="9"/>
        <w:rPr>
          <w:rFonts w:hint="eastAsia" w:ascii="方正小标宋_GBK" w:hAnsi="方正小标宋_GBK" w:eastAsia="方正小标宋_GBK" w:cs="方正小标宋_GBK"/>
          <w:sz w:val="84"/>
          <w:szCs w:val="84"/>
        </w:rPr>
      </w:pPr>
    </w:p>
    <w:p w14:paraId="397AC3FB">
      <w:pPr>
        <w:pStyle w:val="5"/>
        <w:rPr>
          <w:rFonts w:hint="eastAsia" w:ascii="方正小标宋_GBK" w:hAnsi="方正小标宋_GBK" w:eastAsia="方正小标宋_GBK" w:cs="方正小标宋_GBK"/>
          <w:sz w:val="84"/>
          <w:szCs w:val="84"/>
        </w:rPr>
      </w:pPr>
    </w:p>
    <w:p w14:paraId="13F2C40A">
      <w:pPr>
        <w:rPr>
          <w:rFonts w:hint="eastAsia" w:ascii="方正小标宋_GBK" w:hAnsi="方正小标宋_GBK" w:eastAsia="方正小标宋_GBK" w:cs="方正小标宋_GBK"/>
          <w:sz w:val="84"/>
          <w:szCs w:val="84"/>
        </w:rPr>
      </w:pPr>
    </w:p>
    <w:p w14:paraId="128B0AE2">
      <w:pPr>
        <w:pStyle w:val="9"/>
        <w:rPr>
          <w:rFonts w:hint="eastAsia" w:ascii="方正小标宋_GBK" w:hAnsi="方正小标宋_GBK" w:eastAsia="方正小标宋_GBK" w:cs="方正小标宋_GBK"/>
          <w:sz w:val="84"/>
          <w:szCs w:val="84"/>
        </w:rPr>
      </w:pPr>
    </w:p>
    <w:p w14:paraId="1469560B">
      <w:pP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br w:type="page"/>
      </w:r>
    </w:p>
    <w:p w14:paraId="55E857AF">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45E27E4B">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参与制定政府促进就业、人才强市和失业保险的发展规划并实施的行政辅助性工作；参与制定就业服务发展规划和年度工作计划并实施的行政辅助工作；知道全市公共就业服务体系建设的行政辅助工作；负责市就业创业和农民工工作领导小组办公室</w:t>
      </w:r>
      <w:r>
        <w:rPr>
          <w:rFonts w:hint="eastAsia" w:ascii="Times New Roman" w:hAnsi="Times New Roman" w:eastAsia="仿宋_GB2312" w:cs="仿宋_GB2312"/>
          <w:bCs/>
          <w:kern w:val="0"/>
          <w:sz w:val="32"/>
          <w:szCs w:val="32"/>
          <w:lang w:val="en-US" w:eastAsia="zh-CN"/>
        </w:rPr>
        <w:t>的日常事务性工作；负责市委人才工作领导小组办公室的日常事务性工作；负责组织落实促进就业各项政策措施的事务性工作，为相应服务对象提供政策咨询、岗位信息、就业失业与求职等级、职业指导、就业援助等公共就业服务；负责事业单位人员教育培训工作；负责专业技术人员继续教育的具体组织实施，开展其他人事人才业务范围内的培训工作；负责高校毕业生就业服务相关工作等职责</w:t>
      </w:r>
      <w:r>
        <w:rPr>
          <w:rFonts w:hint="eastAsia" w:ascii="Times New Roman" w:hAnsi="Times New Roman" w:eastAsia="仿宋_GB2312" w:cs="仿宋_GB2312"/>
          <w:bCs/>
          <w:kern w:val="0"/>
          <w:sz w:val="32"/>
          <w:szCs w:val="32"/>
          <w:lang w:val="en-US"/>
        </w:rPr>
        <w:t>。</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1A401928">
      <w:pPr>
        <w:keepNext/>
        <w:keepLines/>
        <w:spacing w:beforeLines="0" w:afterLines="0"/>
        <w:ind w:firstLine="64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val="en-US" w:eastAsia="zh-CN"/>
        </w:rPr>
        <w:t>岳阳市就业服务中心</w:t>
      </w:r>
      <w:r>
        <w:rPr>
          <w:rFonts w:hint="eastAsia" w:ascii="Times New Roman" w:hAnsi="Times New Roman" w:eastAsia="仿宋_GB2312" w:cs="仿宋_GB2312"/>
          <w:bCs/>
          <w:kern w:val="0"/>
          <w:sz w:val="32"/>
          <w:szCs w:val="32"/>
        </w:rPr>
        <w:t>内设机构包括：</w:t>
      </w:r>
      <w:r>
        <w:rPr>
          <w:rFonts w:hint="eastAsia" w:ascii="Times New Roman" w:hAnsi="Times New Roman" w:eastAsia="仿宋_GB2312" w:cs="仿宋_GB2312"/>
          <w:bCs/>
          <w:kern w:val="0"/>
          <w:sz w:val="32"/>
          <w:szCs w:val="32"/>
          <w:lang w:val="en-US" w:eastAsia="zh-CN"/>
        </w:rPr>
        <w:t>综合部、基层平台服务部、</w:t>
      </w:r>
      <w:bookmarkStart w:id="0" w:name="_GoBack"/>
      <w:bookmarkEnd w:id="0"/>
      <w:r>
        <w:rPr>
          <w:rFonts w:hint="eastAsia" w:ascii="Times New Roman" w:hAnsi="Times New Roman" w:eastAsia="仿宋_GB2312" w:cs="仿宋_GB2312"/>
          <w:bCs/>
          <w:kern w:val="0"/>
          <w:sz w:val="32"/>
          <w:szCs w:val="32"/>
          <w:lang w:val="en-US" w:eastAsia="zh-CN"/>
        </w:rPr>
        <w:t>农民工就业服务部、创业指导部、党办、离退休人员管理服务部</w:t>
      </w:r>
      <w:r>
        <w:rPr>
          <w:rFonts w:hint="eastAsia" w:ascii="Times New Roman" w:hAnsi="Times New Roman" w:eastAsia="仿宋_GB2312" w:cs="仿宋_GB2312"/>
          <w:bCs/>
          <w:kern w:val="0"/>
          <w:sz w:val="32"/>
          <w:szCs w:val="32"/>
          <w:lang w:val="zh-CN"/>
        </w:rPr>
        <w:t>。</w:t>
      </w:r>
      <w:r>
        <w:rPr>
          <w:rFonts w:hint="eastAsia" w:ascii="Times New Roman" w:hAnsi="Times New Roman" w:eastAsia="仿宋_GB2312" w:cs="仿宋_GB2312"/>
          <w:bCs/>
          <w:kern w:val="0"/>
          <w:sz w:val="32"/>
          <w:szCs w:val="32"/>
          <w:lang w:val="en-US" w:eastAsia="zh-CN"/>
        </w:rPr>
        <w:t>另下辖三个正科级事业单位，分别是市失业保险基金管理服务所、市创业培训服务所、市人力资源服务所。</w:t>
      </w:r>
    </w:p>
    <w:p w14:paraId="121910D4">
      <w:pPr>
        <w:keepNext/>
        <w:keepLines/>
        <w:spacing w:beforeLines="0" w:afterLines="0"/>
        <w:ind w:firstLine="64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val="en-US" w:eastAsia="zh-CN"/>
        </w:rPr>
        <w:t>岳阳市就业服务中心</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年部门决算汇总公开单位构成包括：</w:t>
      </w:r>
      <w:r>
        <w:rPr>
          <w:rFonts w:hint="eastAsia" w:ascii="Times New Roman" w:hAnsi="Times New Roman" w:eastAsia="仿宋_GB2312" w:cs="仿宋_GB2312"/>
          <w:bCs/>
          <w:kern w:val="0"/>
          <w:sz w:val="32"/>
          <w:szCs w:val="32"/>
          <w:lang w:val="en-US" w:eastAsia="zh-CN"/>
        </w:rPr>
        <w:t>本单位为岳阳市人力资源和社会保障局的二级机构，无财务独立的下属单位或机构。</w:t>
      </w:r>
    </w:p>
    <w:p w14:paraId="5C24333C">
      <w:pPr>
        <w:keepNext/>
        <w:keepLines/>
        <w:spacing w:beforeLines="0" w:afterLines="0"/>
        <w:ind w:firstLine="640"/>
        <w:rPr>
          <w:rFonts w:hint="eastAsia" w:ascii="Times New Roman" w:hAnsi="Times New Roman" w:eastAsia="仿宋_GB2312" w:cs="仿宋_GB2312"/>
          <w:bCs/>
          <w:kern w:val="0"/>
          <w:sz w:val="32"/>
          <w:szCs w:val="32"/>
          <w:lang w:val="en-US" w:eastAsia="zh-CN"/>
        </w:rPr>
      </w:pPr>
    </w:p>
    <w:p w14:paraId="38152785"/>
    <w:p w14:paraId="3CE56614">
      <w:pPr>
        <w:pStyle w:val="9"/>
      </w:pPr>
    </w:p>
    <w:p w14:paraId="70B4D569">
      <w:pPr>
        <w:pStyle w:val="5"/>
      </w:pPr>
    </w:p>
    <w:p w14:paraId="5B1D6CBC"/>
    <w:p w14:paraId="7D6C31E4">
      <w:pPr>
        <w:pStyle w:val="9"/>
      </w:pPr>
    </w:p>
    <w:p w14:paraId="056E4ECA">
      <w:pPr>
        <w:pStyle w:val="5"/>
      </w:pPr>
    </w:p>
    <w:p w14:paraId="3288C9C5"/>
    <w:p w14:paraId="14507043">
      <w:pPr>
        <w:pStyle w:val="9"/>
      </w:pPr>
    </w:p>
    <w:p w14:paraId="465EA8BD">
      <w:r>
        <w:br w:type="page"/>
      </w:r>
    </w:p>
    <w:p w14:paraId="2E2DDAD5"/>
    <w:p w14:paraId="49E51758"/>
    <w:p w14:paraId="3DC8C6CD">
      <w:pPr>
        <w:pStyle w:val="9"/>
      </w:pPr>
    </w:p>
    <w:p w14:paraId="36E702E5">
      <w:pPr>
        <w:pStyle w:val="5"/>
      </w:pPr>
    </w:p>
    <w:p w14:paraId="0416550A"/>
    <w:p w14:paraId="28B49BCE">
      <w:pPr>
        <w:pStyle w:val="9"/>
      </w:pPr>
    </w:p>
    <w:p w14:paraId="43291855">
      <w:pPr>
        <w:pStyle w:val="5"/>
      </w:pPr>
    </w:p>
    <w:p w14:paraId="7CD92489"/>
    <w:p w14:paraId="5267F12B">
      <w:pPr>
        <w:pStyle w:val="9"/>
      </w:pPr>
    </w:p>
    <w:p w14:paraId="28828498">
      <w:pPr>
        <w:pStyle w:val="5"/>
      </w:pPr>
    </w:p>
    <w:p w14:paraId="04E62672"/>
    <w:p w14:paraId="1D6D7A8B">
      <w:pPr>
        <w:pStyle w:val="9"/>
      </w:pPr>
    </w:p>
    <w:p w14:paraId="18A19BE5"/>
    <w:p w14:paraId="7CCBF86D">
      <w:pPr>
        <w:pStyle w:val="9"/>
      </w:pPr>
    </w:p>
    <w:p w14:paraId="0017F5EC">
      <w:pPr>
        <w:pStyle w:val="5"/>
      </w:pPr>
    </w:p>
    <w:p w14:paraId="661BBFC8">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4"/>
        <w:jc w:val="center"/>
        <w:rPr>
          <w:rFonts w:hint="eastAsia" w:ascii="方正小标宋_GBK" w:hAnsi="方正小标宋_GBK" w:eastAsia="方正小标宋_GBK" w:cs="方正小标宋_GBK"/>
          <w:sz w:val="84"/>
          <w:szCs w:val="84"/>
        </w:rPr>
      </w:pPr>
    </w:p>
    <w:p w14:paraId="3860F185">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4"/>
        <w:jc w:val="center"/>
        <w:rPr>
          <w:rFonts w:hint="eastAsia" w:ascii="仿宋_GB2312" w:hAnsi="仿宋_GB2312" w:eastAsia="仿宋_GB2312" w:cs="仿宋_GB2312"/>
          <w:b w:val="0"/>
          <w:bCs w:val="0"/>
          <w:sz w:val="72"/>
          <w:szCs w:val="72"/>
          <w:lang w:eastAsia="zh-CN"/>
        </w:rPr>
      </w:pPr>
    </w:p>
    <w:p w14:paraId="0568D1B8">
      <w:pPr>
        <w:pStyle w:val="14"/>
        <w:jc w:val="center"/>
        <w:rPr>
          <w:rFonts w:hint="eastAsia" w:ascii="仿宋_GB2312" w:hAnsi="仿宋_GB2312" w:eastAsia="仿宋_GB2312" w:cs="仿宋_GB2312"/>
          <w:b w:val="0"/>
          <w:bCs w:val="0"/>
          <w:sz w:val="72"/>
          <w:szCs w:val="72"/>
          <w:lang w:eastAsia="zh-CN"/>
        </w:rPr>
      </w:pPr>
    </w:p>
    <w:p w14:paraId="5C65B646">
      <w:pPr>
        <w:pStyle w:val="14"/>
        <w:jc w:val="center"/>
        <w:rPr>
          <w:rFonts w:hint="eastAsia" w:ascii="仿宋_GB2312" w:hAnsi="仿宋_GB2312" w:eastAsia="仿宋_GB2312" w:cs="仿宋_GB2312"/>
          <w:b w:val="0"/>
          <w:bCs w:val="0"/>
          <w:sz w:val="72"/>
          <w:szCs w:val="72"/>
          <w:lang w:eastAsia="zh-CN"/>
        </w:rPr>
      </w:pPr>
    </w:p>
    <w:p w14:paraId="62EA5E89">
      <w:pPr>
        <w:pStyle w:val="14"/>
        <w:jc w:val="center"/>
        <w:rPr>
          <w:rFonts w:hint="eastAsia" w:ascii="仿宋_GB2312" w:hAnsi="仿宋_GB2312" w:eastAsia="仿宋_GB2312" w:cs="仿宋_GB2312"/>
          <w:b w:val="0"/>
          <w:bCs w:val="0"/>
          <w:sz w:val="72"/>
          <w:szCs w:val="72"/>
          <w:lang w:eastAsia="zh-CN"/>
        </w:rPr>
      </w:pPr>
    </w:p>
    <w:p w14:paraId="63BFFD84">
      <w:pP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br w:type="page"/>
      </w:r>
    </w:p>
    <w:p w14:paraId="1414FC45">
      <w:pPr>
        <w:pStyle w:val="14"/>
        <w:jc w:val="center"/>
        <w:rPr>
          <w:rFonts w:hint="eastAsia" w:ascii="仿宋_GB2312" w:hAnsi="仿宋_GB2312" w:eastAsia="仿宋_GB2312" w:cs="仿宋_GB2312"/>
          <w:b w:val="0"/>
          <w:bCs w:val="0"/>
          <w:sz w:val="72"/>
          <w:szCs w:val="72"/>
          <w:lang w:eastAsia="zh-CN"/>
        </w:rPr>
      </w:pPr>
    </w:p>
    <w:p w14:paraId="4565BABE">
      <w:pPr>
        <w:pStyle w:val="14"/>
        <w:jc w:val="center"/>
        <w:rPr>
          <w:rFonts w:hint="eastAsia" w:ascii="仿宋_GB2312" w:hAnsi="仿宋_GB2312" w:eastAsia="仿宋_GB2312" w:cs="仿宋_GB2312"/>
          <w:b w:val="0"/>
          <w:bCs w:val="0"/>
          <w:sz w:val="72"/>
          <w:szCs w:val="72"/>
          <w:lang w:eastAsia="zh-CN"/>
        </w:rPr>
      </w:pPr>
    </w:p>
    <w:p w14:paraId="6EEAB3EF">
      <w:pPr>
        <w:pStyle w:val="14"/>
        <w:jc w:val="center"/>
        <w:rPr>
          <w:rFonts w:hint="eastAsia" w:ascii="仿宋_GB2312" w:hAnsi="仿宋_GB2312" w:eastAsia="仿宋_GB2312" w:cs="仿宋_GB2312"/>
          <w:b w:val="0"/>
          <w:bCs w:val="0"/>
          <w:sz w:val="72"/>
          <w:szCs w:val="72"/>
          <w:lang w:eastAsia="zh-CN"/>
        </w:rPr>
      </w:pPr>
    </w:p>
    <w:p w14:paraId="2B5072A5">
      <w:pPr>
        <w:pStyle w:val="14"/>
        <w:jc w:val="center"/>
        <w:rPr>
          <w:rFonts w:hint="eastAsia" w:ascii="仿宋_GB2312" w:hAnsi="仿宋_GB2312" w:eastAsia="仿宋_GB2312" w:cs="仿宋_GB2312"/>
          <w:b w:val="0"/>
          <w:bCs w:val="0"/>
          <w:sz w:val="72"/>
          <w:szCs w:val="72"/>
          <w:lang w:eastAsia="zh-CN"/>
        </w:rPr>
      </w:pPr>
    </w:p>
    <w:p w14:paraId="603C04A7">
      <w:pPr>
        <w:pStyle w:val="14"/>
        <w:jc w:val="center"/>
        <w:rPr>
          <w:rFonts w:hint="eastAsia" w:ascii="方正小标宋_GBK" w:hAnsi="方正小标宋_GBK" w:eastAsia="方正小标宋_GBK" w:cs="方正小标宋_GBK"/>
          <w:sz w:val="72"/>
          <w:szCs w:val="72"/>
        </w:rPr>
      </w:pPr>
    </w:p>
    <w:p w14:paraId="7804FBAA">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4"/>
        <w:jc w:val="center"/>
        <w:rPr>
          <w:rFonts w:hint="eastAsia" w:ascii="方正小标宋_GBK" w:hAnsi="方正小标宋_GBK" w:eastAsia="方正小标宋_GBK" w:cs="方正小标宋_GBK"/>
          <w:sz w:val="70"/>
          <w:szCs w:val="70"/>
        </w:rPr>
      </w:pPr>
    </w:p>
    <w:p w14:paraId="4F77A5A6">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4"/>
        <w:jc w:val="center"/>
        <w:rPr>
          <w:rFonts w:hint="eastAsia" w:ascii="方正小标宋_GBK" w:hAnsi="方正小标宋_GBK" w:eastAsia="方正小标宋_GBK" w:cs="方正小标宋_GBK"/>
          <w:sz w:val="70"/>
          <w:szCs w:val="70"/>
        </w:rPr>
      </w:pPr>
    </w:p>
    <w:p w14:paraId="6EEC30AB">
      <w:pPr>
        <w:pStyle w:val="14"/>
        <w:jc w:val="center"/>
        <w:rPr>
          <w:rFonts w:hint="eastAsia" w:ascii="方正小标宋_GBK" w:hAnsi="方正小标宋_GBK" w:eastAsia="方正小标宋_GBK" w:cs="方正小标宋_GBK"/>
          <w:sz w:val="70"/>
          <w:szCs w:val="70"/>
        </w:rPr>
      </w:pPr>
    </w:p>
    <w:p w14:paraId="60EB187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14:paraId="52B51F4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14:paraId="27BB4F0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14:paraId="08503F0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14:paraId="7238A420">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14:paraId="3E4CFF90">
      <w:pPr>
        <w:rPr>
          <w:rFonts w:hint="eastAsia" w:ascii="黑体" w:hAnsi="黑体" w:eastAsia="黑体" w:cs="黑体"/>
          <w:b w:val="0"/>
          <w:bCs/>
          <w:sz w:val="32"/>
          <w:szCs w:val="32"/>
        </w:rPr>
      </w:pPr>
      <w:r>
        <w:rPr>
          <w:rFonts w:hint="eastAsia" w:ascii="黑体" w:hAnsi="黑体" w:eastAsia="黑体" w:cs="黑体"/>
          <w:b w:val="0"/>
          <w:bCs/>
          <w:sz w:val="32"/>
          <w:szCs w:val="32"/>
        </w:rPr>
        <w:br w:type="page"/>
      </w:r>
    </w:p>
    <w:p w14:paraId="2411C08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0E0052D8">
      <w:pPr>
        <w:widowControl w:val="0"/>
        <w:autoSpaceDE w:val="0"/>
        <w:autoSpaceDN w:val="0"/>
        <w:adjustRightInd w:val="0"/>
        <w:ind w:firstLine="640" w:firstLineChars="200"/>
        <w:rPr>
          <w:rFonts w:hint="eastAsia" w:ascii="仿宋_GB2312" w:hAnsi="仿宋_GB2312" w:eastAsia="仿宋_GB2312" w:cs="仿宋_GB2312"/>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年度收、支总计3584.74万元。与上年相比，增加</w:t>
      </w:r>
      <w:r>
        <w:rPr>
          <w:rFonts w:hint="eastAsia" w:ascii="仿宋_GB2312" w:hAnsi="仿宋_GB2312" w:eastAsia="仿宋_GB2312" w:cs="仿宋_GB2312"/>
          <w:sz w:val="32"/>
          <w:szCs w:val="32"/>
          <w:lang w:val="en-US" w:eastAsia="zh-CN"/>
        </w:rPr>
        <w:t>523.35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17.09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单位业务量增大以及单位人员增加导致收支增多。</w:t>
      </w:r>
    </w:p>
    <w:p w14:paraId="07DA9E3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年度收入合计3562.04万元，其中：财政拨款收入1648.58万元，占</w:t>
      </w:r>
      <w:r>
        <w:rPr>
          <w:rFonts w:hint="eastAsia" w:ascii="仿宋_GB2312" w:hAnsi="仿宋_GB2312" w:eastAsia="仿宋_GB2312" w:cs="仿宋_GB2312"/>
          <w:sz w:val="32"/>
          <w:szCs w:val="32"/>
          <w:lang w:val="en-US" w:eastAsia="zh-CN"/>
        </w:rPr>
        <w:t>46.28</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%；其他收入1913.46万元，占</w:t>
      </w:r>
      <w:r>
        <w:rPr>
          <w:rFonts w:hint="eastAsia" w:ascii="仿宋_GB2312" w:hAnsi="仿宋_GB2312" w:eastAsia="仿宋_GB2312" w:cs="仿宋_GB2312"/>
          <w:sz w:val="32"/>
          <w:szCs w:val="32"/>
          <w:lang w:val="en-US" w:eastAsia="zh-CN"/>
        </w:rPr>
        <w:t>53.72</w:t>
      </w:r>
      <w:r>
        <w:rPr>
          <w:rFonts w:hint="eastAsia" w:ascii="仿宋_GB2312" w:hAnsi="仿宋_GB2312" w:eastAsia="仿宋_GB2312" w:cs="仿宋_GB2312"/>
          <w:sz w:val="32"/>
          <w:szCs w:val="32"/>
        </w:rPr>
        <w:t>%。</w:t>
      </w:r>
    </w:p>
    <w:p w14:paraId="2D1A2B4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年度支出合计3582.75万元，其中：基本支出1632.8万元，占</w:t>
      </w:r>
      <w:r>
        <w:rPr>
          <w:rFonts w:hint="eastAsia" w:ascii="仿宋_GB2312" w:hAnsi="仿宋_GB2312" w:eastAsia="仿宋_GB2312" w:cs="仿宋_GB2312"/>
          <w:sz w:val="32"/>
          <w:szCs w:val="32"/>
          <w:lang w:val="en-US" w:eastAsia="zh-CN"/>
        </w:rPr>
        <w:t>45.57</w:t>
      </w:r>
      <w:r>
        <w:rPr>
          <w:rFonts w:hint="eastAsia" w:ascii="仿宋_GB2312" w:hAnsi="仿宋_GB2312" w:eastAsia="仿宋_GB2312" w:cs="仿宋_GB2312"/>
          <w:sz w:val="32"/>
          <w:szCs w:val="32"/>
        </w:rPr>
        <w:t>%；项目支出1949.95万元，占</w:t>
      </w:r>
      <w:r>
        <w:rPr>
          <w:rFonts w:hint="eastAsia" w:ascii="仿宋_GB2312" w:hAnsi="仿宋_GB2312" w:eastAsia="仿宋_GB2312" w:cs="仿宋_GB2312"/>
          <w:sz w:val="32"/>
          <w:szCs w:val="32"/>
          <w:lang w:val="en-US" w:eastAsia="zh-CN"/>
        </w:rPr>
        <w:t>54.43</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6985752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4ED35F49">
      <w:pPr>
        <w:pStyle w:val="14"/>
        <w:keepNext w:val="0"/>
        <w:keepLines w:val="0"/>
        <w:pageBreakBefore w:val="0"/>
        <w:widowControl w:val="0"/>
        <w:kinsoku/>
        <w:wordWrap/>
        <w:overflowPunct/>
        <w:topLinePunct w:val="0"/>
        <w:bidi w:val="0"/>
        <w:snapToGrid/>
        <w:spacing w:line="600" w:lineRule="exact"/>
        <w:textAlignment w:val="auto"/>
        <w:rPr>
          <w:rFonts w:hint="default" w:ascii="仿宋_GB2312" w:hAnsi="仿宋_GB2312" w:eastAsia="仿宋_GB2312" w:cs="仿宋_GB2312"/>
          <w:sz w:val="32"/>
          <w:szCs w:val="32"/>
          <w:lang w:val="en-US"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年度财政拨款收、支总计1648.7万元，与上年相比，减少</w:t>
      </w:r>
      <w:r>
        <w:rPr>
          <w:rFonts w:hint="eastAsia" w:ascii="仿宋_GB2312" w:hAnsi="仿宋_GB2312" w:eastAsia="仿宋_GB2312" w:cs="仿宋_GB2312"/>
          <w:sz w:val="32"/>
          <w:szCs w:val="32"/>
          <w:lang w:val="en-US" w:eastAsia="zh-CN"/>
        </w:rPr>
        <w:t>1385.82</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45.67</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就业补助资金单设专户，不从财政拨款进行支付。</w:t>
      </w:r>
    </w:p>
    <w:p w14:paraId="4BB30A6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1477DE7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年度财政拨款支出1648.58万元，占本年支出合计的</w:t>
      </w:r>
      <w:r>
        <w:rPr>
          <w:rFonts w:hint="eastAsia" w:ascii="仿宋_GB2312" w:hAnsi="仿宋_GB2312" w:eastAsia="仿宋_GB2312" w:cs="仿宋_GB2312"/>
          <w:sz w:val="32"/>
          <w:szCs w:val="32"/>
          <w:lang w:val="en-US" w:eastAsia="zh-CN"/>
        </w:rPr>
        <w:t>46.01</w:t>
      </w:r>
      <w:r>
        <w:rPr>
          <w:rFonts w:hint="eastAsia" w:ascii="仿宋_GB2312" w:hAnsi="仿宋_GB2312" w:eastAsia="仿宋_GB2312" w:cs="仿宋_GB2312"/>
          <w:sz w:val="32"/>
          <w:szCs w:val="32"/>
        </w:rPr>
        <w:t>%，与上年相比，财政拨款支出减少</w:t>
      </w:r>
      <w:r>
        <w:rPr>
          <w:rFonts w:hint="eastAsia" w:ascii="仿宋_GB2312" w:hAnsi="仿宋_GB2312" w:eastAsia="仿宋_GB2312" w:cs="仿宋_GB2312"/>
          <w:sz w:val="32"/>
          <w:szCs w:val="32"/>
          <w:lang w:val="en-US" w:eastAsia="zh-CN"/>
        </w:rPr>
        <w:t>1385.94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45.67</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就业补助资金单设专户，不从财政拨款进行支付。</w:t>
      </w:r>
    </w:p>
    <w:p w14:paraId="66C54C8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488A5620">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年度财政拨款支出1648.58万元，主要用于以下方面：</w:t>
      </w:r>
      <w:r>
        <w:rPr>
          <w:rFonts w:hint="eastAsia" w:ascii="仿宋_GB2312" w:hAnsi="仿宋_GB2312" w:eastAsia="仿宋_GB2312" w:cs="仿宋_GB2312"/>
          <w:sz w:val="32"/>
          <w:szCs w:val="32"/>
          <w:lang w:val="en-US" w:eastAsia="zh-CN"/>
        </w:rPr>
        <w:t>社会保障和就业</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1536.88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93.22</w:t>
      </w:r>
      <w:r>
        <w:rPr>
          <w:rFonts w:hint="eastAsia" w:ascii="仿宋_GB2312" w:hAnsi="仿宋_GB2312" w:eastAsia="仿宋_GB2312" w:cs="仿宋_GB2312"/>
          <w:sz w:val="32"/>
          <w:szCs w:val="32"/>
        </w:rPr>
        <w:t>%；卫生健康支出2.08</w:t>
      </w:r>
      <w:r>
        <w:rPr>
          <w:rFonts w:hint="eastAsia" w:ascii="仿宋_GB2312" w:hAnsi="仿宋_GB2312" w:eastAsia="仿宋_GB2312" w:cs="仿宋_GB2312"/>
          <w:sz w:val="32"/>
          <w:szCs w:val="32"/>
          <w:lang w:val="en-US" w:eastAsia="zh-CN"/>
        </w:rPr>
        <w:t>万元，占0.13%；农林水</w:t>
      </w:r>
      <w:r>
        <w:rPr>
          <w:rFonts w:hint="eastAsia" w:ascii="仿宋_GB2312" w:hAnsi="仿宋_GB2312" w:eastAsia="仿宋_GB2312" w:cs="仿宋_GB2312"/>
          <w:sz w:val="32"/>
          <w:szCs w:val="32"/>
        </w:rPr>
        <w:t>支出17.7万元，占</w:t>
      </w:r>
      <w:r>
        <w:rPr>
          <w:rFonts w:hint="eastAsia" w:ascii="仿宋_GB2312" w:hAnsi="仿宋_GB2312" w:eastAsia="仿宋_GB2312" w:cs="仿宋_GB2312"/>
          <w:sz w:val="32"/>
          <w:szCs w:val="32"/>
          <w:lang w:val="en-US" w:eastAsia="zh-CN"/>
        </w:rPr>
        <w:t>1.07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住房保障支出91.93万元，占5.58%。</w:t>
      </w:r>
    </w:p>
    <w:p w14:paraId="5CDBADF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1488.29</w:t>
      </w:r>
      <w:r>
        <w:rPr>
          <w:rFonts w:hint="eastAsia" w:ascii="仿宋_GB2312" w:hAnsi="仿宋_GB2312" w:eastAsia="仿宋_GB2312" w:cs="仿宋_GB2312"/>
          <w:sz w:val="32"/>
          <w:szCs w:val="32"/>
        </w:rPr>
        <w:t>万元，支出决算数为1648.58万元，完成年初预算的</w:t>
      </w:r>
      <w:r>
        <w:rPr>
          <w:rFonts w:hint="eastAsia" w:ascii="仿宋_GB2312" w:hAnsi="仿宋_GB2312" w:eastAsia="仿宋_GB2312" w:cs="仿宋_GB2312"/>
          <w:sz w:val="32"/>
          <w:szCs w:val="32"/>
          <w:lang w:val="en-US" w:eastAsia="zh-CN"/>
        </w:rPr>
        <w:t>110.77</w:t>
      </w:r>
      <w:r>
        <w:rPr>
          <w:rFonts w:hint="eastAsia" w:ascii="仿宋_GB2312" w:hAnsi="仿宋_GB2312" w:eastAsia="仿宋_GB2312" w:cs="仿宋_GB2312"/>
          <w:sz w:val="32"/>
          <w:szCs w:val="32"/>
        </w:rPr>
        <w:t>%，其中：</w:t>
      </w:r>
    </w:p>
    <w:p w14:paraId="7D32AC6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人力资源和社会保障管理事务</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就业管理事务</w:t>
      </w:r>
      <w:r>
        <w:rPr>
          <w:rFonts w:hint="eastAsia" w:ascii="仿宋_GB2312" w:hAnsi="仿宋_GB2312" w:eastAsia="仿宋_GB2312" w:cs="仿宋_GB2312"/>
          <w:sz w:val="32"/>
          <w:szCs w:val="32"/>
        </w:rPr>
        <w:t>（项）。</w:t>
      </w:r>
    </w:p>
    <w:p w14:paraId="5A4B2A6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1267.94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1400.97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110.49</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单位人员变化及业务增多导致支出增加。</w:t>
      </w:r>
    </w:p>
    <w:p w14:paraId="32CC4867">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人力资源和社会保障管理事务</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公共就业服务和职业技能鉴定机构</w:t>
      </w:r>
      <w:r>
        <w:rPr>
          <w:rFonts w:hint="eastAsia" w:ascii="仿宋_GB2312" w:hAnsi="仿宋_GB2312" w:eastAsia="仿宋_GB2312" w:cs="仿宋_GB2312"/>
          <w:sz w:val="32"/>
          <w:szCs w:val="32"/>
        </w:rPr>
        <w:t>（项）。</w:t>
      </w:r>
    </w:p>
    <w:p w14:paraId="21D06D4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18.33</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由于预算数为0，无法计算百分比。</w:t>
      </w:r>
      <w:r>
        <w:rPr>
          <w:rFonts w:hint="eastAsia" w:ascii="仿宋_GB2312" w:hAnsi="仿宋_GB2312" w:eastAsia="仿宋_GB2312" w:cs="仿宋_GB2312"/>
          <w:sz w:val="32"/>
          <w:szCs w:val="32"/>
        </w:rPr>
        <w:t>决算数大于年初预算数的</w:t>
      </w:r>
      <w:r>
        <w:rPr>
          <w:rFonts w:hint="eastAsia" w:ascii="仿宋_GB2312" w:hAnsi="仿宋_GB2312" w:eastAsia="仿宋_GB2312" w:cs="仿宋_GB2312"/>
          <w:b w:val="0"/>
          <w:bCs w:val="0"/>
          <w:sz w:val="32"/>
          <w:szCs w:val="32"/>
        </w:rPr>
        <w:t>主要原因是：</w:t>
      </w:r>
      <w:r>
        <w:rPr>
          <w:rFonts w:hint="eastAsia" w:ascii="仿宋_GB2312" w:hAnsi="仿宋_GB2312" w:eastAsia="仿宋_GB2312" w:cs="仿宋_GB2312"/>
          <w:b w:val="0"/>
          <w:bCs w:val="0"/>
          <w:sz w:val="32"/>
          <w:szCs w:val="32"/>
          <w:lang w:val="en-US" w:eastAsia="zh-CN"/>
        </w:rPr>
        <w:t>该项目为当年13月工资，不列入部门年初预算。</w:t>
      </w:r>
    </w:p>
    <w:p w14:paraId="6553A1E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人力资源和社会保障管理事务</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事业运行</w:t>
      </w:r>
      <w:r>
        <w:rPr>
          <w:rFonts w:hint="eastAsia" w:ascii="仿宋_GB2312" w:hAnsi="仿宋_GB2312" w:eastAsia="仿宋_GB2312" w:cs="仿宋_GB2312"/>
          <w:sz w:val="32"/>
          <w:szCs w:val="32"/>
        </w:rPr>
        <w:t>（项）。</w:t>
      </w:r>
    </w:p>
    <w:p w14:paraId="0E2D7E4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由于预算数为0，无法计算百分比。</w:t>
      </w:r>
      <w:r>
        <w:rPr>
          <w:rFonts w:hint="eastAsia" w:ascii="仿宋_GB2312" w:hAnsi="仿宋_GB2312" w:eastAsia="仿宋_GB2312" w:cs="仿宋_GB2312"/>
          <w:sz w:val="32"/>
          <w:szCs w:val="32"/>
        </w:rPr>
        <w:t>决算数大于年初预算数</w:t>
      </w:r>
      <w:r>
        <w:rPr>
          <w:rFonts w:hint="eastAsia" w:ascii="仿宋_GB2312" w:hAnsi="仿宋_GB2312" w:eastAsia="仿宋_GB2312" w:cs="仿宋_GB2312"/>
          <w:b w:val="0"/>
          <w:bCs w:val="0"/>
          <w:sz w:val="32"/>
          <w:szCs w:val="32"/>
        </w:rPr>
        <w:t>的主要原因是：</w:t>
      </w:r>
      <w:r>
        <w:rPr>
          <w:rFonts w:hint="eastAsia" w:ascii="仿宋_GB2312" w:hAnsi="仿宋_GB2312" w:eastAsia="仿宋_GB2312" w:cs="仿宋_GB2312"/>
          <w:b w:val="0"/>
          <w:bCs w:val="0"/>
          <w:sz w:val="32"/>
          <w:szCs w:val="32"/>
          <w:lang w:val="en-US" w:eastAsia="zh-CN"/>
        </w:rPr>
        <w:t>该指标为年底人员经费补差调剂。</w:t>
      </w:r>
    </w:p>
    <w:p w14:paraId="0B64931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行政事业单位养老支出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机关事业单位基本养老保险缴费支出（项）</w:t>
      </w:r>
    </w:p>
    <w:p w14:paraId="2D6B434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121.57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90.74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74.64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决算数大于年初预算数的</w:t>
      </w:r>
      <w:r>
        <w:rPr>
          <w:rFonts w:hint="eastAsia" w:ascii="仿宋_GB2312" w:hAnsi="仿宋_GB2312" w:eastAsia="仿宋_GB2312" w:cs="仿宋_GB2312"/>
          <w:b w:val="0"/>
          <w:bCs w:val="0"/>
          <w:sz w:val="32"/>
          <w:szCs w:val="32"/>
        </w:rPr>
        <w:t>主要原因是</w:t>
      </w:r>
      <w:r>
        <w:rPr>
          <w:rFonts w:hint="eastAsia" w:ascii="仿宋_GB2312" w:hAnsi="仿宋_GB2312" w:eastAsia="仿宋_GB2312" w:cs="仿宋_GB2312"/>
          <w:b w:val="0"/>
          <w:bCs w:val="0"/>
          <w:sz w:val="32"/>
          <w:szCs w:val="32"/>
          <w:lang w:val="en-US" w:eastAsia="zh-CN"/>
        </w:rPr>
        <w:t>：人员变动较大</w:t>
      </w:r>
      <w:r>
        <w:rPr>
          <w:rFonts w:hint="eastAsia" w:ascii="仿宋_GB2312" w:hAnsi="仿宋_GB2312" w:eastAsia="仿宋_GB2312" w:cs="仿宋_GB2312"/>
          <w:b w:val="0"/>
          <w:bCs w:val="0"/>
          <w:sz w:val="32"/>
          <w:szCs w:val="32"/>
          <w:lang w:eastAsia="zh-CN"/>
        </w:rPr>
        <w:t>。</w:t>
      </w:r>
    </w:p>
    <w:p w14:paraId="6005F51D">
      <w:pPr>
        <w:pStyle w:val="14"/>
        <w:keepNext w:val="0"/>
        <w:keepLines w:val="0"/>
        <w:pageBreakBefore w:val="0"/>
        <w:widowControl w:val="0"/>
        <w:kinsoku/>
        <w:wordWrap/>
        <w:overflowPunct/>
        <w:topLinePunct w:val="0"/>
        <w:bidi w:val="0"/>
        <w:snapToGrid/>
        <w:spacing w:line="600" w:lineRule="exact"/>
        <w:ind w:left="638" w:leftChars="304" w:firstLine="160" w:firstLineChars="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就业补助</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 xml:space="preserve"> 其他就业补助支出（项）</w:t>
      </w:r>
    </w:p>
    <w:p w14:paraId="17B9718D">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23.9</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由于预算数为0，无法计算百分比。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此款项为我单位拨付失业保险动态监测费，为当年度由于业务开展优异向省厅申</w:t>
      </w:r>
      <w:r>
        <w:rPr>
          <w:rFonts w:hint="eastAsia" w:ascii="仿宋_GB2312" w:hAnsi="仿宋_GB2312" w:eastAsia="仿宋_GB2312" w:cs="仿宋_GB2312"/>
          <w:sz w:val="32"/>
          <w:szCs w:val="32"/>
          <w:lang w:val="en-US" w:eastAsia="zh-CN"/>
        </w:rPr>
        <w:t>请的经费，没有列入部门年初预算。</w:t>
      </w:r>
    </w:p>
    <w:p w14:paraId="205C528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就业补助</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其他就业补助支出（项）</w:t>
      </w:r>
    </w:p>
    <w:p w14:paraId="3759885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2.21万元，支出决算为2.21万元，完成年初预算的100%，决算与年初预算数一致的主要原因是：严格控制支出单位人员经费。</w:t>
      </w:r>
    </w:p>
    <w:p w14:paraId="0FED416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7、社会保障和就业支出（类）其他社会保障和就业支出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其他社会保障和就业支出（项）</w:t>
      </w:r>
    </w:p>
    <w:p w14:paraId="26B4BFB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0.23</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由于预算数为0，无法计算百分比。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b w:val="0"/>
          <w:bCs w:val="0"/>
          <w:sz w:val="32"/>
          <w:szCs w:val="32"/>
          <w:lang w:val="en-US" w:eastAsia="zh-CN"/>
        </w:rPr>
        <w:t>为当年度由于业务开展优异</w:t>
      </w:r>
      <w:r>
        <w:rPr>
          <w:rFonts w:hint="eastAsia" w:ascii="仿宋_GB2312" w:hAnsi="仿宋_GB2312" w:eastAsia="仿宋_GB2312" w:cs="仿宋_GB2312"/>
          <w:sz w:val="32"/>
          <w:szCs w:val="32"/>
          <w:lang w:val="en-US" w:eastAsia="zh-CN"/>
        </w:rPr>
        <w:t>向省厅申请的经费，没有列入部门年初预算。</w:t>
      </w:r>
    </w:p>
    <w:p w14:paraId="3C8E64D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8、卫生健康支出（类）行政事业单位医疗（款）事业单位医疗（项）。</w:t>
      </w:r>
    </w:p>
    <w:p w14:paraId="018B5AF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年初预算为0万元</w:t>
      </w:r>
      <w:r>
        <w:rPr>
          <w:rFonts w:hint="eastAsia" w:ascii="Times New Roman" w:hAnsi="Times New Roman" w:eastAsia="仿宋_GB2312"/>
          <w:sz w:val="32"/>
          <w:szCs w:val="32"/>
          <w:lang w:val="en-US" w:eastAsia="zh-CN"/>
        </w:rPr>
        <w:t>，支出决算为2.08万元，由于预算数为0，无法计算百分比。</w:t>
      </w:r>
      <w:r>
        <w:rPr>
          <w:rFonts w:hint="eastAsia" w:ascii="仿宋_GB2312" w:hAnsi="仿宋_GB2312" w:eastAsia="仿宋_GB2312" w:cs="仿宋_GB2312"/>
          <w:sz w:val="32"/>
          <w:szCs w:val="32"/>
        </w:rPr>
        <w:t>决算数大于年初预算数的</w:t>
      </w:r>
      <w:r>
        <w:rPr>
          <w:rFonts w:hint="eastAsia" w:ascii="仿宋_GB2312" w:hAnsi="仿宋_GB2312" w:eastAsia="仿宋_GB2312" w:cs="仿宋_GB2312"/>
          <w:b w:val="0"/>
          <w:bCs w:val="0"/>
          <w:sz w:val="32"/>
          <w:szCs w:val="32"/>
        </w:rPr>
        <w:t>主要原因是：</w:t>
      </w:r>
      <w:r>
        <w:rPr>
          <w:rFonts w:hint="eastAsia" w:ascii="仿宋_GB2312" w:hAnsi="仿宋_GB2312" w:eastAsia="仿宋_GB2312" w:cs="仿宋_GB2312"/>
          <w:b w:val="0"/>
          <w:bCs w:val="0"/>
          <w:sz w:val="32"/>
          <w:szCs w:val="32"/>
          <w:lang w:val="en-US" w:eastAsia="zh-CN"/>
        </w:rPr>
        <w:t>该指标为年底人员经费补差调剂。</w:t>
      </w:r>
    </w:p>
    <w:p w14:paraId="6D6EAA1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9、卫生健康支出（类）行政事业单位医疗（款） 公务员医疗补助（项）。</w:t>
      </w:r>
    </w:p>
    <w:p w14:paraId="17BC91B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年初预算为8.87万元，支出决算为0万元，完成年初预算数的0%，决算数小于预算数的主要原因是：年中功能科目间调整。</w:t>
      </w:r>
    </w:p>
    <w:p w14:paraId="69FFEABD">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10、农林水支出（类）普惠金融发展支出（款）创业担保贷款贴息及奖补（项）</w:t>
      </w:r>
    </w:p>
    <w:p w14:paraId="08581C2E">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年初预算为0万元，支出</w:t>
      </w:r>
      <w:r>
        <w:rPr>
          <w:rFonts w:hint="eastAsia" w:ascii="仿宋_GB2312" w:hAnsi="仿宋_GB2312" w:eastAsia="仿宋_GB2312" w:cs="仿宋_GB2312"/>
          <w:sz w:val="32"/>
          <w:szCs w:val="32"/>
        </w:rPr>
        <w:t>决算为</w:t>
      </w:r>
      <w:r>
        <w:rPr>
          <w:rFonts w:hint="eastAsia" w:ascii="仿宋_GB2312" w:hAnsi="仿宋_GB2312" w:eastAsia="仿宋_GB2312" w:cs="仿宋_GB2312"/>
          <w:sz w:val="32"/>
          <w:szCs w:val="32"/>
          <w:lang w:val="en-US" w:eastAsia="zh-CN"/>
        </w:rPr>
        <w:t>17.7</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由于预算数为0，无法计算百分比。决算数大于年初预算数的主要原因是：此款项为当年度由于业</w:t>
      </w:r>
      <w:r>
        <w:rPr>
          <w:rFonts w:hint="eastAsia" w:ascii="仿宋_GB2312" w:hAnsi="仿宋_GB2312" w:eastAsia="仿宋_GB2312" w:cs="仿宋_GB2312"/>
          <w:sz w:val="32"/>
          <w:szCs w:val="32"/>
          <w:lang w:val="en-US" w:eastAsia="zh-CN"/>
        </w:rPr>
        <w:t>务开展优异向省厅申请的经费，没有列入部门年初预算。</w:t>
      </w:r>
    </w:p>
    <w:p w14:paraId="1CB2621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11、住房保障支出（类）住房改革支出（款）住房公积金（项）</w:t>
      </w:r>
    </w:p>
    <w:p w14:paraId="71E187A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年初预算为87.70万元，支出决算为91.93万元，完成年初预算的104.82%，决算与年初预算数一致的主要原因是：严格控制支出单位人员经费。</w:t>
      </w:r>
    </w:p>
    <w:p w14:paraId="43EA9AB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12、卫生健康支出（类）医疗保障管理事务（款）其他医疗保障管理事务支出（项）。</w:t>
      </w:r>
    </w:p>
    <w:p w14:paraId="5FDE8D3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年初预算为9.48万元，支出决算为0万元，完成年初预算数的0%，决算数大于年初预算数的主要原因是：新进人员导致公积金超出年初预算。</w:t>
      </w:r>
    </w:p>
    <w:p w14:paraId="373E8BA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财政拨款基本支出1569.41万元，其中：</w:t>
      </w:r>
    </w:p>
    <w:p w14:paraId="737CE735">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1421.75万元，占基本支出的</w:t>
      </w:r>
      <w:r>
        <w:rPr>
          <w:rFonts w:hint="eastAsia" w:ascii="仿宋_GB2312" w:hAnsi="仿宋_GB2312" w:eastAsia="仿宋_GB2312" w:cs="仿宋_GB2312"/>
          <w:sz w:val="32"/>
          <w:szCs w:val="32"/>
          <w:lang w:val="en-US" w:eastAsia="zh-CN"/>
        </w:rPr>
        <w:t>90.59</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退休费</w:t>
      </w:r>
      <w:r>
        <w:rPr>
          <w:rFonts w:hint="eastAsia" w:ascii="仿宋_GB2312" w:hAnsi="仿宋_GB2312" w:eastAsia="仿宋_GB2312" w:cs="仿宋_GB2312"/>
          <w:sz w:val="32"/>
          <w:szCs w:val="32"/>
          <w:lang w:eastAsia="zh-CN"/>
        </w:rPr>
        <w:t>。</w:t>
      </w:r>
    </w:p>
    <w:p w14:paraId="2DB43E2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147.6</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9.41</w:t>
      </w:r>
      <w:r>
        <w:rPr>
          <w:rFonts w:hint="eastAsia" w:ascii="仿宋_GB2312" w:hAnsi="仿宋_GB2312" w:eastAsia="仿宋_GB2312" w:cs="仿宋_GB2312"/>
          <w:sz w:val="32"/>
          <w:szCs w:val="32"/>
        </w:rPr>
        <w:t>%，主要包括办公费、印刷费、</w:t>
      </w:r>
      <w:r>
        <w:rPr>
          <w:rFonts w:hint="eastAsia" w:ascii="仿宋_GB2312" w:hAnsi="仿宋_GB2312" w:eastAsia="仿宋_GB2312" w:cs="仿宋_GB2312"/>
          <w:sz w:val="32"/>
          <w:szCs w:val="32"/>
          <w:lang w:val="en-US" w:eastAsia="zh-CN"/>
        </w:rPr>
        <w:t>物业管理费、电费、工会经费</w:t>
      </w:r>
      <w:r>
        <w:rPr>
          <w:rFonts w:hint="eastAsia" w:ascii="仿宋_GB2312" w:hAnsi="仿宋_GB2312" w:eastAsia="仿宋_GB2312" w:cs="仿宋_GB2312"/>
          <w:sz w:val="32"/>
          <w:szCs w:val="32"/>
        </w:rPr>
        <w:t>。</w:t>
      </w:r>
    </w:p>
    <w:p w14:paraId="238B276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12592558">
      <w:pPr>
        <w:pStyle w:val="14"/>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万元。具体情况如下：</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155FE196">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w:t>
      </w:r>
      <w:r>
        <w:rPr>
          <w:rFonts w:hint="eastAsia" w:ascii="仿宋_GB2312" w:hAnsi="仿宋_GB2312" w:eastAsia="仿宋_GB2312" w:cs="仿宋_GB2312"/>
          <w:i w:val="0"/>
          <w:iCs/>
          <w:color w:val="000000" w:themeColor="text1"/>
          <w:kern w:val="0"/>
          <w:sz w:val="32"/>
          <w:szCs w:val="32"/>
          <w:highlight w:val="none"/>
          <w:lang w:val="en-US" w:eastAsia="zh-CN" w:bidi="ar-SA"/>
          <w14:textFill>
            <w14:solidFill>
              <w14:schemeClr w14:val="tx1"/>
            </w14:solidFill>
          </w14:textFill>
        </w:rPr>
        <w:t>其中：基本支出0万元，项目支出0万元</w:t>
      </w:r>
      <w:r>
        <w:rPr>
          <w:rFonts w:hint="eastAsia" w:ascii="仿宋_GB2312" w:hAnsi="仿宋_GB2312" w:eastAsia="仿宋_GB2312" w:cs="仿宋_GB2312"/>
          <w:color w:val="000000"/>
          <w:kern w:val="0"/>
          <w:sz w:val="32"/>
          <w:szCs w:val="32"/>
          <w:highlight w:val="none"/>
          <w:lang w:val="en-US" w:eastAsia="zh-CN" w:bidi="ar-SA"/>
        </w:rPr>
        <w:t>；年末结转和结余0万元。具体情况如下：</w:t>
      </w:r>
    </w:p>
    <w:p w14:paraId="5876C25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2.04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68</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0.85</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29.41</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sz w:val="32"/>
          <w:szCs w:val="32"/>
          <w:lang w:eastAsia="zh-CN"/>
        </w:rPr>
        <w:t>认真贯彻落实中央八项规定精神和厉行节约要求，从严控制“三公”经费开支</w:t>
      </w:r>
      <w:r>
        <w:rPr>
          <w:rFonts w:ascii="Times New Roman" w:hAnsi="Times New Roman" w:eastAsia="仿宋_GB2312" w:cs="Times New Roman"/>
          <w:sz w:val="32"/>
          <w:szCs w:val="32"/>
        </w:rPr>
        <w:t>。决算数小于上年数的主要原因是</w:t>
      </w:r>
      <w:r>
        <w:rPr>
          <w:rFonts w:hint="eastAsia" w:ascii="仿宋_GB2312" w:hAnsi="仿宋_GB2312" w:eastAsia="仿宋_GB2312" w:cs="仿宋_GB2312"/>
          <w:sz w:val="32"/>
          <w:szCs w:val="32"/>
        </w:rPr>
        <w:t>减少的主要原因是</w:t>
      </w:r>
      <w:r>
        <w:rPr>
          <w:rFonts w:hint="eastAsia" w:ascii="Times New Roman" w:hAnsi="Times New Roman" w:eastAsia="仿宋_GB2312"/>
          <w:sz w:val="32"/>
          <w:szCs w:val="32"/>
          <w:lang w:eastAsia="zh-CN"/>
        </w:rPr>
        <w:t>认真贯彻落实中央八项规定精神和厉行节约要求，从严控制“三公”经费开支</w:t>
      </w:r>
      <w:r>
        <w:rPr>
          <w:rFonts w:ascii="Times New Roman" w:hAnsi="Times New Roman" w:eastAsia="仿宋_GB2312" w:cs="Times New Roman"/>
          <w:sz w:val="32"/>
          <w:szCs w:val="32"/>
        </w:rPr>
        <w:t>。</w:t>
      </w:r>
    </w:p>
    <w:p w14:paraId="352D03A7">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490B92C0">
      <w:pPr>
        <w:pStyle w:val="14"/>
        <w:overflowPunct w:val="0"/>
        <w:autoSpaceDE/>
        <w:autoSpaceDN/>
        <w:spacing w:line="600" w:lineRule="exact"/>
        <w:ind w:firstLine="640" w:firstLineChars="200"/>
        <w:jc w:val="both"/>
        <w:rPr>
          <w:rFonts w:hint="eastAsia" w:ascii="Times New Roman" w:hAnsi="Times New Roman" w:eastAsia="仿宋_GB2312" w:cs="Times New Roman"/>
          <w:color w:val="auto"/>
          <w:kern w:val="2"/>
          <w:sz w:val="32"/>
          <w:szCs w:val="32"/>
          <w:lang w:val="en-US" w:eastAsia="zh-CN" w:bidi="ar-SA"/>
        </w:rPr>
      </w:pPr>
      <w:r>
        <w:rPr>
          <w:rFonts w:ascii="Times New Roman" w:hAnsi="Times New Roman" w:eastAsia="仿宋_GB2312" w:cs="Times New Roman"/>
          <w:color w:val="auto"/>
          <w:kern w:val="2"/>
          <w:sz w:val="32"/>
          <w:szCs w:val="32"/>
          <w:lang w:val="en-US" w:eastAsia="zh-CN" w:bidi="ar-SA"/>
        </w:rPr>
        <w:t>1.因公出国（境）费支出预算为</w:t>
      </w:r>
      <w:r>
        <w:rPr>
          <w:rFonts w:hint="eastAsia" w:ascii="Times New Roman" w:hAnsi="Times New Roman" w:eastAsia="仿宋_GB2312" w:cs="Times New Roman"/>
          <w:color w:val="auto"/>
          <w:kern w:val="2"/>
          <w:sz w:val="32"/>
          <w:szCs w:val="32"/>
          <w:lang w:val="en-US" w:eastAsia="zh-CN" w:bidi="ar-SA"/>
        </w:rPr>
        <w:t>0</w:t>
      </w:r>
      <w:r>
        <w:rPr>
          <w:rFonts w:ascii="Times New Roman" w:hAnsi="Times New Roman" w:eastAsia="仿宋_GB2312" w:cs="Times New Roman"/>
          <w:color w:val="auto"/>
          <w:kern w:val="2"/>
          <w:sz w:val="32"/>
          <w:szCs w:val="32"/>
          <w:lang w:val="en-US" w:eastAsia="zh-CN" w:bidi="ar-SA"/>
        </w:rPr>
        <w:t>万元，支出决算为</w:t>
      </w:r>
      <w:r>
        <w:rPr>
          <w:rFonts w:hint="eastAsia" w:ascii="Times New Roman" w:hAnsi="Times New Roman" w:eastAsia="仿宋_GB2312" w:cs="Times New Roman"/>
          <w:color w:val="auto"/>
          <w:kern w:val="2"/>
          <w:sz w:val="32"/>
          <w:szCs w:val="32"/>
          <w:lang w:val="en-US" w:eastAsia="zh-CN" w:bidi="ar-SA"/>
        </w:rPr>
        <w:t>0</w:t>
      </w:r>
      <w:r>
        <w:rPr>
          <w:rFonts w:ascii="Times New Roman" w:hAnsi="Times New Roman" w:eastAsia="仿宋_GB2312" w:cs="Times New Roman"/>
          <w:color w:val="auto"/>
          <w:kern w:val="2"/>
          <w:sz w:val="32"/>
          <w:szCs w:val="32"/>
          <w:lang w:val="en-US" w:eastAsia="zh-CN" w:bidi="ar-SA"/>
        </w:rPr>
        <w:t>万元，</w:t>
      </w:r>
      <w:r>
        <w:rPr>
          <w:rFonts w:hint="eastAsia" w:ascii="Times New Roman" w:hAnsi="Times New Roman" w:eastAsia="仿宋_GB2312" w:cs="Times New Roman"/>
          <w:color w:val="auto"/>
          <w:kern w:val="2"/>
          <w:sz w:val="32"/>
          <w:szCs w:val="32"/>
          <w:lang w:val="en-US" w:eastAsia="zh-CN" w:bidi="ar-SA"/>
        </w:rPr>
        <w:t>决算数等于预算数，主要原因是我单位严格按预算执行决算</w:t>
      </w:r>
      <w:r>
        <w:rPr>
          <w:rFonts w:ascii="Times New Roman" w:hAnsi="Times New Roman" w:eastAsia="仿宋_GB2312" w:cs="Times New Roman"/>
          <w:color w:val="auto"/>
          <w:kern w:val="2"/>
          <w:sz w:val="32"/>
          <w:szCs w:val="32"/>
          <w:lang w:val="en-US" w:eastAsia="zh-CN" w:bidi="ar-SA"/>
        </w:rPr>
        <w:t>；</w:t>
      </w:r>
      <w:r>
        <w:rPr>
          <w:rFonts w:hint="eastAsia" w:ascii="Times New Roman" w:hAnsi="Times New Roman" w:eastAsia="仿宋_GB2312" w:cs="Times New Roman"/>
          <w:color w:val="auto"/>
          <w:kern w:val="2"/>
          <w:sz w:val="32"/>
          <w:szCs w:val="32"/>
          <w:lang w:val="en-US" w:eastAsia="zh-CN" w:bidi="ar-SA"/>
        </w:rPr>
        <w:t>与上年一致，无增减变动，主要原因是未安排因公出国（境）活动。</w:t>
      </w:r>
      <w:r>
        <w:rPr>
          <w:rFonts w:ascii="Times New Roman" w:hAnsi="Times New Roman" w:eastAsia="仿宋_GB2312" w:cs="Times New Roman"/>
          <w:color w:val="auto"/>
          <w:kern w:val="2"/>
          <w:sz w:val="32"/>
          <w:szCs w:val="32"/>
          <w:lang w:val="en-US" w:eastAsia="zh-CN" w:bidi="ar-SA"/>
        </w:rPr>
        <w:t>2024年度安排因公出国（境）团组</w:t>
      </w:r>
      <w:r>
        <w:rPr>
          <w:rFonts w:hint="eastAsia" w:ascii="Times New Roman" w:hAnsi="Times New Roman" w:eastAsia="仿宋_GB2312" w:cs="Times New Roman"/>
          <w:color w:val="auto"/>
          <w:kern w:val="2"/>
          <w:sz w:val="32"/>
          <w:szCs w:val="32"/>
          <w:lang w:val="en-US" w:eastAsia="zh-CN" w:bidi="ar-SA"/>
        </w:rPr>
        <w:t>0</w:t>
      </w:r>
      <w:r>
        <w:rPr>
          <w:rFonts w:ascii="Times New Roman" w:hAnsi="Times New Roman" w:eastAsia="仿宋_GB2312" w:cs="Times New Roman"/>
          <w:color w:val="auto"/>
          <w:kern w:val="2"/>
          <w:sz w:val="32"/>
          <w:szCs w:val="32"/>
          <w:lang w:val="en-US" w:eastAsia="zh-CN" w:bidi="ar-SA"/>
        </w:rPr>
        <w:t>个，累计</w:t>
      </w:r>
      <w:r>
        <w:rPr>
          <w:rFonts w:hint="eastAsia" w:ascii="Times New Roman" w:hAnsi="Times New Roman" w:eastAsia="仿宋_GB2312" w:cs="Times New Roman"/>
          <w:color w:val="auto"/>
          <w:kern w:val="2"/>
          <w:sz w:val="32"/>
          <w:szCs w:val="32"/>
          <w:lang w:val="en-US" w:eastAsia="zh-CN" w:bidi="ar-SA"/>
        </w:rPr>
        <w:t>0</w:t>
      </w:r>
      <w:r>
        <w:rPr>
          <w:rFonts w:ascii="Times New Roman" w:hAnsi="Times New Roman" w:eastAsia="仿宋_GB2312" w:cs="Times New Roman"/>
          <w:color w:val="auto"/>
          <w:kern w:val="2"/>
          <w:sz w:val="32"/>
          <w:szCs w:val="32"/>
          <w:lang w:val="en-US" w:eastAsia="zh-CN" w:bidi="ar-SA"/>
        </w:rPr>
        <w:t>人次</w:t>
      </w:r>
      <w:r>
        <w:rPr>
          <w:rFonts w:hint="eastAsia" w:ascii="Times New Roman" w:hAnsi="Times New Roman" w:eastAsia="仿宋_GB2312" w:cs="Times New Roman"/>
          <w:color w:val="auto"/>
          <w:kern w:val="2"/>
          <w:sz w:val="32"/>
          <w:szCs w:val="32"/>
          <w:lang w:val="en-US" w:eastAsia="zh-CN" w:bidi="ar-SA"/>
        </w:rPr>
        <w:t>。</w:t>
      </w:r>
    </w:p>
    <w:p w14:paraId="4205AD9D">
      <w:pPr>
        <w:pStyle w:val="14"/>
        <w:overflowPunct w:val="0"/>
        <w:autoSpaceDE/>
        <w:autoSpaceDN/>
        <w:spacing w:line="600" w:lineRule="exact"/>
        <w:ind w:firstLine="640" w:firstLineChars="200"/>
        <w:jc w:val="both"/>
        <w:rPr>
          <w:rFonts w:ascii="Times New Roman" w:hAnsi="Times New Roman" w:eastAsia="仿宋_GB2312" w:cs="Times New Roman"/>
          <w:color w:val="auto"/>
          <w:kern w:val="2"/>
          <w:sz w:val="32"/>
          <w:szCs w:val="32"/>
          <w:lang w:val="en-US" w:eastAsia="zh-CN" w:bidi="ar-SA"/>
        </w:rPr>
      </w:pPr>
      <w:r>
        <w:rPr>
          <w:rFonts w:ascii="Times New Roman" w:hAnsi="Times New Roman" w:eastAsia="仿宋_GB2312" w:cs="Times New Roman"/>
          <w:color w:val="auto"/>
          <w:kern w:val="2"/>
          <w:sz w:val="32"/>
          <w:szCs w:val="32"/>
          <w:lang w:val="en-US" w:eastAsia="zh-CN" w:bidi="ar-SA"/>
        </w:rPr>
        <w:t>2.公务用车购置费及运行维护费支出预算为</w:t>
      </w:r>
      <w:r>
        <w:rPr>
          <w:rFonts w:hint="eastAsia" w:ascii="Times New Roman" w:hAnsi="Times New Roman" w:eastAsia="仿宋_GB2312" w:cs="Times New Roman"/>
          <w:color w:val="auto"/>
          <w:kern w:val="2"/>
          <w:sz w:val="32"/>
          <w:szCs w:val="32"/>
          <w:lang w:val="en-US" w:eastAsia="zh-CN" w:bidi="ar-SA"/>
        </w:rPr>
        <w:t>0</w:t>
      </w:r>
      <w:r>
        <w:rPr>
          <w:rFonts w:ascii="Times New Roman" w:hAnsi="Times New Roman" w:eastAsia="仿宋_GB2312" w:cs="Times New Roman"/>
          <w:color w:val="auto"/>
          <w:kern w:val="2"/>
          <w:sz w:val="32"/>
          <w:szCs w:val="32"/>
          <w:lang w:val="en-US" w:eastAsia="zh-CN" w:bidi="ar-SA"/>
        </w:rPr>
        <w:t>万元，支出决算为</w:t>
      </w:r>
      <w:r>
        <w:rPr>
          <w:rFonts w:hint="eastAsia" w:ascii="Times New Roman" w:hAnsi="Times New Roman" w:eastAsia="仿宋_GB2312" w:cs="Times New Roman"/>
          <w:color w:val="auto"/>
          <w:kern w:val="2"/>
          <w:sz w:val="32"/>
          <w:szCs w:val="32"/>
          <w:lang w:val="en-US" w:eastAsia="zh-CN" w:bidi="ar-SA"/>
        </w:rPr>
        <w:t>0</w:t>
      </w:r>
      <w:r>
        <w:rPr>
          <w:rFonts w:ascii="Times New Roman" w:hAnsi="Times New Roman" w:eastAsia="仿宋_GB2312" w:cs="Times New Roman"/>
          <w:color w:val="auto"/>
          <w:kern w:val="2"/>
          <w:sz w:val="32"/>
          <w:szCs w:val="32"/>
          <w:lang w:val="en-US" w:eastAsia="zh-CN" w:bidi="ar-SA"/>
        </w:rPr>
        <w:t>万元，</w:t>
      </w:r>
      <w:r>
        <w:rPr>
          <w:rFonts w:hint="eastAsia" w:ascii="Times New Roman" w:hAnsi="Times New Roman" w:eastAsia="仿宋_GB2312" w:cs="Times New Roman"/>
          <w:color w:val="auto"/>
          <w:kern w:val="2"/>
          <w:sz w:val="32"/>
          <w:szCs w:val="32"/>
          <w:lang w:val="en-US" w:eastAsia="zh-CN" w:bidi="ar-SA"/>
        </w:rPr>
        <w:t>决算数等于预算数</w:t>
      </w:r>
      <w:r>
        <w:rPr>
          <w:rFonts w:ascii="Times New Roman" w:hAnsi="Times New Roman" w:eastAsia="仿宋_GB2312" w:cs="Times New Roman"/>
          <w:color w:val="auto"/>
          <w:kern w:val="2"/>
          <w:sz w:val="32"/>
          <w:szCs w:val="32"/>
          <w:lang w:val="en-US" w:eastAsia="zh-CN" w:bidi="ar-SA"/>
        </w:rPr>
        <w:t>；</w:t>
      </w:r>
      <w:r>
        <w:rPr>
          <w:rFonts w:hint="eastAsia" w:ascii="Times New Roman" w:hAnsi="Times New Roman" w:eastAsia="仿宋_GB2312" w:cs="Times New Roman"/>
          <w:color w:val="auto"/>
          <w:kern w:val="2"/>
          <w:sz w:val="32"/>
          <w:szCs w:val="32"/>
          <w:lang w:val="en-US" w:eastAsia="zh-CN" w:bidi="ar-SA"/>
        </w:rPr>
        <w:t>与上年一致，无增减变动</w:t>
      </w:r>
      <w:r>
        <w:rPr>
          <w:rFonts w:ascii="Times New Roman" w:hAnsi="Times New Roman" w:eastAsia="仿宋_GB2312" w:cs="Times New Roman"/>
          <w:color w:val="auto"/>
          <w:kern w:val="2"/>
          <w:sz w:val="32"/>
          <w:szCs w:val="32"/>
          <w:lang w:val="en-US" w:eastAsia="zh-CN" w:bidi="ar-SA"/>
        </w:rPr>
        <w:t>。其中：</w:t>
      </w:r>
    </w:p>
    <w:p w14:paraId="6A08A6C7">
      <w:pPr>
        <w:pStyle w:val="14"/>
        <w:overflowPunct w:val="0"/>
        <w:autoSpaceDE/>
        <w:autoSpaceDN/>
        <w:spacing w:line="600" w:lineRule="exact"/>
        <w:ind w:firstLine="640" w:firstLineChars="200"/>
        <w:jc w:val="both"/>
        <w:rPr>
          <w:rFonts w:hint="eastAsia" w:ascii="Times New Roman" w:hAnsi="Times New Roman" w:eastAsia="仿宋_GB2312" w:cs="Times New Roman"/>
          <w:color w:val="auto"/>
          <w:kern w:val="2"/>
          <w:sz w:val="32"/>
          <w:szCs w:val="32"/>
          <w:lang w:val="en-US" w:eastAsia="zh-CN" w:bidi="ar-SA"/>
        </w:rPr>
      </w:pPr>
      <w:r>
        <w:rPr>
          <w:rFonts w:ascii="Times New Roman" w:hAnsi="Times New Roman" w:eastAsia="仿宋_GB2312" w:cs="Times New Roman"/>
          <w:color w:val="auto"/>
          <w:kern w:val="2"/>
          <w:sz w:val="32"/>
          <w:szCs w:val="32"/>
          <w:lang w:val="en-US" w:eastAsia="zh-CN" w:bidi="ar-SA"/>
        </w:rPr>
        <w:t>公务用车购置费支出预算为</w:t>
      </w:r>
      <w:r>
        <w:rPr>
          <w:rFonts w:hint="eastAsia" w:ascii="Times New Roman" w:hAnsi="Times New Roman" w:eastAsia="仿宋_GB2312" w:cs="Times New Roman"/>
          <w:color w:val="auto"/>
          <w:kern w:val="2"/>
          <w:sz w:val="32"/>
          <w:szCs w:val="32"/>
          <w:lang w:val="en-US" w:eastAsia="zh-CN" w:bidi="ar-SA"/>
        </w:rPr>
        <w:t>0</w:t>
      </w:r>
      <w:r>
        <w:rPr>
          <w:rFonts w:ascii="Times New Roman" w:hAnsi="Times New Roman" w:eastAsia="仿宋_GB2312" w:cs="Times New Roman"/>
          <w:color w:val="auto"/>
          <w:kern w:val="2"/>
          <w:sz w:val="32"/>
          <w:szCs w:val="32"/>
          <w:lang w:val="en-US" w:eastAsia="zh-CN" w:bidi="ar-SA"/>
        </w:rPr>
        <w:t>万元，支出决算为</w:t>
      </w:r>
      <w:r>
        <w:rPr>
          <w:rFonts w:hint="eastAsia" w:ascii="Times New Roman" w:hAnsi="Times New Roman" w:eastAsia="仿宋_GB2312" w:cs="Times New Roman"/>
          <w:color w:val="auto"/>
          <w:kern w:val="2"/>
          <w:sz w:val="32"/>
          <w:szCs w:val="32"/>
          <w:lang w:val="en-US" w:eastAsia="zh-CN" w:bidi="ar-SA"/>
        </w:rPr>
        <w:t>0</w:t>
      </w:r>
      <w:r>
        <w:rPr>
          <w:rFonts w:ascii="Times New Roman" w:hAnsi="Times New Roman" w:eastAsia="仿宋_GB2312" w:cs="Times New Roman"/>
          <w:color w:val="auto"/>
          <w:kern w:val="2"/>
          <w:sz w:val="32"/>
          <w:szCs w:val="32"/>
          <w:lang w:val="en-US" w:eastAsia="zh-CN" w:bidi="ar-SA"/>
        </w:rPr>
        <w:t>万元，</w:t>
      </w:r>
      <w:r>
        <w:rPr>
          <w:rFonts w:hint="eastAsia" w:ascii="Times New Roman" w:hAnsi="Times New Roman" w:eastAsia="仿宋_GB2312" w:cs="Times New Roman"/>
          <w:color w:val="auto"/>
          <w:kern w:val="2"/>
          <w:sz w:val="32"/>
          <w:szCs w:val="32"/>
          <w:lang w:val="en-US" w:eastAsia="zh-CN" w:bidi="ar-SA"/>
        </w:rPr>
        <w:t>决算数等于预算数，主要原因是我单位严格按预算执行决算</w:t>
      </w:r>
      <w:r>
        <w:rPr>
          <w:rFonts w:ascii="Times New Roman" w:hAnsi="Times New Roman" w:eastAsia="仿宋_GB2312" w:cs="Times New Roman"/>
          <w:color w:val="auto"/>
          <w:kern w:val="2"/>
          <w:sz w:val="32"/>
          <w:szCs w:val="32"/>
          <w:lang w:val="en-US" w:eastAsia="zh-CN" w:bidi="ar-SA"/>
        </w:rPr>
        <w:t>；</w:t>
      </w:r>
      <w:r>
        <w:rPr>
          <w:rFonts w:hint="eastAsia" w:ascii="Times New Roman" w:hAnsi="Times New Roman" w:eastAsia="仿宋_GB2312" w:cs="Times New Roman"/>
          <w:color w:val="auto"/>
          <w:kern w:val="2"/>
          <w:sz w:val="32"/>
          <w:szCs w:val="32"/>
          <w:lang w:val="en-US" w:eastAsia="zh-CN" w:bidi="ar-SA"/>
        </w:rPr>
        <w:t>与上年一致，无增减变动，主要原因是两年均未购置公务用车。本单位</w:t>
      </w:r>
      <w:r>
        <w:rPr>
          <w:rFonts w:ascii="Times New Roman" w:hAnsi="Times New Roman" w:eastAsia="仿宋_GB2312" w:cs="Times New Roman"/>
          <w:color w:val="auto"/>
          <w:kern w:val="2"/>
          <w:sz w:val="32"/>
          <w:szCs w:val="32"/>
          <w:lang w:val="en-US" w:eastAsia="zh-CN" w:bidi="ar-SA"/>
        </w:rPr>
        <w:t>更新公务用车</w:t>
      </w:r>
      <w:r>
        <w:rPr>
          <w:rFonts w:hint="eastAsia" w:ascii="Times New Roman" w:hAnsi="Times New Roman" w:eastAsia="仿宋_GB2312" w:cs="Times New Roman"/>
          <w:color w:val="auto"/>
          <w:kern w:val="2"/>
          <w:sz w:val="32"/>
          <w:szCs w:val="32"/>
          <w:lang w:val="en-US" w:eastAsia="zh-CN" w:bidi="ar-SA"/>
        </w:rPr>
        <w:t>0</w:t>
      </w:r>
      <w:r>
        <w:rPr>
          <w:rFonts w:ascii="Times New Roman" w:hAnsi="Times New Roman" w:eastAsia="仿宋_GB2312" w:cs="Times New Roman"/>
          <w:color w:val="auto"/>
          <w:kern w:val="2"/>
          <w:sz w:val="32"/>
          <w:szCs w:val="32"/>
          <w:lang w:val="en-US" w:eastAsia="zh-CN" w:bidi="ar-SA"/>
        </w:rPr>
        <w:t>辆</w:t>
      </w:r>
      <w:r>
        <w:rPr>
          <w:rFonts w:hint="eastAsia" w:ascii="Times New Roman" w:hAnsi="Times New Roman" w:eastAsia="仿宋_GB2312" w:cs="Times New Roman"/>
          <w:color w:val="auto"/>
          <w:kern w:val="2"/>
          <w:sz w:val="32"/>
          <w:szCs w:val="32"/>
          <w:lang w:val="en-US" w:eastAsia="zh-CN" w:bidi="ar-SA"/>
        </w:rPr>
        <w:t>。</w:t>
      </w:r>
    </w:p>
    <w:p w14:paraId="761503B4">
      <w:pPr>
        <w:pStyle w:val="14"/>
        <w:overflowPunct w:val="0"/>
        <w:autoSpaceDE/>
        <w:autoSpaceDN/>
        <w:spacing w:line="600" w:lineRule="exact"/>
        <w:ind w:firstLine="640" w:firstLineChars="200"/>
        <w:jc w:val="both"/>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公</w:t>
      </w:r>
      <w:r>
        <w:rPr>
          <w:rFonts w:ascii="Times New Roman" w:hAnsi="Times New Roman" w:eastAsia="仿宋_GB2312" w:cs="Times New Roman"/>
          <w:color w:val="auto"/>
          <w:kern w:val="2"/>
          <w:sz w:val="32"/>
          <w:szCs w:val="32"/>
          <w:lang w:val="en-US" w:eastAsia="zh-CN" w:bidi="ar-SA"/>
        </w:rPr>
        <w:t>务用车运行维护费支出预算为</w:t>
      </w:r>
      <w:r>
        <w:rPr>
          <w:rFonts w:hint="eastAsia" w:ascii="Times New Roman" w:hAnsi="Times New Roman" w:eastAsia="仿宋_GB2312" w:cs="Times New Roman"/>
          <w:color w:val="auto"/>
          <w:kern w:val="2"/>
          <w:sz w:val="32"/>
          <w:szCs w:val="32"/>
          <w:lang w:val="en-US" w:eastAsia="zh-CN" w:bidi="ar-SA"/>
        </w:rPr>
        <w:t>0</w:t>
      </w:r>
      <w:r>
        <w:rPr>
          <w:rFonts w:ascii="Times New Roman" w:hAnsi="Times New Roman" w:eastAsia="仿宋_GB2312" w:cs="Times New Roman"/>
          <w:color w:val="auto"/>
          <w:kern w:val="2"/>
          <w:sz w:val="32"/>
          <w:szCs w:val="32"/>
          <w:lang w:val="en-US" w:eastAsia="zh-CN" w:bidi="ar-SA"/>
        </w:rPr>
        <w:t>万元，支出决算为</w:t>
      </w:r>
      <w:r>
        <w:rPr>
          <w:rFonts w:hint="eastAsia" w:ascii="Times New Roman" w:hAnsi="Times New Roman" w:eastAsia="仿宋_GB2312" w:cs="Times New Roman"/>
          <w:color w:val="auto"/>
          <w:kern w:val="2"/>
          <w:sz w:val="32"/>
          <w:szCs w:val="32"/>
          <w:lang w:val="en-US" w:eastAsia="zh-CN" w:bidi="ar-SA"/>
        </w:rPr>
        <w:t>0</w:t>
      </w:r>
      <w:r>
        <w:rPr>
          <w:rFonts w:ascii="Times New Roman" w:hAnsi="Times New Roman" w:eastAsia="仿宋_GB2312" w:cs="Times New Roman"/>
          <w:color w:val="auto"/>
          <w:kern w:val="2"/>
          <w:sz w:val="32"/>
          <w:szCs w:val="32"/>
          <w:lang w:val="en-US" w:eastAsia="zh-CN" w:bidi="ar-SA"/>
        </w:rPr>
        <w:t>万元，</w:t>
      </w:r>
      <w:r>
        <w:rPr>
          <w:rFonts w:hint="eastAsia" w:ascii="Times New Roman" w:hAnsi="Times New Roman" w:eastAsia="仿宋_GB2312" w:cs="Times New Roman"/>
          <w:color w:val="auto"/>
          <w:kern w:val="2"/>
          <w:sz w:val="32"/>
          <w:szCs w:val="32"/>
          <w:lang w:val="en-US" w:eastAsia="zh-CN" w:bidi="ar-SA"/>
        </w:rPr>
        <w:t xml:space="preserve">决算数等于预算数，主要原因是我单位严格按预算执行决算；与上年一致，无增减变动，主要原因是两年均无公务用车需要运行维护。 </w:t>
      </w:r>
      <w:r>
        <w:rPr>
          <w:rFonts w:ascii="Times New Roman" w:hAnsi="Times New Roman" w:eastAsia="仿宋_GB2312" w:cs="Times New Roman"/>
          <w:color w:val="auto"/>
          <w:kern w:val="2"/>
          <w:sz w:val="32"/>
          <w:szCs w:val="32"/>
          <w:lang w:val="en-US" w:eastAsia="zh-CN" w:bidi="ar-SA"/>
        </w:rPr>
        <w:t>截止</w:t>
      </w:r>
      <w:r>
        <w:rPr>
          <w:rFonts w:hint="eastAsia" w:ascii="Times New Roman" w:hAnsi="Times New Roman" w:eastAsia="仿宋_GB2312" w:cs="Times New Roman"/>
          <w:color w:val="auto"/>
          <w:kern w:val="2"/>
          <w:sz w:val="32"/>
          <w:szCs w:val="32"/>
          <w:lang w:val="en-US" w:eastAsia="zh-CN" w:bidi="ar-SA"/>
        </w:rPr>
        <w:t>到</w:t>
      </w:r>
      <w:r>
        <w:rPr>
          <w:rFonts w:ascii="Times New Roman" w:hAnsi="Times New Roman" w:eastAsia="仿宋_GB2312" w:cs="Times New Roman"/>
          <w:color w:val="auto"/>
          <w:kern w:val="2"/>
          <w:sz w:val="32"/>
          <w:szCs w:val="32"/>
          <w:lang w:val="en-US" w:eastAsia="zh-CN" w:bidi="ar-SA"/>
        </w:rPr>
        <w:t>2024年12月31日，我单位开支</w:t>
      </w:r>
      <w:r>
        <w:rPr>
          <w:rFonts w:hint="eastAsia" w:ascii="Times New Roman" w:hAnsi="Times New Roman" w:eastAsia="仿宋_GB2312" w:cs="Times New Roman"/>
          <w:color w:val="auto"/>
          <w:kern w:val="2"/>
          <w:sz w:val="32"/>
          <w:szCs w:val="32"/>
          <w:lang w:val="en-US" w:eastAsia="zh-CN" w:bidi="ar-SA"/>
        </w:rPr>
        <w:t>财政拨款的公务用车保有量为0辆。</w:t>
      </w:r>
    </w:p>
    <w:p w14:paraId="3F8AD3A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color w:val="auto"/>
          <w:kern w:val="2"/>
          <w:sz w:val="32"/>
          <w:szCs w:val="32"/>
          <w:lang w:val="en-US" w:eastAsia="zh-CN" w:bidi="ar-SA"/>
        </w:rPr>
        <w:t>3.公务接待费支出预算为3万元，支出决算为2.04万元，完成预算的68%；与上年相比减少0.85万元，降低29.41%。决算数小于预算数的主要原因是认真贯彻落实中央八项规定精神和厉行节约要求，从严控制“三公”经费开支。决算数小于上年数的主要原因是减少的主要原因是认真贯彻落实中央八项规定精神和厉行节约要求，从严控制“三公”经费开支。</w:t>
      </w:r>
      <w:r>
        <w:rPr>
          <w:rFonts w:ascii="Times New Roman" w:hAnsi="Times New Roman" w:eastAsia="仿宋_GB2312" w:cs="Times New Roman"/>
          <w:color w:val="auto"/>
          <w:kern w:val="2"/>
          <w:sz w:val="32"/>
          <w:szCs w:val="32"/>
          <w:lang w:val="en-US" w:eastAsia="zh-CN" w:bidi="ar-SA"/>
        </w:rPr>
        <w:t>2024年</w:t>
      </w:r>
      <w:r>
        <w:rPr>
          <w:rFonts w:hint="eastAsia" w:ascii="仿宋_GB2312" w:hAnsi="仿宋_GB2312" w:eastAsia="仿宋_GB2312" w:cs="仿宋_GB2312"/>
          <w:sz w:val="32"/>
          <w:szCs w:val="32"/>
          <w:lang w:val="en-US" w:eastAsia="zh-CN"/>
        </w:rPr>
        <w:t>共接待来访团组16个、来宾140人次，主要是学习交流、请示汇报、考察调研发生的接待支出。</w:t>
      </w:r>
    </w:p>
    <w:p w14:paraId="3D06ACE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4"/>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年度机关运行经费支出147.67万元，</w:t>
      </w:r>
      <w:r>
        <w:rPr>
          <w:rFonts w:hint="eastAsia" w:ascii="仿宋_GB2312" w:hAnsi="仿宋_GB2312" w:eastAsia="仿宋_GB2312" w:cs="仿宋_GB2312"/>
          <w:sz w:val="32"/>
          <w:szCs w:val="32"/>
          <w:highlight w:val="none"/>
        </w:rPr>
        <w:t>比上年决算数减少</w:t>
      </w:r>
      <w:r>
        <w:rPr>
          <w:rFonts w:hint="eastAsia" w:ascii="仿宋_GB2312" w:hAnsi="仿宋_GB2312" w:eastAsia="仿宋_GB2312" w:cs="仿宋_GB2312"/>
          <w:sz w:val="32"/>
          <w:szCs w:val="32"/>
          <w:highlight w:val="none"/>
          <w:lang w:val="en-US" w:eastAsia="zh-CN"/>
        </w:rPr>
        <w:t>47.45</w:t>
      </w:r>
      <w:r>
        <w:rPr>
          <w:rFonts w:hint="eastAsia" w:ascii="仿宋_GB2312" w:hAnsi="仿宋_GB2312" w:eastAsia="仿宋_GB2312" w:cs="仿宋_GB2312"/>
          <w:sz w:val="32"/>
          <w:szCs w:val="32"/>
          <w:highlight w:val="none"/>
        </w:rPr>
        <w:t>万元，降低</w:t>
      </w:r>
      <w:r>
        <w:rPr>
          <w:rFonts w:hint="eastAsia" w:ascii="仿宋_GB2312" w:hAnsi="仿宋_GB2312" w:eastAsia="仿宋_GB2312" w:cs="仿宋_GB2312"/>
          <w:sz w:val="32"/>
          <w:szCs w:val="32"/>
          <w:highlight w:val="none"/>
          <w:lang w:val="en-US" w:eastAsia="zh-CN"/>
        </w:rPr>
        <w:t>24.32</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highlight w:val="none"/>
          <w:lang w:val="en-US" w:eastAsia="zh-CN"/>
        </w:rPr>
        <w:t>一方面，</w:t>
      </w:r>
      <w:r>
        <w:rPr>
          <w:rFonts w:hint="eastAsia" w:ascii="Times New Roman" w:hAnsi="Times New Roman" w:eastAsia="仿宋_GB2312" w:cs="Times New Roman"/>
          <w:color w:val="auto"/>
          <w:kern w:val="2"/>
          <w:sz w:val="32"/>
          <w:szCs w:val="32"/>
          <w:lang w:val="en-US" w:eastAsia="zh-CN" w:bidi="ar-SA"/>
        </w:rPr>
        <w:t>认真贯彻落实中央八项规定精神和厉行节约要求，另一方面，由于人员经费压力过大，调剂公用经费用于人员经费支出。</w:t>
      </w:r>
    </w:p>
    <w:p w14:paraId="39684EF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3C3BE49B">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年度，会议费年初预算5万元，支出决算为0万元，完成年初预算的0%。</w:t>
      </w:r>
      <w:r>
        <w:rPr>
          <w:rFonts w:hint="eastAsia" w:ascii="Times New Roman" w:hAnsi="Times New Roman" w:eastAsia="仿宋_GB2312"/>
          <w:sz w:val="32"/>
          <w:szCs w:val="32"/>
          <w:lang w:val="en-US" w:eastAsia="zh-CN"/>
        </w:rPr>
        <w:t>本单位无会议费的支出决算数。</w:t>
      </w:r>
    </w:p>
    <w:p w14:paraId="3987E61D">
      <w:pPr>
        <w:widowControl w:val="0"/>
        <w:autoSpaceDE w:val="0"/>
        <w:autoSpaceDN w:val="0"/>
        <w:adjustRightInd w:val="0"/>
        <w:ind w:firstLine="640" w:firstLineChars="200"/>
        <w:rPr>
          <w:rFonts w:hint="eastAsia" w:ascii="Times New Roman" w:hAnsi="Times New Roman" w:eastAsia="仿宋_GB2312"/>
          <w:sz w:val="32"/>
          <w:szCs w:val="32"/>
          <w:lang w:val="en-US" w:eastAsia="zh-CN"/>
        </w:rPr>
      </w:pPr>
      <w:r>
        <w:rPr>
          <w:rFonts w:hint="eastAsia" w:ascii="仿宋_GB2312" w:hAnsi="仿宋_GB2312" w:eastAsia="仿宋_GB2312" w:cs="仿宋_GB2312"/>
          <w:color w:val="000000"/>
          <w:kern w:val="0"/>
          <w:sz w:val="32"/>
          <w:szCs w:val="32"/>
          <w:lang w:val="en-US" w:eastAsia="zh-CN" w:bidi="ar-SA"/>
        </w:rPr>
        <w:t>培训费年初预算4万元，支出决算为0万元，完成年初预算的0%。</w:t>
      </w:r>
      <w:r>
        <w:rPr>
          <w:rFonts w:hint="eastAsia" w:ascii="Times New Roman" w:hAnsi="Times New Roman" w:eastAsia="仿宋_GB2312"/>
          <w:sz w:val="32"/>
          <w:szCs w:val="32"/>
          <w:lang w:val="en-US" w:eastAsia="zh-CN"/>
        </w:rPr>
        <w:t>本单位无培训费费的支出决算数。</w:t>
      </w:r>
    </w:p>
    <w:p w14:paraId="620EF0FB">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举办节庆、晚会、论坛、赛事活动年初预算0万元，支出决算为0万元，</w:t>
      </w:r>
      <w:r>
        <w:rPr>
          <w:rFonts w:hint="eastAsia" w:ascii="Times New Roman" w:hAnsi="Times New Roman" w:eastAsia="仿宋_GB2312"/>
          <w:sz w:val="32"/>
          <w:szCs w:val="32"/>
          <w:lang w:val="en-US" w:eastAsia="zh-CN"/>
        </w:rPr>
        <w:t>主要是本单位无举办节庆、晚会、论坛、赛事等活动的预算和支出决算数。</w:t>
      </w:r>
    </w:p>
    <w:p w14:paraId="252D0BE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CBF7D03">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部门2024年度政府采购支出总额0万元，其中：政府采购货物支出0万元、政府采购工程支出0万元、政府采购服务支出0万元。授予中小企业合同金额0万元（由于政府采购支出总额为0，故无法计算占政府采购支出总额的比重），其中：授予小微企业合同金额0万元（由于授予中小企业合同金额为0，故无法计算占授予中小企业合同金额的比重）。货物采购授予中小企业合同金额占货物支出金额的比重，工程采购授予中小企业合同金额占工程支出金额的比重，服务采购授予中小企业合同金额占服务支出金额的比重，由于以上各项合同金额为0，故无法计算各项占比。</w:t>
      </w:r>
    </w:p>
    <w:p w14:paraId="246A0DF6">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6800A37C">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截至2024年12月31日，本单位共有车辆0辆，其中，副部（省）级及以上领导用车0辆、主要负责人用车0辆、机要通信用车0辆、应急保障用车0辆、执法执勤用车0辆、特种专业技术用车0辆、离退休干部服务用车0辆、其他用车0辆；单位价值100万元以上设备（不含车辆）0台（套）。</w:t>
      </w:r>
    </w:p>
    <w:p w14:paraId="0A8224AC">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30464F0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根据预算绩效管理要求，我们组织对2024年度整体支出和项目资金实施了全覆盖性的绩效评价，撰写了绩效自评报告。</w:t>
      </w:r>
    </w:p>
    <w:p w14:paraId="119CC08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w:t>
      </w:r>
      <w:r>
        <w:rPr>
          <w:rFonts w:hint="eastAsia" w:ascii="仿宋_GB2312" w:hAnsi="仿宋_GB2312" w:eastAsia="仿宋_GB2312" w:cs="仿宋_GB2312"/>
          <w:sz w:val="32"/>
          <w:szCs w:val="32"/>
        </w:rPr>
        <w:t>1648.58</w:t>
      </w:r>
      <w:r>
        <w:rPr>
          <w:rFonts w:hint="eastAsia" w:ascii="仿宋_GB2312" w:hAnsi="仿宋_GB2312" w:eastAsia="仿宋_GB2312" w:cs="仿宋_GB2312"/>
          <w:b w:val="0"/>
          <w:bCs w:val="0"/>
          <w:color w:val="000000"/>
          <w:kern w:val="0"/>
          <w:sz w:val="32"/>
          <w:szCs w:val="32"/>
          <w:lang w:val="en-US" w:eastAsia="zh-CN" w:bidi="ar-SA"/>
        </w:rPr>
        <w:t>万元，政府性基金预算支出</w:t>
      </w:r>
      <w:r>
        <w:rPr>
          <w:rFonts w:hint="default" w:ascii="仿宋_GB2312" w:hAnsi="仿宋_GB2312" w:eastAsia="仿宋_GB2312" w:cs="仿宋_GB2312"/>
          <w:b w:val="0"/>
          <w:bCs w:val="0"/>
          <w:color w:val="000000"/>
          <w:kern w:val="0"/>
          <w:sz w:val="32"/>
          <w:szCs w:val="32"/>
          <w:lang w:eastAsia="zh-CN" w:bidi="ar-SA"/>
        </w:rPr>
        <w:t>0</w:t>
      </w:r>
      <w:r>
        <w:rPr>
          <w:rFonts w:hint="eastAsia" w:ascii="仿宋_GB2312" w:hAnsi="仿宋_GB2312" w:eastAsia="仿宋_GB2312" w:cs="仿宋_GB2312"/>
          <w:b w:val="0"/>
          <w:bCs w:val="0"/>
          <w:color w:val="000000"/>
          <w:kern w:val="0"/>
          <w:sz w:val="32"/>
          <w:szCs w:val="32"/>
          <w:lang w:val="en-US" w:eastAsia="zh-CN" w:bidi="ar-SA"/>
        </w:rPr>
        <w:t>万元，国有资本经营预算支出0万元。从评价情况来看，整体支出绩效评价中，2024年整体支出</w:t>
      </w:r>
      <w:r>
        <w:rPr>
          <w:rFonts w:hint="eastAsia" w:ascii="仿宋_GB2312" w:hAnsi="仿宋_GB2312" w:eastAsia="仿宋_GB2312" w:cs="仿宋_GB2312"/>
          <w:sz w:val="32"/>
          <w:szCs w:val="32"/>
        </w:rPr>
        <w:t>3582.75</w:t>
      </w:r>
      <w:r>
        <w:rPr>
          <w:rFonts w:hint="eastAsia" w:ascii="仿宋_GB2312" w:hAnsi="仿宋_GB2312" w:eastAsia="仿宋_GB2312" w:cs="仿宋_GB2312"/>
          <w:b w:val="0"/>
          <w:bCs w:val="0"/>
          <w:color w:val="000000"/>
          <w:kern w:val="0"/>
          <w:sz w:val="32"/>
          <w:szCs w:val="32"/>
          <w:lang w:val="en-US" w:eastAsia="zh-CN" w:bidi="ar-SA"/>
        </w:rPr>
        <w:t>万元，其中：</w:t>
      </w:r>
      <w:r>
        <w:rPr>
          <w:rFonts w:hint="eastAsia" w:ascii="仿宋_GB2312" w:hAnsi="仿宋_GB2312" w:eastAsia="仿宋_GB2312" w:cs="仿宋_GB2312"/>
          <w:sz w:val="32"/>
          <w:szCs w:val="32"/>
        </w:rPr>
        <w:t>基本支出1632.8万元</w:t>
      </w:r>
      <w:r>
        <w:rPr>
          <w:rFonts w:hint="eastAsia" w:ascii="仿宋_GB2312" w:hAnsi="仿宋_GB2312" w:eastAsia="仿宋_GB2312" w:cs="仿宋_GB2312"/>
          <w:b w:val="0"/>
          <w:bCs w:val="0"/>
          <w:color w:val="000000"/>
          <w:kern w:val="0"/>
          <w:sz w:val="32"/>
          <w:szCs w:val="32"/>
          <w:lang w:val="en-US" w:eastAsia="zh-CN" w:bidi="ar-SA"/>
        </w:rPr>
        <w:t>，</w:t>
      </w:r>
      <w:r>
        <w:rPr>
          <w:rFonts w:hint="eastAsia" w:ascii="仿宋_GB2312" w:hAnsi="仿宋_GB2312" w:eastAsia="仿宋_GB2312" w:cs="仿宋_GB2312"/>
          <w:sz w:val="32"/>
          <w:szCs w:val="32"/>
        </w:rPr>
        <w:t>项目支出1949.95万元</w:t>
      </w:r>
      <w:r>
        <w:rPr>
          <w:rFonts w:hint="eastAsia" w:ascii="仿宋_GB2312" w:hAnsi="仿宋_GB2312" w:eastAsia="仿宋_GB2312" w:cs="仿宋_GB2312"/>
          <w:b w:val="0"/>
          <w:bCs w:val="0"/>
          <w:color w:val="000000"/>
          <w:kern w:val="0"/>
          <w:sz w:val="32"/>
          <w:szCs w:val="32"/>
          <w:lang w:val="en-US" w:eastAsia="zh-CN" w:bidi="ar-SA"/>
        </w:rPr>
        <w:t>，本单位整体支出绩效自评综合评分97.7分，评价结果等次为优。</w:t>
      </w:r>
    </w:p>
    <w:p w14:paraId="665C5D1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40万元，占一般公共预算项目支出总额的25.49%。组织对政府性基金预算项目支出开展绩效自评，项目0个，共涉及资金0万元，占政府性基金预算项目支出总额的0%。组织对国有资本经营预算项目支出开展绩效自评，项目0个，共涉及资金0万元，占国有资本经营预算项目支出总额的0%。从评价情况来看，项目绩效自评得分0分，评价结果等次为0。</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3F32372E">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FF0000"/>
          <w:sz w:val="32"/>
          <w:szCs w:val="32"/>
          <w:lang w:eastAsia="zh-CN"/>
        </w:rPr>
      </w:pP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rPr>
        <w:t>1699.87</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rPr>
        <w:t>1648.58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97.1</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kern w:val="0"/>
          <w:sz w:val="32"/>
          <w:szCs w:val="32"/>
          <w:lang w:val="en-US" w:eastAsia="zh-CN"/>
        </w:rPr>
        <w:t>97.7</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w:t>
      </w:r>
      <w:r>
        <w:rPr>
          <w:rFonts w:hint="eastAsia" w:ascii="Times New Roman" w:hAnsi="Times New Roman" w:eastAsia="仿宋_GB2312" w:cs="Times New Roman"/>
          <w:sz w:val="32"/>
          <w:szCs w:val="32"/>
        </w:rPr>
        <w:t>一年以来，全市城镇新增就业6.81万人，完成全年目标任务的115.47%。城镇调查失业率为5.4%，全省A类地区排名并列第4。新增农村劳动力转移就业3.31万人，完成全年任务的106.8%。失业人员再就业4.64万人，完成全年目标任务的171.85%。就业困难人员就业1.08万人，完成全年目标任务的120%。12万脱贫劳动力上岗就业，外出务工比例达93%。有就业意愿离校未就业高校毕业生就业率达97.7%。组织创业培训9393人，完成全年目标任务的104.37%。新增发放创业担保贷款5亿元，完成全年目标任务的100%；全市入驻创业孵化基地实体1597个，双创氛围持续浓厚。全市就业形势保持总体稳定</w:t>
      </w:r>
      <w:r>
        <w:rPr>
          <w:rFonts w:ascii="Times New Roman" w:hAnsi="Times New Roman" w:eastAsia="仿宋_GB2312" w:cs="Times New Roman"/>
          <w:sz w:val="32"/>
          <w:szCs w:val="32"/>
        </w:rPr>
        <w:t>。发现的主要问题及原因：一是</w:t>
      </w:r>
      <w:r>
        <w:rPr>
          <w:rFonts w:hint="eastAsia" w:ascii="Times New Roman" w:hAnsi="Times New Roman" w:eastAsia="仿宋_GB2312" w:cs="Times New Roman"/>
          <w:sz w:val="32"/>
          <w:szCs w:val="32"/>
          <w:highlight w:val="none"/>
          <w:lang w:val="en-US" w:eastAsia="zh-CN"/>
        </w:rPr>
        <w:t>预算绩效管理机制不健全，尚未建立科学、系统的绩效指标体系，难以全面、准确地衡量预算执行效果</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highlight w:val="none"/>
          <w:lang w:val="en-US" w:eastAsia="zh-CN"/>
        </w:rPr>
        <w:t>预算绩效管理机制不健全，尚未建立科学、系统的绩效指标体系，难以全面、准确地衡量预算执行效果</w:t>
      </w:r>
      <w:r>
        <w:rPr>
          <w:rFonts w:ascii="Times New Roman" w:hAnsi="Times New Roman" w:eastAsia="仿宋_GB2312" w:cs="Times New Roman"/>
          <w:sz w:val="32"/>
          <w:szCs w:val="32"/>
        </w:rPr>
        <w:t>。下一步改进措施：一是</w:t>
      </w:r>
      <w:r>
        <w:rPr>
          <w:rFonts w:hint="eastAsia" w:ascii="Times New Roman" w:hAnsi="Times New Roman" w:eastAsia="仿宋_GB2312" w:cs="Times New Roman"/>
          <w:sz w:val="32"/>
          <w:szCs w:val="32"/>
          <w:highlight w:val="none"/>
          <w:lang w:val="en-US" w:eastAsia="zh-CN"/>
        </w:rPr>
        <w:t>加强制度建设，完善财务管理制度，强化绩效结果应用。同时提升人员能力。加强预算绩效管理培训，增强科学编制与动态监控能力</w:t>
      </w:r>
      <w:r>
        <w:rPr>
          <w:rFonts w:ascii="Times New Roman" w:hAnsi="Times New Roman" w:eastAsia="仿宋_GB2312" w:cs="Times New Roman"/>
          <w:sz w:val="32"/>
          <w:szCs w:val="32"/>
        </w:rPr>
        <w:t>；二是</w:t>
      </w:r>
      <w:r>
        <w:rPr>
          <w:rFonts w:hint="default" w:ascii="Times New Roman" w:hAnsi="Times New Roman" w:eastAsia="仿宋_GB2312" w:cs="Times New Roman"/>
          <w:sz w:val="32"/>
          <w:szCs w:val="32"/>
          <w:highlight w:val="none"/>
        </w:rPr>
        <w:t>严格按照预算规定项目的财务支出内容进行财务预算，在预算金额内严控费用支出。推动建立过紧日子的长效机制，推进预算一体化系统建设，使预算管理水平更上台阶</w:t>
      </w:r>
      <w:r>
        <w:rPr>
          <w:rFonts w:ascii="Times New Roman" w:hAnsi="Times New Roman" w:eastAsia="仿宋_GB2312" w:cs="Times New Roman"/>
          <w:sz w:val="32"/>
          <w:szCs w:val="32"/>
        </w:rPr>
        <w:t>。</w:t>
      </w:r>
    </w:p>
    <w:p w14:paraId="15B7BD01">
      <w:pPr>
        <w:pStyle w:val="9"/>
        <w:rPr>
          <w:rFonts w:hint="eastAsia" w:ascii="Times New Roman" w:hAnsi="Times New Roman" w:eastAsia="仿宋_GB2312" w:cs="Times New Roman"/>
          <w:kern w:val="2"/>
          <w:sz w:val="32"/>
          <w:szCs w:val="32"/>
          <w:highlight w:val="none"/>
          <w:lang w:val="en-US" w:eastAsia="zh-CN" w:bidi="ar-SA"/>
        </w:rPr>
      </w:pPr>
    </w:p>
    <w:p w14:paraId="05AE752D">
      <w:pPr>
        <w:pStyle w:val="14"/>
        <w:jc w:val="center"/>
        <w:rPr>
          <w:rFonts w:hint="eastAsia" w:ascii="Times New Roman" w:hAnsi="Times New Roman" w:eastAsia="仿宋_GB2312" w:cs="Times New Roman"/>
          <w:kern w:val="2"/>
          <w:sz w:val="32"/>
          <w:szCs w:val="32"/>
          <w:highlight w:val="none"/>
          <w:lang w:val="en-US" w:eastAsia="zh-CN" w:bidi="ar-SA"/>
        </w:rPr>
      </w:pPr>
    </w:p>
    <w:p w14:paraId="061421A5">
      <w:pPr>
        <w:pStyle w:val="14"/>
        <w:jc w:val="center"/>
        <w:rPr>
          <w:rFonts w:hint="eastAsia" w:ascii="Times New Roman" w:hAnsi="Times New Roman" w:eastAsia="仿宋_GB2312" w:cs="Times New Roman"/>
          <w:kern w:val="2"/>
          <w:sz w:val="32"/>
          <w:szCs w:val="32"/>
          <w:highlight w:val="none"/>
          <w:lang w:val="en-US" w:eastAsia="zh-CN" w:bidi="ar-SA"/>
        </w:rPr>
      </w:pPr>
    </w:p>
    <w:p w14:paraId="45BFD778">
      <w:pPr>
        <w:pStyle w:val="14"/>
        <w:jc w:val="center"/>
        <w:rPr>
          <w:rFonts w:hint="eastAsia" w:ascii="Times New Roman" w:hAnsi="Times New Roman" w:eastAsia="仿宋_GB2312" w:cs="Times New Roman"/>
          <w:kern w:val="2"/>
          <w:sz w:val="32"/>
          <w:szCs w:val="32"/>
          <w:highlight w:val="none"/>
          <w:lang w:val="en-US" w:eastAsia="zh-CN" w:bidi="ar-SA"/>
        </w:rPr>
      </w:pPr>
    </w:p>
    <w:p w14:paraId="2320CF8E">
      <w:pPr>
        <w:pStyle w:val="14"/>
        <w:jc w:val="center"/>
        <w:rPr>
          <w:rFonts w:hint="eastAsia" w:ascii="Times New Roman" w:hAnsi="Times New Roman" w:eastAsia="仿宋_GB2312" w:cs="Times New Roman"/>
          <w:kern w:val="2"/>
          <w:sz w:val="32"/>
          <w:szCs w:val="32"/>
          <w:highlight w:val="none"/>
          <w:lang w:val="en-US" w:eastAsia="zh-CN" w:bidi="ar-SA"/>
        </w:rPr>
      </w:pPr>
    </w:p>
    <w:p w14:paraId="3258CC79">
      <w:pPr>
        <w:pStyle w:val="14"/>
        <w:jc w:val="center"/>
        <w:rPr>
          <w:rFonts w:hint="eastAsia" w:ascii="Times New Roman" w:hAnsi="Times New Roman" w:eastAsia="仿宋_GB2312" w:cs="Times New Roman"/>
          <w:kern w:val="2"/>
          <w:sz w:val="32"/>
          <w:szCs w:val="32"/>
          <w:highlight w:val="none"/>
          <w:lang w:val="en-US" w:eastAsia="zh-CN" w:bidi="ar-SA"/>
        </w:rPr>
      </w:pPr>
    </w:p>
    <w:p w14:paraId="6C3007BD">
      <w:pPr>
        <w:pStyle w:val="14"/>
        <w:jc w:val="center"/>
        <w:rPr>
          <w:rFonts w:hint="eastAsia" w:ascii="Times New Roman" w:hAnsi="Times New Roman" w:eastAsia="仿宋_GB2312" w:cs="Times New Roman"/>
          <w:kern w:val="2"/>
          <w:sz w:val="32"/>
          <w:szCs w:val="32"/>
          <w:highlight w:val="none"/>
          <w:lang w:val="en-US" w:eastAsia="zh-CN" w:bidi="ar-SA"/>
        </w:rPr>
      </w:pPr>
    </w:p>
    <w:p w14:paraId="23798581">
      <w:pPr>
        <w:pStyle w:val="14"/>
        <w:jc w:val="center"/>
        <w:rPr>
          <w:rFonts w:hint="eastAsia" w:ascii="Times New Roman" w:hAnsi="Times New Roman" w:eastAsia="仿宋_GB2312" w:cs="Times New Roman"/>
          <w:kern w:val="2"/>
          <w:sz w:val="32"/>
          <w:szCs w:val="32"/>
          <w:highlight w:val="none"/>
          <w:lang w:val="en-US" w:eastAsia="zh-CN" w:bidi="ar-SA"/>
        </w:rPr>
      </w:pPr>
    </w:p>
    <w:p w14:paraId="068CEC3B">
      <w:pPr>
        <w:pStyle w:val="14"/>
        <w:jc w:val="center"/>
        <w:rPr>
          <w:rFonts w:hint="eastAsia" w:ascii="Times New Roman" w:hAnsi="Times New Roman" w:eastAsia="仿宋_GB2312" w:cs="Times New Roman"/>
          <w:kern w:val="2"/>
          <w:sz w:val="32"/>
          <w:szCs w:val="32"/>
          <w:highlight w:val="none"/>
          <w:lang w:val="en-US" w:eastAsia="zh-CN" w:bidi="ar-SA"/>
        </w:rPr>
      </w:pPr>
    </w:p>
    <w:p w14:paraId="075530DC">
      <w:pPr>
        <w:pStyle w:val="14"/>
        <w:jc w:val="center"/>
        <w:rPr>
          <w:rFonts w:hint="eastAsia" w:ascii="Times New Roman" w:hAnsi="Times New Roman" w:eastAsia="仿宋_GB2312" w:cs="Times New Roman"/>
          <w:kern w:val="2"/>
          <w:sz w:val="32"/>
          <w:szCs w:val="32"/>
          <w:highlight w:val="none"/>
          <w:lang w:val="en-US" w:eastAsia="zh-CN" w:bidi="ar-SA"/>
        </w:rPr>
      </w:pPr>
    </w:p>
    <w:p w14:paraId="5CC52D9A">
      <w:pPr>
        <w:pStyle w:val="14"/>
        <w:jc w:val="center"/>
        <w:rPr>
          <w:rFonts w:hint="eastAsia" w:ascii="Times New Roman" w:hAnsi="Times New Roman" w:eastAsia="仿宋_GB2312" w:cs="Times New Roman"/>
          <w:kern w:val="2"/>
          <w:sz w:val="32"/>
          <w:szCs w:val="32"/>
          <w:highlight w:val="none"/>
          <w:lang w:val="en-US" w:eastAsia="zh-CN" w:bidi="ar-SA"/>
        </w:rPr>
      </w:pPr>
    </w:p>
    <w:p w14:paraId="52300AF4">
      <w:pPr>
        <w:pStyle w:val="14"/>
        <w:jc w:val="center"/>
        <w:rPr>
          <w:rFonts w:hint="eastAsia" w:ascii="Times New Roman" w:hAnsi="Times New Roman" w:eastAsia="仿宋_GB2312" w:cs="Times New Roman"/>
          <w:kern w:val="2"/>
          <w:sz w:val="32"/>
          <w:szCs w:val="32"/>
          <w:highlight w:val="none"/>
          <w:lang w:val="en-US" w:eastAsia="zh-CN" w:bidi="ar-SA"/>
        </w:rPr>
      </w:pPr>
    </w:p>
    <w:p w14:paraId="2BA3EE7D">
      <w:pPr>
        <w:pStyle w:val="14"/>
        <w:jc w:val="center"/>
        <w:rPr>
          <w:rFonts w:hint="eastAsia" w:ascii="Times New Roman" w:hAnsi="Times New Roman" w:eastAsia="仿宋_GB2312" w:cs="Times New Roman"/>
          <w:kern w:val="2"/>
          <w:sz w:val="32"/>
          <w:szCs w:val="32"/>
          <w:highlight w:val="none"/>
          <w:lang w:val="en-US" w:eastAsia="zh-CN" w:bidi="ar-SA"/>
        </w:rPr>
      </w:pPr>
    </w:p>
    <w:p w14:paraId="298E7F11">
      <w:pPr>
        <w:pStyle w:val="14"/>
        <w:jc w:val="center"/>
        <w:rPr>
          <w:rFonts w:hint="eastAsia" w:ascii="Times New Roman" w:hAnsi="Times New Roman" w:eastAsia="仿宋_GB2312" w:cs="Times New Roman"/>
          <w:kern w:val="2"/>
          <w:sz w:val="32"/>
          <w:szCs w:val="32"/>
          <w:highlight w:val="none"/>
          <w:lang w:val="en-US" w:eastAsia="zh-CN" w:bidi="ar-SA"/>
        </w:rPr>
      </w:pPr>
    </w:p>
    <w:p w14:paraId="3A591FE5">
      <w:pPr>
        <w:pStyle w:val="14"/>
        <w:jc w:val="center"/>
        <w:rPr>
          <w:rFonts w:hint="eastAsia" w:ascii="Times New Roman" w:hAnsi="Times New Roman" w:eastAsia="仿宋_GB2312" w:cs="Times New Roman"/>
          <w:kern w:val="2"/>
          <w:sz w:val="32"/>
          <w:szCs w:val="32"/>
          <w:highlight w:val="none"/>
          <w:lang w:val="en-US" w:eastAsia="zh-CN" w:bidi="ar-SA"/>
        </w:rPr>
      </w:pPr>
    </w:p>
    <w:p w14:paraId="0C20582A">
      <w:pPr>
        <w:pStyle w:val="14"/>
        <w:jc w:val="center"/>
        <w:rPr>
          <w:rFonts w:hint="eastAsia" w:ascii="Times New Roman" w:hAnsi="Times New Roman" w:eastAsia="仿宋_GB2312" w:cs="Times New Roman"/>
          <w:kern w:val="2"/>
          <w:sz w:val="32"/>
          <w:szCs w:val="32"/>
          <w:highlight w:val="none"/>
          <w:lang w:val="en-US" w:eastAsia="zh-CN" w:bidi="ar-SA"/>
        </w:rPr>
      </w:pPr>
    </w:p>
    <w:p w14:paraId="61BDBB85">
      <w:pPr>
        <w:pStyle w:val="14"/>
        <w:jc w:val="center"/>
        <w:rPr>
          <w:rFonts w:hint="eastAsia" w:ascii="Times New Roman" w:hAnsi="Times New Roman" w:eastAsia="仿宋_GB2312" w:cs="Times New Roman"/>
          <w:kern w:val="2"/>
          <w:sz w:val="32"/>
          <w:szCs w:val="32"/>
          <w:highlight w:val="none"/>
          <w:lang w:val="en-US" w:eastAsia="zh-CN" w:bidi="ar-SA"/>
        </w:rPr>
      </w:pPr>
    </w:p>
    <w:p w14:paraId="4F51A45D">
      <w:pPr>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br w:type="page"/>
      </w:r>
    </w:p>
    <w:p w14:paraId="24679B08">
      <w:pPr>
        <w:pStyle w:val="14"/>
        <w:jc w:val="center"/>
        <w:rPr>
          <w:rFonts w:hint="eastAsia" w:ascii="Times New Roman" w:hAnsi="Times New Roman" w:eastAsia="仿宋_GB2312" w:cs="Times New Roman"/>
          <w:kern w:val="2"/>
          <w:sz w:val="32"/>
          <w:szCs w:val="32"/>
          <w:highlight w:val="none"/>
          <w:lang w:val="en-US" w:eastAsia="zh-CN" w:bidi="ar-SA"/>
        </w:rPr>
      </w:pPr>
    </w:p>
    <w:p w14:paraId="162D3CAB">
      <w:pPr>
        <w:pStyle w:val="14"/>
        <w:jc w:val="center"/>
        <w:rPr>
          <w:rFonts w:hint="eastAsia" w:ascii="Times New Roman" w:hAnsi="Times New Roman" w:eastAsia="仿宋_GB2312" w:cs="Times New Roman"/>
          <w:kern w:val="2"/>
          <w:sz w:val="32"/>
          <w:szCs w:val="32"/>
          <w:highlight w:val="none"/>
          <w:lang w:val="en-US" w:eastAsia="zh-CN" w:bidi="ar-SA"/>
        </w:rPr>
      </w:pPr>
    </w:p>
    <w:p w14:paraId="31816F63">
      <w:pPr>
        <w:pStyle w:val="14"/>
        <w:jc w:val="center"/>
        <w:rPr>
          <w:rFonts w:hint="eastAsia" w:ascii="方正小标宋_GBK" w:hAnsi="方正小标宋_GBK" w:eastAsia="方正小标宋_GBK" w:cs="方正小标宋_GBK"/>
          <w:sz w:val="72"/>
          <w:szCs w:val="72"/>
        </w:rPr>
      </w:pPr>
    </w:p>
    <w:p w14:paraId="3A01B6B0">
      <w:pPr>
        <w:pStyle w:val="14"/>
        <w:jc w:val="center"/>
        <w:rPr>
          <w:rFonts w:hint="eastAsia" w:ascii="方正小标宋_GBK" w:hAnsi="方正小标宋_GBK" w:eastAsia="方正小标宋_GBK" w:cs="方正小标宋_GBK"/>
          <w:sz w:val="72"/>
          <w:szCs w:val="72"/>
        </w:rPr>
      </w:pPr>
    </w:p>
    <w:p w14:paraId="475C1000">
      <w:pPr>
        <w:pStyle w:val="14"/>
        <w:jc w:val="center"/>
        <w:rPr>
          <w:rFonts w:hint="eastAsia" w:ascii="方正小标宋_GBK" w:hAnsi="方正小标宋_GBK" w:eastAsia="方正小标宋_GBK" w:cs="方正小标宋_GBK"/>
          <w:sz w:val="72"/>
          <w:szCs w:val="72"/>
        </w:rPr>
      </w:pPr>
    </w:p>
    <w:p w14:paraId="6A5A782C">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9"/>
      </w:pPr>
    </w:p>
    <w:p w14:paraId="5331F884">
      <w:pPr>
        <w:pStyle w:val="5"/>
      </w:pPr>
    </w:p>
    <w:p w14:paraId="2CCAD852"/>
    <w:p w14:paraId="440E89DF">
      <w:pPr>
        <w:pStyle w:val="9"/>
      </w:pPr>
    </w:p>
    <w:p w14:paraId="645B9B76">
      <w:pPr>
        <w:pStyle w:val="5"/>
      </w:pPr>
    </w:p>
    <w:p w14:paraId="539F25AC"/>
    <w:p w14:paraId="47AFAB8F">
      <w:pPr>
        <w:pStyle w:val="9"/>
      </w:pPr>
    </w:p>
    <w:p w14:paraId="479D6353">
      <w:pPr>
        <w:pStyle w:val="5"/>
      </w:pPr>
    </w:p>
    <w:p w14:paraId="648103ED"/>
    <w:p w14:paraId="08A5EA8F">
      <w:pPr>
        <w:pStyle w:val="9"/>
      </w:pPr>
    </w:p>
    <w:p w14:paraId="3FD0BAB6">
      <w:pPr>
        <w:pStyle w:val="5"/>
      </w:pPr>
    </w:p>
    <w:p w14:paraId="1CAE18D7"/>
    <w:p w14:paraId="5994BDDC">
      <w:pPr>
        <w:pStyle w:val="9"/>
      </w:pPr>
    </w:p>
    <w:p w14:paraId="51F60F8D">
      <w:pPr>
        <w:pStyle w:val="5"/>
      </w:pPr>
    </w:p>
    <w:p w14:paraId="715B8195"/>
    <w:p w14:paraId="3F608935">
      <w:pPr>
        <w:pStyle w:val="9"/>
      </w:pPr>
    </w:p>
    <w:p w14:paraId="274FE3C9">
      <w:pPr>
        <w:ind w:firstLine="640" w:firstLineChars="200"/>
        <w:jc w:val="left"/>
        <w:rPr>
          <w:rFonts w:hint="eastAsia" w:ascii="仿宋_GB2312" w:hAnsi="仿宋_GB2312" w:eastAsia="仿宋_GB2312" w:cs="仿宋_GB2312"/>
          <w:color w:val="000000"/>
          <w:kern w:val="0"/>
          <w:sz w:val="32"/>
          <w:szCs w:val="32"/>
        </w:rPr>
      </w:pPr>
    </w:p>
    <w:p w14:paraId="1741E604">
      <w:pP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br w:type="page"/>
      </w:r>
    </w:p>
    <w:p w14:paraId="754BC71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75346A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1D47518A">
      <w:pPr>
        <w:pStyle w:val="5"/>
      </w:pPr>
    </w:p>
    <w:p w14:paraId="580CF8E4"/>
    <w:p w14:paraId="0C17744C">
      <w:pPr>
        <w:pStyle w:val="9"/>
      </w:pPr>
    </w:p>
    <w:p w14:paraId="7B8BABF4">
      <w:pPr>
        <w:pStyle w:val="5"/>
      </w:pPr>
    </w:p>
    <w:p w14:paraId="1942C0DC"/>
    <w:p w14:paraId="6E2D1EEF">
      <w:pPr>
        <w:pStyle w:val="9"/>
      </w:pPr>
    </w:p>
    <w:p w14:paraId="5F6ABC3B">
      <w:pPr>
        <w:pStyle w:val="5"/>
      </w:pPr>
    </w:p>
    <w:p w14:paraId="51BE6437"/>
    <w:p w14:paraId="05344CBA">
      <w:pPr>
        <w:pStyle w:val="9"/>
      </w:pPr>
    </w:p>
    <w:p w14:paraId="5C9170AD">
      <w:pPr>
        <w:pStyle w:val="5"/>
      </w:pPr>
    </w:p>
    <w:p w14:paraId="29D3A91E"/>
    <w:p w14:paraId="0D2A994E">
      <w:pPr>
        <w:pStyle w:val="9"/>
      </w:pPr>
    </w:p>
    <w:p w14:paraId="59CBCCA7">
      <w:pPr>
        <w:pStyle w:val="5"/>
      </w:pPr>
    </w:p>
    <w:p w14:paraId="67806EBD"/>
    <w:p w14:paraId="7C18BB03">
      <w:pPr>
        <w:pStyle w:val="9"/>
      </w:pPr>
    </w:p>
    <w:p w14:paraId="29230CAD">
      <w:pPr>
        <w:pStyle w:val="5"/>
      </w:pPr>
    </w:p>
    <w:p w14:paraId="724E0A54"/>
    <w:p w14:paraId="496F732E">
      <w:pPr>
        <w:pStyle w:val="9"/>
      </w:pPr>
    </w:p>
    <w:p w14:paraId="354ECFD8">
      <w:pPr>
        <w:pStyle w:val="5"/>
      </w:pPr>
    </w:p>
    <w:p w14:paraId="51C67B38"/>
    <w:p w14:paraId="4D131F3E"/>
    <w:p w14:paraId="7CFBCE3C">
      <w:pPr>
        <w:pStyle w:val="9"/>
      </w:pPr>
    </w:p>
    <w:p w14:paraId="5C3DE094">
      <w:pP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br w:type="page"/>
      </w:r>
    </w:p>
    <w:p w14:paraId="33D50CA0">
      <w:pPr>
        <w:pStyle w:val="14"/>
        <w:jc w:val="both"/>
        <w:rPr>
          <w:rFonts w:hint="eastAsia" w:ascii="方正小标宋_GBK" w:hAnsi="方正小标宋_GBK" w:eastAsia="方正小标宋_GBK" w:cs="方正小标宋_GBK"/>
          <w:sz w:val="72"/>
          <w:szCs w:val="72"/>
        </w:rPr>
      </w:pPr>
    </w:p>
    <w:p w14:paraId="3A3C9FA1">
      <w:pPr>
        <w:pStyle w:val="14"/>
        <w:jc w:val="both"/>
        <w:rPr>
          <w:rFonts w:hint="eastAsia" w:ascii="方正小标宋_GBK" w:hAnsi="方正小标宋_GBK" w:eastAsia="方正小标宋_GBK" w:cs="方正小标宋_GBK"/>
          <w:sz w:val="72"/>
          <w:szCs w:val="72"/>
        </w:rPr>
      </w:pPr>
    </w:p>
    <w:p w14:paraId="3EDA5AA0">
      <w:pPr>
        <w:pStyle w:val="14"/>
        <w:jc w:val="both"/>
        <w:rPr>
          <w:rFonts w:hint="eastAsia" w:ascii="方正小标宋_GBK" w:hAnsi="方正小标宋_GBK" w:eastAsia="方正小标宋_GBK" w:cs="方正小标宋_GBK"/>
          <w:sz w:val="72"/>
          <w:szCs w:val="72"/>
        </w:rPr>
      </w:pPr>
    </w:p>
    <w:p w14:paraId="1F8D1150">
      <w:pPr>
        <w:pStyle w:val="14"/>
        <w:jc w:val="both"/>
        <w:rPr>
          <w:rFonts w:hint="eastAsia" w:ascii="方正小标宋_GBK" w:hAnsi="方正小标宋_GBK" w:eastAsia="方正小标宋_GBK" w:cs="方正小标宋_GBK"/>
          <w:sz w:val="72"/>
          <w:szCs w:val="72"/>
        </w:rPr>
      </w:pPr>
    </w:p>
    <w:p w14:paraId="0C1858E3">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4"/>
        <w:jc w:val="both"/>
        <w:rPr>
          <w:rFonts w:hint="eastAsia" w:ascii="方正小标宋_GBK" w:hAnsi="方正小标宋_GBK" w:eastAsia="方正小标宋_GBK" w:cs="方正小标宋_GBK"/>
          <w:sz w:val="70"/>
          <w:szCs w:val="70"/>
          <w:lang w:eastAsia="zh-CN"/>
        </w:rPr>
      </w:pPr>
    </w:p>
    <w:p w14:paraId="490142D3">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E737CE-35AA-4332-81E2-6074DE5044E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embedRegular r:id="rId2" w:fontKey="{17701AA5-1FF6-420E-9030-F18D645B4802}"/>
  </w:font>
  <w:font w:name="仿宋_GB2312">
    <w:panose1 w:val="02010609030101010101"/>
    <w:charset w:val="86"/>
    <w:family w:val="modern"/>
    <w:pitch w:val="default"/>
    <w:sig w:usb0="00000001" w:usb1="080E0000" w:usb2="00000000" w:usb3="00000000" w:csb0="00040000" w:csb1="00000000"/>
    <w:embedRegular r:id="rId3" w:fontKey="{8F3FD127-F866-4AAC-A946-E02E72ADFEFD}"/>
  </w:font>
  <w:font w:name="楷体_GB2312">
    <w:panose1 w:val="02010609030101010101"/>
    <w:charset w:val="86"/>
    <w:family w:val="modern"/>
    <w:pitch w:val="default"/>
    <w:sig w:usb0="00000001" w:usb1="080E0000" w:usb2="00000000" w:usb3="00000000" w:csb0="00040000" w:csb1="00000000"/>
    <w:embedRegular r:id="rId4" w:fontKey="{2026166F-AD35-4ED4-AB4A-A0BB88E45B9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5FA422D"/>
    <w:rsid w:val="06C857E7"/>
    <w:rsid w:val="08C24A73"/>
    <w:rsid w:val="0BDB63A6"/>
    <w:rsid w:val="118F5911"/>
    <w:rsid w:val="11944E2C"/>
    <w:rsid w:val="12583BA5"/>
    <w:rsid w:val="13BA5B9C"/>
    <w:rsid w:val="1CB62534"/>
    <w:rsid w:val="1D97DEFF"/>
    <w:rsid w:val="1DFF72E5"/>
    <w:rsid w:val="1EFC6F07"/>
    <w:rsid w:val="1F0527A6"/>
    <w:rsid w:val="22AC03C2"/>
    <w:rsid w:val="239356E5"/>
    <w:rsid w:val="283B15FE"/>
    <w:rsid w:val="2FDF85B8"/>
    <w:rsid w:val="2FFFEE04"/>
    <w:rsid w:val="31C95635"/>
    <w:rsid w:val="34DF85B0"/>
    <w:rsid w:val="3B8F36BC"/>
    <w:rsid w:val="43EB5BA5"/>
    <w:rsid w:val="491FF225"/>
    <w:rsid w:val="4AEC7491"/>
    <w:rsid w:val="4EC310A1"/>
    <w:rsid w:val="4FFD214C"/>
    <w:rsid w:val="5352765A"/>
    <w:rsid w:val="5777D4F5"/>
    <w:rsid w:val="57F22B6F"/>
    <w:rsid w:val="59DD8326"/>
    <w:rsid w:val="5DEF592A"/>
    <w:rsid w:val="5FC6BB1E"/>
    <w:rsid w:val="5FF720F1"/>
    <w:rsid w:val="622964C1"/>
    <w:rsid w:val="67FF5C0B"/>
    <w:rsid w:val="6BAA4A2F"/>
    <w:rsid w:val="6DDEC5C0"/>
    <w:rsid w:val="6EE80D54"/>
    <w:rsid w:val="6EFC0924"/>
    <w:rsid w:val="6FB74722"/>
    <w:rsid w:val="6FEF8B7E"/>
    <w:rsid w:val="710F390D"/>
    <w:rsid w:val="7120022B"/>
    <w:rsid w:val="717FE77F"/>
    <w:rsid w:val="71A6591B"/>
    <w:rsid w:val="737D59BA"/>
    <w:rsid w:val="737F32B1"/>
    <w:rsid w:val="739449F3"/>
    <w:rsid w:val="73BD3FCA"/>
    <w:rsid w:val="74CA5FBC"/>
    <w:rsid w:val="776BDA01"/>
    <w:rsid w:val="77C37683"/>
    <w:rsid w:val="79FF515B"/>
    <w:rsid w:val="7DFBFF20"/>
    <w:rsid w:val="7E9E1962"/>
    <w:rsid w:val="7E9F11B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semiHidden/>
    <w:qFormat/>
    <w:uiPriority w:val="0"/>
    <w:rPr>
      <w:rFonts w:eastAsia="仿宋" w:cs="仿宋"/>
      <w:sz w:val="31"/>
      <w:szCs w:val="31"/>
      <w:lang w:eastAsia="en-US"/>
    </w:rPr>
  </w:style>
  <w:style w:type="paragraph" w:styleId="3">
    <w:name w:val="toc 5"/>
    <w:basedOn w:val="1"/>
    <w:next w:val="1"/>
    <w:qFormat/>
    <w:uiPriority w:val="0"/>
    <w:pPr>
      <w:ind w:left="1680" w:leftChars="800"/>
    </w:p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5962</Words>
  <Characters>6497</Characters>
  <Lines>63</Lines>
  <Paragraphs>18</Paragraphs>
  <TotalTime>98</TotalTime>
  <ScaleCrop>false</ScaleCrop>
  <LinksUpToDate>false</LinksUpToDate>
  <CharactersWithSpaces>6516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康烨wan</cp:lastModifiedBy>
  <cp:lastPrinted>2024-08-11T02:20:00Z</cp:lastPrinted>
  <dcterms:modified xsi:type="dcterms:W3CDTF">2025-09-24T03:36:12Z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B2BE33F7D45341E38591D29FB5D8E530_13</vt:lpwstr>
  </property>
  <property fmtid="{D5CDD505-2E9C-101B-9397-08002B2CF9AE}" pid="4" name="KSOTemplateDocerSaveRecord">
    <vt:lpwstr>eyJoZGlkIjoiNTMyYjVjMTExNmFmMWZkYWM2NTIzMzRhMGRiYzNmMDUiLCJ1c2VySWQiOiIzMjUwMTI5NTYifQ==</vt:lpwstr>
  </property>
</Properties>
</file>