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AFEB8">
      <w:pPr>
        <w:jc w:val="center"/>
        <w:rPr>
          <w:rFonts w:hint="eastAsia" w:ascii="方正小标宋简体" w:hAnsi="方正小标宋简体" w:eastAsia="方正小标宋简体" w:cs="方正小标宋简体"/>
          <w:sz w:val="44"/>
          <w:szCs w:val="44"/>
          <w:highlight w:val="none"/>
        </w:rPr>
      </w:pPr>
    </w:p>
    <w:p w14:paraId="016CBA7D">
      <w:pPr>
        <w:jc w:val="center"/>
        <w:rPr>
          <w:rFonts w:hint="eastAsia" w:ascii="方正小标宋简体" w:hAnsi="方正小标宋简体" w:eastAsia="方正小标宋简体" w:cs="方正小标宋简体"/>
          <w:sz w:val="44"/>
          <w:szCs w:val="44"/>
          <w:highlight w:val="none"/>
        </w:rPr>
      </w:pPr>
    </w:p>
    <w:p w14:paraId="1B9DD72A">
      <w:pPr>
        <w:jc w:val="center"/>
        <w:rPr>
          <w:rFonts w:hint="eastAsia" w:ascii="方正小标宋简体" w:hAnsi="方正小标宋简体" w:eastAsia="方正小标宋简体" w:cs="方正小标宋简体"/>
          <w:sz w:val="44"/>
          <w:szCs w:val="44"/>
          <w:highlight w:val="none"/>
        </w:rPr>
      </w:pPr>
      <w:bookmarkStart w:id="0" w:name="_GoBack"/>
      <w:bookmarkEnd w:id="0"/>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岳阳市人力资源和社会保障局</w:t>
      </w:r>
      <w:r>
        <w:rPr>
          <w:rFonts w:hint="eastAsia" w:ascii="方正小标宋简体" w:hAnsi="方正小标宋简体" w:eastAsia="方正小标宋简体" w:cs="方正小标宋简体"/>
          <w:sz w:val="44"/>
          <w:szCs w:val="44"/>
          <w:highlight w:val="none"/>
        </w:rPr>
        <w:t>单位整体支出</w:t>
      </w:r>
    </w:p>
    <w:p w14:paraId="0AB7A96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8072373">
      <w:pPr>
        <w:jc w:val="center"/>
        <w:rPr>
          <w:rFonts w:hint="default" w:ascii="Times New Roman" w:hAnsi="Times New Roman" w:eastAsia="方正小标宋_GBK" w:cs="Times New Roman"/>
          <w:b/>
          <w:sz w:val="52"/>
          <w:szCs w:val="52"/>
          <w:highlight w:val="none"/>
        </w:rPr>
      </w:pPr>
    </w:p>
    <w:p w14:paraId="15C428FE">
      <w:pPr>
        <w:jc w:val="center"/>
        <w:rPr>
          <w:rFonts w:hint="default" w:ascii="Times New Roman" w:hAnsi="Times New Roman" w:eastAsia="楷体_GB2312" w:cs="Times New Roman"/>
          <w:b/>
          <w:sz w:val="32"/>
          <w:szCs w:val="32"/>
          <w:highlight w:val="none"/>
        </w:rPr>
      </w:pPr>
    </w:p>
    <w:p w14:paraId="1C4B0EDF">
      <w:pPr>
        <w:jc w:val="center"/>
        <w:rPr>
          <w:rFonts w:hint="default" w:ascii="Times New Roman" w:hAnsi="Times New Roman" w:eastAsia="黑体" w:cs="Times New Roman"/>
          <w:sz w:val="32"/>
          <w:szCs w:val="32"/>
          <w:highlight w:val="none"/>
        </w:rPr>
      </w:pPr>
    </w:p>
    <w:p w14:paraId="0799C8F1">
      <w:pPr>
        <w:pStyle w:val="2"/>
        <w:rPr>
          <w:rFonts w:hint="default" w:ascii="Times New Roman" w:hAnsi="Times New Roman" w:eastAsia="黑体" w:cs="Times New Roman"/>
          <w:sz w:val="32"/>
          <w:szCs w:val="32"/>
          <w:highlight w:val="none"/>
        </w:rPr>
      </w:pPr>
    </w:p>
    <w:p w14:paraId="365D3B39">
      <w:pPr>
        <w:pStyle w:val="3"/>
        <w:rPr>
          <w:rFonts w:hint="default" w:ascii="Times New Roman" w:hAnsi="Times New Roman" w:eastAsia="黑体" w:cs="Times New Roman"/>
          <w:sz w:val="32"/>
          <w:szCs w:val="32"/>
          <w:highlight w:val="none"/>
        </w:rPr>
      </w:pPr>
    </w:p>
    <w:p w14:paraId="44DBB67F">
      <w:pPr>
        <w:rPr>
          <w:rFonts w:hint="default" w:ascii="Times New Roman" w:hAnsi="Times New Roman" w:eastAsia="黑体" w:cs="Times New Roman"/>
          <w:sz w:val="32"/>
          <w:szCs w:val="32"/>
          <w:highlight w:val="none"/>
        </w:rPr>
      </w:pPr>
    </w:p>
    <w:p w14:paraId="078406A4">
      <w:pPr>
        <w:pStyle w:val="2"/>
        <w:rPr>
          <w:rFonts w:hint="default"/>
        </w:rPr>
      </w:pPr>
    </w:p>
    <w:p w14:paraId="3CC58E93">
      <w:pPr>
        <w:jc w:val="both"/>
        <w:rPr>
          <w:rFonts w:hint="default" w:ascii="Times New Roman" w:hAnsi="Times New Roman" w:eastAsia="黑体" w:cs="Times New Roman"/>
          <w:sz w:val="32"/>
          <w:szCs w:val="32"/>
          <w:highlight w:val="none"/>
        </w:rPr>
      </w:pPr>
    </w:p>
    <w:p w14:paraId="4185AE16">
      <w:pPr>
        <w:jc w:val="center"/>
        <w:rPr>
          <w:rFonts w:hint="default" w:ascii="Times New Roman" w:hAnsi="Times New Roman" w:eastAsia="黑体" w:cs="Times New Roman"/>
          <w:sz w:val="32"/>
          <w:szCs w:val="32"/>
          <w:highlight w:val="none"/>
        </w:rPr>
      </w:pPr>
    </w:p>
    <w:p w14:paraId="3DA18CF6">
      <w:pPr>
        <w:jc w:val="center"/>
        <w:rPr>
          <w:rFonts w:hint="default" w:ascii="Times New Roman" w:hAnsi="Times New Roman" w:eastAsia="黑体" w:cs="Times New Roman"/>
          <w:sz w:val="32"/>
          <w:szCs w:val="32"/>
          <w:highlight w:val="none"/>
        </w:rPr>
      </w:pPr>
    </w:p>
    <w:p w14:paraId="4D36AA26">
      <w:pPr>
        <w:jc w:val="center"/>
        <w:rPr>
          <w:rFonts w:hint="default" w:ascii="Times New Roman" w:hAnsi="Times New Roman" w:eastAsia="黑体" w:cs="Times New Roman"/>
          <w:sz w:val="32"/>
          <w:szCs w:val="32"/>
          <w:highlight w:val="none"/>
        </w:rPr>
      </w:pPr>
    </w:p>
    <w:p w14:paraId="6F83D038">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4B576E23">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7F2AC0C1">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5C9A08BC">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岳阳市人社局</w:t>
      </w:r>
      <w:r>
        <w:rPr>
          <w:rFonts w:hint="eastAsia" w:ascii="方正小标宋简体" w:hAnsi="方正小标宋简体" w:eastAsia="方正小标宋简体" w:cs="方正小标宋简体"/>
          <w:sz w:val="44"/>
          <w:szCs w:val="44"/>
          <w:highlight w:val="none"/>
        </w:rPr>
        <w:t>（单位）整体支出</w:t>
      </w:r>
    </w:p>
    <w:p w14:paraId="1B35D7F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3ED894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EB6E421">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5C0D33AE">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仿宋_GB2312" w:hAnsi="仿宋_GB2312" w:eastAsia="仿宋_GB2312" w:cs="仿宋_GB2312"/>
          <w:snapToGrid w:val="0"/>
          <w:kern w:val="0"/>
          <w:sz w:val="32"/>
          <w:szCs w:val="32"/>
          <w:highlight w:val="none"/>
          <w:lang w:eastAsia="zh-CN"/>
        </w:rPr>
      </w:pPr>
      <w:r>
        <w:rPr>
          <w:rFonts w:hint="eastAsia" w:ascii="仿宋_GB2312" w:hAnsi="仿宋_GB2312" w:eastAsia="仿宋_GB2312" w:cs="仿宋_GB2312"/>
          <w:snapToGrid w:val="0"/>
          <w:kern w:val="0"/>
          <w:sz w:val="32"/>
          <w:szCs w:val="32"/>
          <w:highlight w:val="none"/>
          <w:lang w:eastAsia="zh-CN"/>
        </w:rPr>
        <w:t>岳阳市人力资源和社会保障局属于市人民政府工作部门，正处级行政单位。内设办公室、政策法规科（信访维稳办公室）、财务科、就业创业科、人力资源流动管理科、职业能力建设科、专业技术人员管理科、事业单位人事管理科、劳动关系科、工资福利科、表彰奖励和民生实事科、职工养老保险科（城乡居民养老保险科）、工伤保险科、行政审批科、社会保险基金监督科、劳动能力鉴定办公室、人事科、机关党委、机关纪委、离退休人员管理服务科2</w:t>
      </w:r>
      <w:r>
        <w:rPr>
          <w:rFonts w:hint="eastAsia" w:ascii="仿宋_GB2312" w:hAnsi="仿宋_GB2312" w:eastAsia="仿宋_GB2312" w:cs="仿宋_GB2312"/>
          <w:snapToGrid w:val="0"/>
          <w:kern w:val="0"/>
          <w:sz w:val="32"/>
          <w:szCs w:val="32"/>
          <w:highlight w:val="none"/>
          <w:lang w:val="en-US" w:eastAsia="zh-CN"/>
        </w:rPr>
        <w:t>0</w:t>
      </w:r>
      <w:r>
        <w:rPr>
          <w:rFonts w:hint="eastAsia" w:ascii="仿宋_GB2312" w:hAnsi="仿宋_GB2312" w:eastAsia="仿宋_GB2312" w:cs="仿宋_GB2312"/>
          <w:snapToGrid w:val="0"/>
          <w:kern w:val="0"/>
          <w:sz w:val="32"/>
          <w:szCs w:val="32"/>
          <w:highlight w:val="none"/>
          <w:lang w:eastAsia="zh-CN"/>
        </w:rPr>
        <w:t>个科室。</w:t>
      </w:r>
    </w:p>
    <w:p w14:paraId="6356D7F1">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eastAsia="zh-CN"/>
        </w:rPr>
        <w:t>下设5家局属单位，其中副处级事业单位3个，包括市就业服务中心、市养老和工伤保险服务中心、市劳动人事争议仲裁院；正科级事业单位</w:t>
      </w:r>
      <w:r>
        <w:rPr>
          <w:rFonts w:hint="eastAsia" w:ascii="仿宋_GB2312" w:hAnsi="仿宋_GB2312" w:eastAsia="仿宋_GB2312" w:cs="仿宋_GB2312"/>
          <w:snapToGrid w:val="0"/>
          <w:kern w:val="0"/>
          <w:sz w:val="32"/>
          <w:szCs w:val="32"/>
          <w:highlight w:val="none"/>
          <w:lang w:val="en-US" w:eastAsia="zh-CN"/>
        </w:rPr>
        <w:t>2</w:t>
      </w:r>
      <w:r>
        <w:rPr>
          <w:rFonts w:hint="eastAsia" w:ascii="仿宋_GB2312" w:hAnsi="仿宋_GB2312" w:eastAsia="仿宋_GB2312" w:cs="仿宋_GB2312"/>
          <w:snapToGrid w:val="0"/>
          <w:kern w:val="0"/>
          <w:sz w:val="32"/>
          <w:szCs w:val="32"/>
          <w:highlight w:val="none"/>
          <w:lang w:eastAsia="zh-CN"/>
        </w:rPr>
        <w:t>个，包括市人力资源考试院（市公务员考试测评中心）、市职业技能鉴定中心。</w:t>
      </w:r>
    </w:p>
    <w:p w14:paraId="61FC7E60">
      <w:pPr>
        <w:pStyle w:val="6"/>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9F6479D">
      <w:pPr>
        <w:pStyle w:val="6"/>
        <w:keepNext w:val="0"/>
        <w:keepLines w:val="0"/>
        <w:pageBreakBefore w:val="0"/>
        <w:widowControl/>
        <w:kinsoku/>
        <w:wordWrap/>
        <w:overflowPunct/>
        <w:topLinePunct w:val="0"/>
        <w:autoSpaceDE/>
        <w:autoSpaceDN/>
        <w:bidi w:val="0"/>
        <w:adjustRightInd/>
        <w:snapToGrid/>
        <w:spacing w:afterAutospacing="0" w:line="60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D642CAD">
      <w:pPr>
        <w:pStyle w:val="6"/>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Times New Roman" w:hAnsi="Times New Roman" w:eastAsia="仿宋_GB2312" w:cs="Times New Roman"/>
          <w:b/>
          <w:sz w:val="32"/>
          <w:szCs w:val="32"/>
          <w:lang w:eastAsia="zh-CN"/>
        </w:rPr>
      </w:pPr>
      <w:r>
        <w:rPr>
          <w:rFonts w:hint="eastAsia" w:ascii="仿宋_GB2312" w:hAnsi="仿宋_GB2312" w:eastAsia="仿宋_GB2312" w:cs="仿宋_GB2312"/>
          <w:snapToGrid w:val="0"/>
          <w:sz w:val="32"/>
          <w:szCs w:val="32"/>
        </w:rPr>
        <w:t>我局本年基本支出为</w:t>
      </w:r>
      <w:r>
        <w:rPr>
          <w:rFonts w:hint="eastAsia" w:ascii="仿宋_GB2312" w:hAnsi="仿宋_GB2312" w:eastAsia="仿宋_GB2312" w:cs="仿宋_GB2312"/>
          <w:snapToGrid w:val="0"/>
          <w:sz w:val="32"/>
          <w:szCs w:val="32"/>
          <w:lang w:val="en-US" w:eastAsia="zh-CN"/>
        </w:rPr>
        <w:t>2115.85</w:t>
      </w:r>
      <w:r>
        <w:rPr>
          <w:rFonts w:hint="eastAsia" w:ascii="仿宋_GB2312" w:hAnsi="仿宋_GB2312" w:eastAsia="仿宋_GB2312" w:cs="仿宋_GB2312"/>
          <w:sz w:val="32"/>
          <w:szCs w:val="32"/>
        </w:rPr>
        <w:t>万</w:t>
      </w:r>
      <w:r>
        <w:rPr>
          <w:rFonts w:hint="eastAsia" w:ascii="仿宋_GB2312" w:hAnsi="仿宋_GB2312" w:eastAsia="仿宋_GB2312" w:cs="仿宋_GB2312"/>
          <w:snapToGrid w:val="0"/>
          <w:sz w:val="32"/>
          <w:szCs w:val="32"/>
        </w:rPr>
        <w:t>元，</w:t>
      </w:r>
      <w:r>
        <w:rPr>
          <w:rFonts w:hint="eastAsia" w:ascii="仿宋_GB2312" w:hAnsi="仿宋_GB2312" w:eastAsia="仿宋_GB2312" w:cs="仿宋_GB2312"/>
          <w:snapToGrid w:val="0"/>
          <w:color w:val="auto"/>
          <w:kern w:val="0"/>
          <w:sz w:val="32"/>
          <w:szCs w:val="32"/>
          <w:highlight w:val="none"/>
        </w:rPr>
        <w:t>其中人员支出为</w:t>
      </w:r>
      <w:r>
        <w:rPr>
          <w:rFonts w:hint="eastAsia" w:ascii="仿宋_GB2312" w:hAnsi="仿宋_GB2312" w:eastAsia="仿宋_GB2312" w:cs="仿宋_GB2312"/>
          <w:snapToGrid w:val="0"/>
          <w:color w:val="auto"/>
          <w:kern w:val="0"/>
          <w:sz w:val="32"/>
          <w:szCs w:val="32"/>
          <w:highlight w:val="none"/>
          <w:lang w:val="en-US" w:eastAsia="zh-CN"/>
        </w:rPr>
        <w:t>1810.22</w:t>
      </w:r>
      <w:r>
        <w:rPr>
          <w:rFonts w:hint="eastAsia" w:ascii="仿宋_GB2312" w:hAnsi="仿宋_GB2312" w:eastAsia="仿宋_GB2312" w:cs="仿宋_GB2312"/>
          <w:color w:val="auto"/>
          <w:kern w:val="0"/>
          <w:sz w:val="32"/>
          <w:szCs w:val="32"/>
          <w:highlight w:val="none"/>
        </w:rPr>
        <w:t>万元</w:t>
      </w:r>
      <w:r>
        <w:rPr>
          <w:rFonts w:hint="eastAsia" w:ascii="仿宋_GB2312" w:hAnsi="仿宋_GB2312" w:eastAsia="仿宋_GB2312" w:cs="仿宋_GB2312"/>
          <w:snapToGrid w:val="0"/>
          <w:color w:val="auto"/>
          <w:kern w:val="0"/>
          <w:sz w:val="32"/>
          <w:szCs w:val="32"/>
          <w:highlight w:val="none"/>
        </w:rPr>
        <w:t>，公用支出为</w:t>
      </w:r>
      <w:r>
        <w:rPr>
          <w:rFonts w:hint="eastAsia" w:ascii="仿宋_GB2312" w:hAnsi="仿宋_GB2312" w:eastAsia="仿宋_GB2312" w:cs="仿宋_GB2312"/>
          <w:color w:val="auto"/>
          <w:kern w:val="0"/>
          <w:sz w:val="32"/>
          <w:szCs w:val="32"/>
          <w:highlight w:val="none"/>
          <w:lang w:val="en-US" w:eastAsia="zh-CN"/>
        </w:rPr>
        <w:t>305.63万</w:t>
      </w:r>
      <w:r>
        <w:rPr>
          <w:rFonts w:hint="eastAsia" w:ascii="仿宋_GB2312" w:hAnsi="仿宋_GB2312" w:eastAsia="仿宋_GB2312" w:cs="仿宋_GB2312"/>
          <w:snapToGrid w:val="0"/>
          <w:color w:val="auto"/>
          <w:kern w:val="0"/>
          <w:sz w:val="32"/>
          <w:szCs w:val="32"/>
          <w:highlight w:val="none"/>
        </w:rPr>
        <w:t>元</w:t>
      </w:r>
      <w:r>
        <w:rPr>
          <w:rFonts w:hint="eastAsia" w:ascii="仿宋_GB2312" w:hAnsi="仿宋_GB2312" w:eastAsia="仿宋_GB2312" w:cs="仿宋_GB2312"/>
          <w:snapToGrid w:val="0"/>
          <w:kern w:val="0"/>
          <w:sz w:val="32"/>
          <w:szCs w:val="32"/>
          <w:highlight w:val="none"/>
          <w:lang w:eastAsia="zh-CN"/>
        </w:rPr>
        <w:t>。</w:t>
      </w:r>
    </w:p>
    <w:p w14:paraId="33209BEA">
      <w:pPr>
        <w:pStyle w:val="6"/>
        <w:keepNext w:val="0"/>
        <w:keepLines w:val="0"/>
        <w:pageBreakBefore w:val="0"/>
        <w:widowControl/>
        <w:numPr>
          <w:ilvl w:val="0"/>
          <w:numId w:val="2"/>
        </w:numPr>
        <w:kinsoku/>
        <w:wordWrap/>
        <w:overflowPunct/>
        <w:topLinePunct w:val="0"/>
        <w:autoSpaceDE/>
        <w:autoSpaceDN/>
        <w:bidi w:val="0"/>
        <w:adjustRightInd/>
        <w:snapToGrid/>
        <w:spacing w:afterAutospacing="0" w:line="60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67640B7E">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仿宋_GB2312" w:hAnsi="仿宋" w:eastAsia="仿宋_GB2312" w:cs="仿宋"/>
          <w:b w:val="0"/>
          <w:bCs w:val="0"/>
          <w:snapToGrid w:val="0"/>
          <w:kern w:val="0"/>
          <w:sz w:val="32"/>
          <w:szCs w:val="32"/>
          <w:highlight w:val="none"/>
        </w:rPr>
      </w:pPr>
      <w:r>
        <w:rPr>
          <w:rFonts w:hint="eastAsia" w:ascii="仿宋_GB2312" w:hAnsi="仿宋" w:eastAsia="仿宋_GB2312" w:cs="仿宋"/>
          <w:b w:val="0"/>
          <w:bCs w:val="0"/>
          <w:snapToGrid w:val="0"/>
          <w:kern w:val="0"/>
          <w:sz w:val="32"/>
          <w:szCs w:val="32"/>
          <w:highlight w:val="none"/>
          <w:lang w:val="en-US" w:eastAsia="zh-CN"/>
        </w:rPr>
        <w:t>1.</w:t>
      </w:r>
      <w:r>
        <w:rPr>
          <w:rFonts w:hint="eastAsia" w:ascii="仿宋_GB2312" w:eastAsia="仿宋_GB2312" w:cs="仿宋"/>
          <w:b w:val="0"/>
          <w:bCs w:val="0"/>
          <w:snapToGrid w:val="0"/>
          <w:kern w:val="0"/>
          <w:sz w:val="32"/>
          <w:szCs w:val="32"/>
          <w:highlight w:val="none"/>
          <w:lang w:val="en-US" w:eastAsia="zh-CN"/>
        </w:rPr>
        <w:t>2024</w:t>
      </w:r>
      <w:r>
        <w:rPr>
          <w:rFonts w:eastAsia="仿宋_GB2312"/>
          <w:sz w:val="32"/>
          <w:szCs w:val="32"/>
        </w:rPr>
        <w:t>年度专项资金分配安排和使用管理情况</w:t>
      </w:r>
    </w:p>
    <w:p w14:paraId="33BD792F">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仿宋_GB2312" w:hAnsi="仿宋" w:eastAsia="仿宋_GB2312" w:cs="仿宋"/>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rPr>
        <w:t>我局</w:t>
      </w:r>
      <w:r>
        <w:rPr>
          <w:rFonts w:hint="eastAsia" w:ascii="仿宋_GB2312" w:hAnsi="仿宋_GB2312" w:eastAsia="仿宋_GB2312" w:cs="仿宋_GB2312"/>
          <w:snapToGrid w:val="0"/>
          <w:kern w:val="0"/>
          <w:sz w:val="32"/>
          <w:szCs w:val="32"/>
          <w:highlight w:val="none"/>
          <w:lang w:eastAsia="zh-CN"/>
        </w:rPr>
        <w:t>本年</w:t>
      </w:r>
      <w:r>
        <w:rPr>
          <w:rFonts w:hint="eastAsia" w:ascii="仿宋_GB2312" w:hAnsi="仿宋_GB2312" w:eastAsia="仿宋_GB2312" w:cs="仿宋_GB2312"/>
          <w:snapToGrid w:val="0"/>
          <w:color w:val="auto"/>
          <w:kern w:val="0"/>
          <w:sz w:val="32"/>
          <w:szCs w:val="32"/>
          <w:highlight w:val="none"/>
          <w:lang w:eastAsia="zh-CN"/>
        </w:rPr>
        <w:t>项目</w:t>
      </w:r>
      <w:r>
        <w:rPr>
          <w:rFonts w:hint="eastAsia" w:ascii="仿宋_GB2312" w:hAnsi="仿宋_GB2312" w:eastAsia="仿宋_GB2312" w:cs="仿宋_GB2312"/>
          <w:snapToGrid w:val="0"/>
          <w:color w:val="auto"/>
          <w:kern w:val="0"/>
          <w:sz w:val="32"/>
          <w:szCs w:val="32"/>
          <w:highlight w:val="none"/>
        </w:rPr>
        <w:t>支出为</w:t>
      </w:r>
      <w:r>
        <w:rPr>
          <w:rFonts w:hint="eastAsia" w:ascii="仿宋_GB2312" w:hAnsi="仿宋_GB2312" w:eastAsia="仿宋_GB2312" w:cs="仿宋_GB2312"/>
          <w:snapToGrid w:val="0"/>
          <w:color w:val="auto"/>
          <w:kern w:val="0"/>
          <w:sz w:val="32"/>
          <w:szCs w:val="32"/>
          <w:highlight w:val="none"/>
          <w:lang w:val="en-US" w:eastAsia="zh-CN"/>
        </w:rPr>
        <w:t>842.7</w:t>
      </w:r>
      <w:r>
        <w:rPr>
          <w:rFonts w:hint="eastAsia" w:ascii="仿宋_GB2312" w:hAnsi="仿宋_GB2312" w:eastAsia="仿宋_GB2312" w:cs="仿宋_GB2312"/>
          <w:color w:val="auto"/>
          <w:kern w:val="0"/>
          <w:sz w:val="32"/>
          <w:szCs w:val="32"/>
          <w:highlight w:val="none"/>
          <w:lang w:val="en-US" w:eastAsia="zh-CN"/>
        </w:rPr>
        <w:t>万</w:t>
      </w:r>
      <w:r>
        <w:rPr>
          <w:rFonts w:hint="eastAsia" w:ascii="仿宋_GB2312" w:hAnsi="仿宋_GB2312" w:eastAsia="仿宋_GB2312" w:cs="仿宋_GB2312"/>
          <w:snapToGrid w:val="0"/>
          <w:color w:val="auto"/>
          <w:kern w:val="0"/>
          <w:sz w:val="32"/>
          <w:szCs w:val="32"/>
          <w:highlight w:val="none"/>
        </w:rPr>
        <w:t>元</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 w:eastAsia="仿宋_GB2312" w:cs="仿宋"/>
          <w:snapToGrid w:val="0"/>
          <w:kern w:val="0"/>
          <w:sz w:val="32"/>
          <w:szCs w:val="32"/>
          <w:highlight w:val="none"/>
          <w:lang w:val="en-US" w:eastAsia="zh-CN"/>
        </w:rPr>
        <w:t>用于事业单位及三支一扶招考、社保基金监督检查、仲裁办案、信息网络建设、企业规范用工等。</w:t>
      </w:r>
    </w:p>
    <w:p w14:paraId="55AFDCC9">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仿宋_GB2312" w:hAnsi="仿宋" w:eastAsia="仿宋_GB2312" w:cs="仿宋"/>
          <w:b w:val="0"/>
          <w:bCs w:val="0"/>
          <w:sz w:val="32"/>
          <w:szCs w:val="32"/>
          <w:highlight w:val="none"/>
        </w:rPr>
      </w:pPr>
      <w:r>
        <w:rPr>
          <w:rFonts w:hint="eastAsia" w:ascii="仿宋_GB2312" w:hAnsi="仿宋" w:eastAsia="仿宋_GB2312" w:cs="仿宋"/>
          <w:b w:val="0"/>
          <w:bCs w:val="0"/>
          <w:sz w:val="32"/>
          <w:szCs w:val="32"/>
          <w:highlight w:val="none"/>
          <w:lang w:val="en-US" w:eastAsia="zh-CN"/>
        </w:rPr>
        <w:t>2.</w:t>
      </w:r>
      <w:r>
        <w:rPr>
          <w:rFonts w:hint="eastAsia" w:ascii="仿宋_GB2312" w:hAnsi="仿宋" w:eastAsia="仿宋_GB2312" w:cs="仿宋"/>
          <w:b w:val="0"/>
          <w:bCs w:val="0"/>
          <w:sz w:val="32"/>
          <w:szCs w:val="32"/>
          <w:highlight w:val="none"/>
        </w:rPr>
        <w:t>项目资金</w:t>
      </w:r>
      <w:r>
        <w:rPr>
          <w:rFonts w:hint="eastAsia" w:ascii="仿宋_GB2312" w:hAnsi="仿宋" w:eastAsia="仿宋_GB2312" w:cs="仿宋"/>
          <w:b w:val="0"/>
          <w:bCs w:val="0"/>
          <w:sz w:val="32"/>
          <w:szCs w:val="32"/>
          <w:highlight w:val="none"/>
          <w:lang w:eastAsia="zh-CN"/>
        </w:rPr>
        <w:t>使用、</w:t>
      </w:r>
      <w:r>
        <w:rPr>
          <w:rFonts w:hint="eastAsia" w:ascii="仿宋_GB2312" w:hAnsi="仿宋" w:eastAsia="仿宋_GB2312" w:cs="仿宋"/>
          <w:b w:val="0"/>
          <w:bCs w:val="0"/>
          <w:sz w:val="32"/>
          <w:szCs w:val="32"/>
          <w:highlight w:val="none"/>
        </w:rPr>
        <w:t>管理情况</w:t>
      </w:r>
    </w:p>
    <w:p w14:paraId="2DCEF081">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Times New Roman" w:hAnsi="Times New Roman" w:eastAsia="楷体_GB2312" w:cs="Times New Roman"/>
          <w:b/>
          <w:sz w:val="32"/>
          <w:szCs w:val="32"/>
          <w:highlight w:val="none"/>
        </w:rPr>
      </w:pPr>
      <w:r>
        <w:rPr>
          <w:rFonts w:hint="eastAsia" w:ascii="仿宋_GB2312" w:hAnsi="仿宋" w:eastAsia="仿宋_GB2312" w:cs="仿宋"/>
          <w:snapToGrid w:val="0"/>
          <w:kern w:val="0"/>
          <w:sz w:val="32"/>
          <w:szCs w:val="32"/>
          <w:highlight w:val="none"/>
        </w:rPr>
        <w:t>我单位项目资金</w:t>
      </w:r>
      <w:r>
        <w:rPr>
          <w:rFonts w:hint="eastAsia" w:ascii="仿宋_GB2312" w:hAnsi="仿宋" w:eastAsia="仿宋_GB2312" w:cs="仿宋"/>
          <w:snapToGrid w:val="0"/>
          <w:kern w:val="0"/>
          <w:sz w:val="32"/>
          <w:szCs w:val="32"/>
          <w:highlight w:val="none"/>
          <w:lang w:eastAsia="zh-CN"/>
        </w:rPr>
        <w:t>严格</w:t>
      </w:r>
      <w:r>
        <w:rPr>
          <w:rFonts w:hint="eastAsia" w:ascii="仿宋_GB2312" w:hAnsi="仿宋" w:eastAsia="仿宋_GB2312" w:cs="仿宋"/>
          <w:snapToGrid w:val="0"/>
          <w:kern w:val="0"/>
          <w:sz w:val="32"/>
          <w:szCs w:val="32"/>
          <w:highlight w:val="none"/>
        </w:rPr>
        <w:t>依照《会计法》《会计基础工作规范》</w:t>
      </w:r>
      <w:r>
        <w:rPr>
          <w:rFonts w:hint="eastAsia" w:ascii="仿宋_GB2312" w:hAnsi="仿宋" w:eastAsia="仿宋_GB2312" w:cs="仿宋"/>
          <w:snapToGrid w:val="0"/>
          <w:kern w:val="0"/>
          <w:sz w:val="32"/>
          <w:szCs w:val="32"/>
          <w:highlight w:val="none"/>
          <w:lang w:eastAsia="zh-CN"/>
        </w:rPr>
        <w:t>，</w:t>
      </w:r>
      <w:r>
        <w:rPr>
          <w:rFonts w:hint="eastAsia" w:ascii="仿宋_GB2312" w:hAnsi="仿宋" w:eastAsia="仿宋_GB2312" w:cs="仿宋"/>
          <w:snapToGrid w:val="0"/>
          <w:kern w:val="0"/>
          <w:sz w:val="32"/>
          <w:szCs w:val="32"/>
          <w:highlight w:val="none"/>
        </w:rPr>
        <w:t>《行政单位财务制度》《政府会计制度》《国库集中支付管理规定》</w:t>
      </w:r>
      <w:r>
        <w:rPr>
          <w:rFonts w:hint="eastAsia" w:ascii="仿宋_GB2312" w:hAnsi="仿宋" w:eastAsia="仿宋_GB2312" w:cs="仿宋"/>
          <w:snapToGrid w:val="0"/>
          <w:kern w:val="0"/>
          <w:sz w:val="32"/>
          <w:szCs w:val="32"/>
          <w:highlight w:val="none"/>
          <w:lang w:eastAsia="zh-CN"/>
        </w:rPr>
        <w:t>和</w:t>
      </w:r>
      <w:r>
        <w:rPr>
          <w:rFonts w:hint="eastAsia" w:ascii="仿宋_GB2312" w:hAnsi="仿宋" w:eastAsia="仿宋_GB2312" w:cs="仿宋"/>
          <w:snapToGrid w:val="0"/>
          <w:kern w:val="0"/>
          <w:sz w:val="32"/>
          <w:szCs w:val="32"/>
          <w:highlight w:val="none"/>
        </w:rPr>
        <w:t>本单位财务管理制度与财政年初预算安排的行政运行资金集合管理使用，采取总量控制、计划管理，按预算科目和项目资金的使用规定，坚持勤俭节约、量入为出，保证重点、兼顾一般、从严控制，重大财务事项集体决策科学管理，保证财政资金的安全和高效运行。</w:t>
      </w:r>
    </w:p>
    <w:p w14:paraId="64E6EFEE">
      <w:pPr>
        <w:pStyle w:val="6"/>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5B139DA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rPr>
          <w:rFonts w:hint="eastAsia" w:ascii="Times New Roman" w:hAnsi="Times New Roman" w:eastAsia="黑体" w:cs="Times New Roman"/>
          <w:sz w:val="32"/>
          <w:szCs w:val="32"/>
          <w:highlight w:val="none"/>
          <w:lang w:eastAsia="zh-CN"/>
        </w:rPr>
      </w:pPr>
      <w:r>
        <w:rPr>
          <w:rFonts w:hint="eastAsia" w:ascii="仿宋_GB2312" w:hAnsi="仿宋_GB2312" w:eastAsia="仿宋_GB2312" w:cs="仿宋_GB2312"/>
          <w:snapToGrid w:val="0"/>
          <w:kern w:val="0"/>
          <w:sz w:val="32"/>
          <w:szCs w:val="32"/>
          <w:highlight w:val="none"/>
          <w:lang w:eastAsia="zh-CN"/>
        </w:rPr>
        <w:t>本单位无</w:t>
      </w:r>
      <w:r>
        <w:rPr>
          <w:rFonts w:hint="default" w:ascii="仿宋_GB2312" w:hAnsi="仿宋_GB2312" w:eastAsia="仿宋_GB2312" w:cs="仿宋_GB2312"/>
          <w:snapToGrid w:val="0"/>
          <w:kern w:val="0"/>
          <w:sz w:val="32"/>
          <w:szCs w:val="32"/>
          <w:highlight w:val="none"/>
          <w:lang w:eastAsia="zh-CN"/>
        </w:rPr>
        <w:t>政府性基金预算支出</w:t>
      </w:r>
      <w:r>
        <w:rPr>
          <w:rFonts w:hint="eastAsia" w:ascii="仿宋_GB2312" w:hAnsi="仿宋_GB2312" w:eastAsia="仿宋_GB2312" w:cs="仿宋_GB2312"/>
          <w:snapToGrid w:val="0"/>
          <w:kern w:val="0"/>
          <w:sz w:val="32"/>
          <w:szCs w:val="32"/>
          <w:highlight w:val="none"/>
          <w:lang w:eastAsia="zh-CN"/>
        </w:rPr>
        <w:t>。</w:t>
      </w:r>
    </w:p>
    <w:p w14:paraId="71547421">
      <w:pPr>
        <w:pStyle w:val="6"/>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7813BF1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rPr>
          <w:rFonts w:ascii="Times New Roman" w:hAnsi="Times New Roman" w:eastAsia="黑体"/>
          <w:sz w:val="32"/>
          <w:szCs w:val="32"/>
        </w:rPr>
      </w:pPr>
      <w:r>
        <w:rPr>
          <w:rFonts w:hint="eastAsia" w:ascii="仿宋_GB2312" w:hAnsi="仿宋_GB2312" w:eastAsia="仿宋_GB2312" w:cs="仿宋_GB2312"/>
          <w:snapToGrid w:val="0"/>
          <w:kern w:val="0"/>
          <w:sz w:val="32"/>
          <w:szCs w:val="32"/>
          <w:highlight w:val="none"/>
          <w:lang w:eastAsia="zh-CN"/>
        </w:rPr>
        <w:t>本单位</w:t>
      </w:r>
      <w:r>
        <w:rPr>
          <w:rFonts w:hint="eastAsia" w:ascii="仿宋_GB2312" w:hAnsi="仿宋_GB2312" w:eastAsia="仿宋_GB2312" w:cs="仿宋_GB2312"/>
          <w:snapToGrid w:val="0"/>
          <w:kern w:val="0"/>
          <w:sz w:val="32"/>
          <w:szCs w:val="32"/>
          <w:highlight w:val="none"/>
          <w:lang w:val="en-US" w:eastAsia="zh-CN"/>
        </w:rPr>
        <w:t>无</w:t>
      </w:r>
      <w:r>
        <w:rPr>
          <w:rFonts w:hint="default" w:ascii="仿宋_GB2312" w:hAnsi="仿宋_GB2312" w:eastAsia="仿宋_GB2312" w:cs="仿宋_GB2312"/>
          <w:snapToGrid w:val="0"/>
          <w:kern w:val="0"/>
          <w:sz w:val="32"/>
          <w:szCs w:val="32"/>
          <w:highlight w:val="none"/>
          <w:lang w:eastAsia="zh-CN"/>
        </w:rPr>
        <w:t>国有资本经营预算支出</w:t>
      </w:r>
      <w:r>
        <w:rPr>
          <w:rFonts w:hint="eastAsia" w:ascii="仿宋_GB2312" w:hAnsi="仿宋_GB2312" w:eastAsia="仿宋_GB2312" w:cs="仿宋_GB2312"/>
          <w:snapToGrid w:val="0"/>
          <w:kern w:val="0"/>
          <w:sz w:val="32"/>
          <w:szCs w:val="32"/>
          <w:highlight w:val="none"/>
          <w:lang w:eastAsia="zh-CN"/>
        </w:rPr>
        <w:t>。</w:t>
      </w:r>
    </w:p>
    <w:p w14:paraId="31601ABF">
      <w:pPr>
        <w:pStyle w:val="6"/>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5C16F871">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eastAsia="zh-CN"/>
        </w:rPr>
      </w:pPr>
      <w:r>
        <w:rPr>
          <w:rFonts w:hint="eastAsia" w:ascii="仿宋_GB2312" w:hAnsi="仿宋_GB2312" w:eastAsia="仿宋_GB2312" w:cs="仿宋_GB2312"/>
          <w:snapToGrid w:val="0"/>
          <w:kern w:val="0"/>
          <w:sz w:val="32"/>
          <w:szCs w:val="32"/>
          <w:highlight w:val="none"/>
          <w:lang w:eastAsia="zh-CN"/>
        </w:rPr>
        <w:t>本单位</w:t>
      </w:r>
      <w:r>
        <w:rPr>
          <w:rFonts w:hint="eastAsia" w:ascii="仿宋_GB2312" w:hAnsi="仿宋_GB2312" w:eastAsia="仿宋_GB2312" w:cs="仿宋_GB2312"/>
          <w:snapToGrid w:val="0"/>
          <w:kern w:val="0"/>
          <w:sz w:val="32"/>
          <w:szCs w:val="32"/>
          <w:highlight w:val="none"/>
          <w:lang w:val="en-US" w:eastAsia="zh-CN"/>
        </w:rPr>
        <w:t>无</w:t>
      </w:r>
      <w:r>
        <w:rPr>
          <w:rFonts w:hint="default" w:ascii="仿宋_GB2312" w:hAnsi="仿宋_GB2312" w:eastAsia="仿宋_GB2312" w:cs="仿宋_GB2312"/>
          <w:snapToGrid w:val="0"/>
          <w:kern w:val="0"/>
          <w:sz w:val="32"/>
          <w:szCs w:val="32"/>
          <w:highlight w:val="none"/>
          <w:lang w:eastAsia="zh-CN"/>
        </w:rPr>
        <w:t>社会保险基金预算支出</w:t>
      </w:r>
      <w:r>
        <w:rPr>
          <w:rFonts w:hint="eastAsia" w:ascii="仿宋_GB2312" w:hAnsi="仿宋_GB2312" w:eastAsia="仿宋_GB2312" w:cs="仿宋_GB2312"/>
          <w:snapToGrid w:val="0"/>
          <w:kern w:val="0"/>
          <w:sz w:val="32"/>
          <w:szCs w:val="32"/>
          <w:highlight w:val="none"/>
          <w:lang w:eastAsia="zh-CN"/>
        </w:rPr>
        <w:t>。</w:t>
      </w:r>
    </w:p>
    <w:p w14:paraId="7846A0CF">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64F5AA5C">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2024年度，我局在“四本预算”支出的绩效目标管理下，取得了显著成效，不仅全面完成了</w:t>
      </w:r>
      <w:r>
        <w:rPr>
          <w:rFonts w:hint="default" w:ascii="Times New Roman" w:hAnsi="Times New Roman" w:eastAsia="仿宋_GB2312" w:cs="Nimbus Roman No9 L"/>
          <w:b w:val="0"/>
          <w:bCs w:val="0"/>
          <w:color w:val="auto"/>
          <w:spacing w:val="0"/>
          <w:sz w:val="32"/>
          <w:szCs w:val="32"/>
          <w:lang w:val="en-US" w:eastAsia="zh-CN"/>
        </w:rPr>
        <w:t>年度各项任务</w:t>
      </w:r>
      <w:r>
        <w:rPr>
          <w:rFonts w:hint="eastAsia" w:ascii="仿宋_GB2312" w:hAnsi="仿宋_GB2312" w:eastAsia="仿宋_GB2312" w:cs="仿宋_GB2312"/>
          <w:b w:val="0"/>
          <w:bCs w:val="0"/>
          <w:sz w:val="32"/>
          <w:szCs w:val="32"/>
          <w:lang w:val="en-US" w:eastAsia="zh-CN"/>
        </w:rPr>
        <w:t>，还有效促进了社会稳定和经济发展，提升了服务对象的满意度，展现了良好的资产管理与业务开展能力，具体表现如下：</w:t>
      </w:r>
    </w:p>
    <w:p w14:paraId="392F1A1A">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仿宋_GB2312" w:hAnsi="仿宋" w:eastAsia="仿宋_GB2312" w:cs="仿宋"/>
          <w:snapToGrid w:val="0"/>
          <w:kern w:val="0"/>
          <w:sz w:val="32"/>
          <w:szCs w:val="32"/>
        </w:rPr>
      </w:pPr>
      <w:r>
        <w:rPr>
          <w:rFonts w:hint="eastAsia" w:ascii="仿宋_GB2312" w:eastAsia="仿宋_GB2312" w:cs="仿宋"/>
          <w:snapToGrid w:val="0"/>
          <w:kern w:val="0"/>
          <w:sz w:val="32"/>
          <w:szCs w:val="32"/>
          <w:lang w:eastAsia="zh-CN"/>
        </w:rPr>
        <w:t>运行成本与管理效率：</w:t>
      </w:r>
      <w:r>
        <w:rPr>
          <w:rFonts w:hint="eastAsia" w:ascii="仿宋_GB2312" w:hAnsi="仿宋" w:eastAsia="仿宋_GB2312" w:cs="仿宋"/>
          <w:snapToGrid w:val="0"/>
          <w:kern w:val="0"/>
          <w:sz w:val="32"/>
          <w:szCs w:val="32"/>
        </w:rPr>
        <w:t>本年预算配置控制较好，财政供养人员控制在预算编制以内，</w:t>
      </w:r>
      <w:r>
        <w:rPr>
          <w:rFonts w:hint="eastAsia" w:ascii="仿宋_GB2312" w:eastAsia="仿宋_GB2312" w:cs="仿宋"/>
          <w:snapToGrid w:val="0"/>
          <w:kern w:val="0"/>
          <w:sz w:val="32"/>
          <w:szCs w:val="32"/>
          <w:lang w:eastAsia="zh-CN"/>
        </w:rPr>
        <w:t>编制数</w:t>
      </w:r>
      <w:r>
        <w:rPr>
          <w:rFonts w:hint="eastAsia" w:ascii="仿宋_GB2312" w:eastAsia="仿宋_GB2312" w:cs="仿宋"/>
          <w:snapToGrid w:val="0"/>
          <w:kern w:val="0"/>
          <w:sz w:val="32"/>
          <w:szCs w:val="32"/>
          <w:lang w:val="en-US" w:eastAsia="zh-CN"/>
        </w:rPr>
        <w:t>90人，2024年实际在职人数86人。</w:t>
      </w:r>
    </w:p>
    <w:p w14:paraId="053CC30B">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baseline"/>
        <w:rPr>
          <w:rFonts w:hint="eastAsia" w:ascii="仿宋_GB2312" w:hAnsi="仿宋_GB2312" w:eastAsia="仿宋_GB2312" w:cs="仿宋_GB2312"/>
          <w:b w:val="0"/>
          <w:bCs/>
          <w:sz w:val="32"/>
          <w:szCs w:val="32"/>
        </w:rPr>
      </w:pPr>
      <w:r>
        <w:rPr>
          <w:rFonts w:hint="eastAsia" w:ascii="仿宋_GB2312" w:eastAsia="仿宋_GB2312" w:cs="仿宋"/>
          <w:snapToGrid w:val="0"/>
          <w:kern w:val="0"/>
          <w:sz w:val="32"/>
          <w:szCs w:val="32"/>
          <w:lang w:val="en-US" w:eastAsia="zh-CN"/>
        </w:rPr>
        <w:t>履职效能：</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w:t>
      </w:r>
      <w:r>
        <w:rPr>
          <w:rFonts w:hint="default" w:ascii="Times New Roman" w:hAnsi="Times New Roman" w:eastAsia="仿宋_GB2312" w:cs="Nimbus Roman No9 L"/>
          <w:b w:val="0"/>
          <w:bCs w:val="0"/>
          <w:color w:val="auto"/>
          <w:spacing w:val="0"/>
          <w:sz w:val="32"/>
          <w:szCs w:val="32"/>
          <w:lang w:val="en-US" w:eastAsia="zh-CN"/>
        </w:rPr>
        <w:t>全市人社系统深入学习贯彻习近平新时代中国特色社会主义思想，认真落实市委市政府和省人社厅部署要求，全力以赴稳就业、强社保、聚人才、促和谐、优服务、惠民生，较好地完成了年度各项任务。</w:t>
      </w:r>
      <w:r>
        <w:rPr>
          <w:rFonts w:hint="eastAsia" w:ascii="Times New Roman" w:hAnsi="Times New Roman" w:eastAsia="仿宋_GB2312" w:cs="Nimbus Roman No9 L"/>
          <w:b w:val="0"/>
          <w:bCs w:val="0"/>
          <w:color w:val="auto"/>
          <w:spacing w:val="0"/>
          <w:sz w:val="32"/>
          <w:szCs w:val="32"/>
          <w:lang w:val="en-US" w:eastAsia="zh-CN"/>
        </w:rPr>
        <w:t>我局</w:t>
      </w:r>
      <w:r>
        <w:rPr>
          <w:rFonts w:hint="eastAsia" w:ascii="Times New Roman" w:hAnsi="Times New Roman" w:eastAsia="仿宋_GB2312" w:cs="Times New Roman"/>
          <w:snapToGrid w:val="0"/>
          <w:color w:val="auto"/>
          <w:spacing w:val="0"/>
          <w:kern w:val="0"/>
          <w:sz w:val="32"/>
          <w:szCs w:val="32"/>
          <w:lang w:eastAsia="zh-CN"/>
        </w:rPr>
        <w:t>人事考试、劳动仲裁、就业创业、农民工工作</w:t>
      </w:r>
      <w:r>
        <w:rPr>
          <w:rFonts w:hint="default" w:ascii="Times New Roman" w:hAnsi="Times New Roman" w:eastAsia="仿宋_GB2312" w:cs="Times New Roman"/>
          <w:color w:val="auto"/>
          <w:spacing w:val="0"/>
          <w:w w:val="100"/>
          <w:sz w:val="32"/>
          <w:szCs w:val="32"/>
          <w:lang w:val="en-US" w:eastAsia="zh-CN"/>
        </w:rPr>
        <w:t>等</w:t>
      </w:r>
      <w:r>
        <w:rPr>
          <w:rFonts w:hint="eastAsia" w:ascii="Times New Roman" w:hAnsi="Times New Roman" w:eastAsia="仿宋_GB2312" w:cs="Times New Roman"/>
          <w:color w:val="auto"/>
          <w:spacing w:val="0"/>
          <w:w w:val="100"/>
          <w:sz w:val="32"/>
          <w:szCs w:val="32"/>
          <w:lang w:val="en-US" w:eastAsia="zh-CN"/>
        </w:rPr>
        <w:t>多次</w:t>
      </w:r>
      <w:r>
        <w:rPr>
          <w:rFonts w:hint="default" w:ascii="Times New Roman" w:hAnsi="Times New Roman" w:eastAsia="仿宋_GB2312" w:cs="Times New Roman"/>
          <w:color w:val="auto"/>
          <w:spacing w:val="0"/>
          <w:w w:val="100"/>
          <w:sz w:val="32"/>
          <w:szCs w:val="32"/>
          <w:lang w:val="en-US" w:eastAsia="zh-CN"/>
        </w:rPr>
        <w:t>在</w:t>
      </w:r>
      <w:r>
        <w:rPr>
          <w:rFonts w:hint="eastAsia" w:ascii="Times New Roman" w:hAnsi="Times New Roman" w:eastAsia="仿宋_GB2312" w:cs="Times New Roman"/>
          <w:color w:val="auto"/>
          <w:spacing w:val="0"/>
          <w:w w:val="100"/>
          <w:sz w:val="32"/>
          <w:szCs w:val="32"/>
          <w:lang w:val="en-US" w:eastAsia="zh-CN"/>
        </w:rPr>
        <w:t>省级以上工作会议</w:t>
      </w:r>
      <w:r>
        <w:rPr>
          <w:rFonts w:hint="default" w:ascii="Times New Roman" w:hAnsi="Times New Roman" w:eastAsia="仿宋_GB2312" w:cs="Times New Roman"/>
          <w:color w:val="auto"/>
          <w:spacing w:val="0"/>
          <w:w w:val="100"/>
          <w:sz w:val="32"/>
          <w:szCs w:val="32"/>
          <w:lang w:val="en-US" w:eastAsia="zh-CN"/>
        </w:rPr>
        <w:t>作经验</w:t>
      </w:r>
      <w:r>
        <w:rPr>
          <w:rFonts w:hint="eastAsia" w:ascii="Times New Roman" w:hAnsi="Times New Roman" w:eastAsia="仿宋_GB2312" w:cs="Times New Roman"/>
          <w:color w:val="auto"/>
          <w:spacing w:val="0"/>
          <w:w w:val="100"/>
          <w:sz w:val="32"/>
          <w:szCs w:val="32"/>
          <w:lang w:val="en-US" w:eastAsia="zh-CN"/>
        </w:rPr>
        <w:t>交流，全国、全省人事考试工作会议和全省劳动人事争议多元化解工作座谈会落地岳阳。</w:t>
      </w:r>
    </w:p>
    <w:p w14:paraId="02DE4B94">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Times New Roman" w:hAnsi="Times New Roman" w:eastAsia="仿宋_GB2312" w:cs="Nimbus Roman No9 L"/>
          <w:spacing w:val="0"/>
          <w:sz w:val="32"/>
          <w:szCs w:val="32"/>
          <w:lang w:eastAsia="zh-CN"/>
        </w:rPr>
      </w:pPr>
      <w:r>
        <w:rPr>
          <w:rFonts w:hint="eastAsia" w:ascii="仿宋_GB2312" w:eastAsia="仿宋_GB2312" w:cs="仿宋"/>
          <w:snapToGrid w:val="0"/>
          <w:kern w:val="0"/>
          <w:sz w:val="32"/>
          <w:szCs w:val="32"/>
          <w:lang w:val="en-US" w:eastAsia="zh-CN"/>
        </w:rPr>
        <w:t>社会效能：</w:t>
      </w:r>
      <w:r>
        <w:rPr>
          <w:rFonts w:hint="default" w:ascii="Times New Roman" w:hAnsi="Times New Roman" w:eastAsia="仿宋_GB2312" w:cs="Nimbus Roman No9 L"/>
          <w:b w:val="0"/>
          <w:bCs w:val="0"/>
          <w:color w:val="auto"/>
          <w:spacing w:val="0"/>
          <w:w w:val="100"/>
          <w:sz w:val="32"/>
          <w:szCs w:val="32"/>
          <w:lang w:val="en-US" w:eastAsia="zh-CN"/>
        </w:rPr>
        <w:t>织密扎牢社会保障安全网，覆盖范围持续扩大、保障能力持续增强。延退改革</w:t>
      </w:r>
      <w:r>
        <w:rPr>
          <w:rFonts w:hint="eastAsia" w:ascii="Times New Roman" w:hAnsi="Times New Roman" w:eastAsia="仿宋_GB2312" w:cs="Nimbus Roman No9 L"/>
          <w:b w:val="0"/>
          <w:bCs w:val="0"/>
          <w:color w:val="auto"/>
          <w:spacing w:val="0"/>
          <w:w w:val="100"/>
          <w:sz w:val="32"/>
          <w:szCs w:val="32"/>
          <w:lang w:val="en-US" w:eastAsia="zh-CN"/>
        </w:rPr>
        <w:t>顺利开局</w:t>
      </w:r>
      <w:r>
        <w:rPr>
          <w:rFonts w:hint="default" w:ascii="Times New Roman" w:hAnsi="Times New Roman" w:eastAsia="仿宋_GB2312" w:cs="Nimbus Roman No9 L"/>
          <w:b/>
          <w:bCs/>
          <w:color w:val="auto"/>
          <w:spacing w:val="0"/>
          <w:w w:val="100"/>
          <w:sz w:val="32"/>
          <w:szCs w:val="32"/>
          <w:lang w:val="en-US" w:eastAsia="zh-CN"/>
        </w:rPr>
        <w:t>。</w:t>
      </w:r>
      <w:r>
        <w:rPr>
          <w:rFonts w:hint="default" w:ascii="Times New Roman" w:hAnsi="Times New Roman" w:eastAsia="仿宋_GB2312" w:cs="Nimbus Roman No9 L"/>
          <w:spacing w:val="0"/>
          <w:sz w:val="32"/>
          <w:szCs w:val="32"/>
        </w:rPr>
        <w:t>坚持“日调度、日研判”，</w:t>
      </w:r>
      <w:r>
        <w:rPr>
          <w:rFonts w:hint="eastAsia" w:ascii="Times New Roman" w:hAnsi="Times New Roman" w:eastAsia="仿宋_GB2312" w:cs="Nimbus Roman No9 L"/>
          <w:spacing w:val="0"/>
          <w:sz w:val="32"/>
          <w:szCs w:val="32"/>
          <w:lang w:eastAsia="zh-CN"/>
        </w:rPr>
        <w:t>落实</w:t>
      </w:r>
      <w:r>
        <w:rPr>
          <w:rFonts w:hint="default" w:ascii="Times New Roman" w:hAnsi="Times New Roman" w:eastAsia="仿宋_GB2312" w:cs="Nimbus Roman No9 L"/>
          <w:spacing w:val="0"/>
          <w:sz w:val="32"/>
          <w:szCs w:val="32"/>
        </w:rPr>
        <w:t>组织、经办、培训、信息、应急“五个到位”，</w:t>
      </w:r>
      <w:r>
        <w:rPr>
          <w:rFonts w:hint="default" w:ascii="Times New Roman" w:hAnsi="Times New Roman" w:eastAsia="仿宋_GB2312" w:cs="Nimbus Roman No9 L"/>
          <w:color w:val="auto"/>
          <w:spacing w:val="0"/>
          <w:w w:val="100"/>
          <w:sz w:val="32"/>
          <w:szCs w:val="32"/>
          <w:lang w:val="en-US" w:eastAsia="zh-CN"/>
        </w:rPr>
        <w:t>开展进园入企“三集中服务”，举办政策宣讲培训56</w:t>
      </w:r>
      <w:r>
        <w:rPr>
          <w:rFonts w:hint="eastAsia" w:ascii="Times New Roman" w:hAnsi="Times New Roman" w:eastAsia="仿宋_GB2312" w:cs="Nimbus Roman No9 L"/>
          <w:color w:val="auto"/>
          <w:spacing w:val="0"/>
          <w:w w:val="100"/>
          <w:sz w:val="32"/>
          <w:szCs w:val="32"/>
          <w:lang w:val="en-US" w:eastAsia="zh-CN"/>
        </w:rPr>
        <w:t>场次</w:t>
      </w:r>
      <w:r>
        <w:rPr>
          <w:rFonts w:hint="default" w:ascii="Times New Roman" w:hAnsi="Times New Roman" w:eastAsia="仿宋_GB2312" w:cs="Nimbus Roman No9 L"/>
          <w:color w:val="auto"/>
          <w:spacing w:val="0"/>
          <w:w w:val="100"/>
          <w:sz w:val="32"/>
          <w:szCs w:val="32"/>
          <w:lang w:val="en-US" w:eastAsia="zh-CN"/>
        </w:rPr>
        <w:t>，</w:t>
      </w:r>
      <w:r>
        <w:rPr>
          <w:rFonts w:hint="default" w:ascii="Times New Roman" w:hAnsi="Times New Roman" w:eastAsia="仿宋_GB2312" w:cs="Nimbus Roman No9 L"/>
          <w:b w:val="0"/>
          <w:bCs w:val="0"/>
          <w:color w:val="auto"/>
          <w:spacing w:val="0"/>
          <w:w w:val="100"/>
          <w:sz w:val="32"/>
          <w:szCs w:val="32"/>
          <w:lang w:val="en-US" w:eastAsia="zh-CN"/>
        </w:rPr>
        <w:t>覆盖政企</w:t>
      </w:r>
      <w:r>
        <w:rPr>
          <w:rFonts w:hint="eastAsia" w:ascii="Times New Roman" w:hAnsi="Times New Roman" w:eastAsia="仿宋_GB2312" w:cs="Nimbus Roman No9 L"/>
          <w:b w:val="0"/>
          <w:bCs w:val="0"/>
          <w:color w:val="auto"/>
          <w:spacing w:val="0"/>
          <w:w w:val="100"/>
          <w:sz w:val="32"/>
          <w:szCs w:val="32"/>
          <w:lang w:val="en-US" w:eastAsia="zh-CN"/>
        </w:rPr>
        <w:t>相关</w:t>
      </w:r>
      <w:r>
        <w:rPr>
          <w:rFonts w:hint="default" w:ascii="Times New Roman" w:hAnsi="Times New Roman" w:eastAsia="仿宋_GB2312" w:cs="Nimbus Roman No9 L"/>
          <w:b w:val="0"/>
          <w:bCs w:val="0"/>
          <w:color w:val="auto"/>
          <w:spacing w:val="0"/>
          <w:w w:val="100"/>
          <w:sz w:val="32"/>
          <w:szCs w:val="32"/>
          <w:lang w:val="en-US" w:eastAsia="zh-CN"/>
        </w:rPr>
        <w:t>人员1.56万</w:t>
      </w:r>
      <w:r>
        <w:rPr>
          <w:rFonts w:hint="eastAsia" w:ascii="Times New Roman" w:hAnsi="Times New Roman" w:eastAsia="仿宋_GB2312" w:cs="Nimbus Roman No9 L"/>
          <w:b w:val="0"/>
          <w:bCs w:val="0"/>
          <w:color w:val="auto"/>
          <w:spacing w:val="0"/>
          <w:w w:val="100"/>
          <w:sz w:val="32"/>
          <w:szCs w:val="32"/>
          <w:lang w:val="en-US" w:eastAsia="zh-CN"/>
        </w:rPr>
        <w:t>余人，</w:t>
      </w:r>
      <w:r>
        <w:rPr>
          <w:rFonts w:hint="eastAsia" w:ascii="Times New Roman" w:hAnsi="Times New Roman" w:eastAsia="仿宋_GB2312" w:cs="Nimbus Roman No9 L"/>
          <w:color w:val="auto"/>
          <w:spacing w:val="0"/>
          <w:w w:val="100"/>
          <w:sz w:val="32"/>
          <w:szCs w:val="32"/>
          <w:lang w:val="en-US" w:eastAsia="zh-CN"/>
        </w:rPr>
        <w:t>实现延退改革</w:t>
      </w:r>
      <w:r>
        <w:rPr>
          <w:rFonts w:hint="default" w:ascii="Times New Roman" w:hAnsi="Times New Roman" w:eastAsia="仿宋_GB2312" w:cs="Nimbus Roman No9 L"/>
          <w:spacing w:val="0"/>
          <w:sz w:val="32"/>
          <w:szCs w:val="32"/>
        </w:rPr>
        <w:t>部署早、准备足、落地好</w:t>
      </w:r>
      <w:r>
        <w:rPr>
          <w:rFonts w:hint="default" w:ascii="Times New Roman" w:hAnsi="Times New Roman" w:eastAsia="仿宋_GB2312" w:cs="Nimbus Roman No9 L"/>
          <w:spacing w:val="0"/>
          <w:sz w:val="32"/>
          <w:szCs w:val="32"/>
          <w:lang w:eastAsia="zh-CN"/>
        </w:rPr>
        <w:t>的</w:t>
      </w:r>
      <w:r>
        <w:rPr>
          <w:rFonts w:hint="eastAsia" w:ascii="Times New Roman" w:hAnsi="Times New Roman" w:eastAsia="仿宋_GB2312" w:cs="Nimbus Roman No9 L"/>
          <w:spacing w:val="0"/>
          <w:sz w:val="32"/>
          <w:szCs w:val="32"/>
          <w:lang w:eastAsia="zh-CN"/>
        </w:rPr>
        <w:t>总体</w:t>
      </w:r>
      <w:r>
        <w:rPr>
          <w:rFonts w:hint="default" w:ascii="Times New Roman" w:hAnsi="Times New Roman" w:eastAsia="仿宋_GB2312" w:cs="Nimbus Roman No9 L"/>
          <w:spacing w:val="0"/>
          <w:sz w:val="32"/>
          <w:szCs w:val="32"/>
          <w:lang w:eastAsia="zh-CN"/>
        </w:rPr>
        <w:t>要求</w:t>
      </w:r>
      <w:r>
        <w:rPr>
          <w:rFonts w:hint="eastAsia" w:ascii="Times New Roman" w:hAnsi="Times New Roman" w:eastAsia="仿宋_GB2312" w:cs="Nimbus Roman No9 L"/>
          <w:spacing w:val="0"/>
          <w:sz w:val="32"/>
          <w:szCs w:val="32"/>
          <w:lang w:eastAsia="zh-CN"/>
        </w:rPr>
        <w:t>。</w:t>
      </w:r>
    </w:p>
    <w:p w14:paraId="29EA69FC">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sz w:val="32"/>
          <w:szCs w:val="32"/>
        </w:rPr>
      </w:pPr>
      <w:r>
        <w:rPr>
          <w:rFonts w:hint="eastAsia" w:ascii="仿宋_GB2312" w:eastAsia="仿宋_GB2312" w:cs="仿宋"/>
          <w:snapToGrid w:val="0"/>
          <w:kern w:val="0"/>
          <w:sz w:val="32"/>
          <w:szCs w:val="32"/>
          <w:lang w:val="en-US" w:eastAsia="zh-CN"/>
        </w:rPr>
        <w:t>可持续发展能力：</w:t>
      </w:r>
      <w:r>
        <w:rPr>
          <w:rFonts w:hint="eastAsia" w:ascii="Times New Roman" w:hAnsi="Times New Roman" w:eastAsia="仿宋_GB2312" w:cs="仿宋_GB2312"/>
          <w:b w:val="0"/>
          <w:bCs w:val="0"/>
          <w:color w:val="auto"/>
          <w:spacing w:val="0"/>
          <w:w w:val="100"/>
          <w:sz w:val="32"/>
          <w:szCs w:val="32"/>
          <w:lang w:val="en-US" w:eastAsia="zh-CN"/>
        </w:rPr>
        <w:t>全面对标省政府、省人社厅要求，</w:t>
      </w:r>
      <w:r>
        <w:rPr>
          <w:rFonts w:hint="default" w:ascii="Times New Roman" w:hAnsi="Times New Roman" w:eastAsia="仿宋_GB2312" w:cs="Times New Roman"/>
          <w:b w:val="0"/>
          <w:bCs w:val="0"/>
          <w:color w:val="auto"/>
          <w:sz w:val="32"/>
          <w:szCs w:val="32"/>
          <w:lang w:val="en-US" w:eastAsia="zh-CN"/>
        </w:rPr>
        <w:t>在</w:t>
      </w:r>
      <w:r>
        <w:rPr>
          <w:rFonts w:hint="default" w:ascii="Times New Roman" w:hAnsi="Times New Roman" w:eastAsia="仿宋_GB2312" w:cs="Times New Roman"/>
          <w:b w:val="0"/>
          <w:bCs w:val="0"/>
          <w:color w:val="auto"/>
          <w:sz w:val="32"/>
          <w:szCs w:val="32"/>
        </w:rPr>
        <w:t>十大省级重点民生实事项目</w:t>
      </w:r>
      <w:r>
        <w:rPr>
          <w:rFonts w:hint="eastAsia"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lang w:val="en-US" w:eastAsia="zh-CN"/>
        </w:rPr>
        <w:t>基础上，</w:t>
      </w:r>
      <w:r>
        <w:rPr>
          <w:rFonts w:hint="eastAsia" w:ascii="Times New Roman" w:hAnsi="Times New Roman" w:eastAsia="仿宋_GB2312" w:cs="Times New Roman"/>
          <w:b w:val="0"/>
          <w:bCs w:val="0"/>
          <w:color w:val="auto"/>
          <w:sz w:val="32"/>
          <w:szCs w:val="32"/>
          <w:lang w:val="en-US" w:eastAsia="zh-CN"/>
        </w:rPr>
        <w:t>结合岳阳实际，</w:t>
      </w:r>
      <w:r>
        <w:rPr>
          <w:rFonts w:hint="default" w:ascii="Times New Roman" w:hAnsi="Times New Roman" w:eastAsia="仿宋_GB2312" w:cs="Times New Roman"/>
          <w:b w:val="0"/>
          <w:bCs w:val="0"/>
          <w:color w:val="auto"/>
          <w:sz w:val="32"/>
          <w:szCs w:val="32"/>
          <w:lang w:val="en-US" w:eastAsia="zh-CN"/>
        </w:rPr>
        <w:t>明确了</w:t>
      </w:r>
      <w:r>
        <w:rPr>
          <w:rFonts w:hint="default" w:ascii="Times New Roman" w:hAnsi="Times New Roman" w:eastAsia="仿宋_GB2312" w:cs="Times New Roman"/>
          <w:b w:val="0"/>
          <w:bCs w:val="0"/>
          <w:color w:val="auto"/>
          <w:sz w:val="32"/>
          <w:szCs w:val="32"/>
        </w:rPr>
        <w:t>十大市级重点民生实事项目和医疗对口支持帮扶任务，合并实施</w:t>
      </w:r>
      <w:r>
        <w:rPr>
          <w:rFonts w:hint="eastAsia" w:ascii="Times New Roman" w:hAnsi="Times New Roman" w:eastAsia="仿宋_GB2312" w:cs="Times New Roman"/>
          <w:b w:val="0"/>
          <w:bCs w:val="0"/>
          <w:color w:val="auto"/>
          <w:sz w:val="32"/>
          <w:szCs w:val="32"/>
          <w:lang w:eastAsia="zh-CN"/>
        </w:rPr>
        <w:t>岳阳</w:t>
      </w:r>
      <w:r>
        <w:rPr>
          <w:rFonts w:hint="default" w:ascii="Times New Roman" w:hAnsi="Times New Roman" w:eastAsia="仿宋_GB2312" w:cs="Times New Roman"/>
          <w:b w:val="0"/>
          <w:bCs w:val="0"/>
          <w:color w:val="auto"/>
          <w:sz w:val="32"/>
          <w:szCs w:val="32"/>
        </w:rPr>
        <w:t>民生可感“10+10+1”行动</w:t>
      </w:r>
      <w:r>
        <w:rPr>
          <w:rFonts w:hint="default" w:ascii="Times New Roman" w:hAnsi="Times New Roman" w:eastAsia="仿宋_GB2312" w:cs="Times New Roman"/>
          <w:b w:val="0"/>
          <w:bCs w:val="0"/>
          <w:color w:val="auto"/>
          <w:sz w:val="32"/>
          <w:szCs w:val="32"/>
          <w:lang w:eastAsia="zh-CN"/>
        </w:rPr>
        <w:t>。</w:t>
      </w:r>
    </w:p>
    <w:p w14:paraId="7BFCBCDA">
      <w:pPr>
        <w:pStyle w:val="6"/>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10B2940">
      <w:pPr>
        <w:pStyle w:val="2"/>
        <w:keepNext w:val="0"/>
        <w:keepLines w:val="0"/>
        <w:pageBreakBefore w:val="0"/>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1.规划计划与预算衔接不畅。 部门的中长期规划、年度工作计划未能有效转化为具体的、可衡量的绩效目标并指导预算编制。</w:t>
      </w:r>
    </w:p>
    <w:p w14:paraId="7D5E5FAC">
      <w:pPr>
        <w:pStyle w:val="2"/>
        <w:keepNext w:val="0"/>
        <w:keepLines w:val="0"/>
        <w:pageBreakBefore w:val="0"/>
        <w:numPr>
          <w:ilvl w:val="0"/>
          <w:numId w:val="0"/>
        </w:numPr>
        <w:kinsoku/>
        <w:wordWrap/>
        <w:overflowPunct/>
        <w:topLinePunct w:val="0"/>
        <w:autoSpaceDE/>
        <w:autoSpaceDN/>
        <w:bidi w:val="0"/>
        <w:adjustRightInd/>
        <w:snapToGrid/>
        <w:spacing w:afterAutospacing="0" w:line="6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2.绩效监控流于形式。 监控手段单一（多为报表报送），频率不足。执行进度缓慢、目标可能无法完成的情况预警不足，纠偏机制缺失或不及时；监控信息未能有效用于预算调整。</w:t>
      </w:r>
    </w:p>
    <w:p w14:paraId="1CC0400A">
      <w:pPr>
        <w:keepNext w:val="0"/>
        <w:keepLines w:val="0"/>
        <w:pageBreakBefore w:val="0"/>
        <w:widowControl/>
        <w:numPr>
          <w:ilvl w:val="0"/>
          <w:numId w:val="3"/>
        </w:numP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289D287A">
      <w:pPr>
        <w:pStyle w:val="2"/>
        <w:keepNext w:val="0"/>
        <w:keepLines w:val="0"/>
        <w:pageBreakBefore w:val="0"/>
        <w:numPr>
          <w:ilvl w:val="0"/>
          <w:numId w:val="0"/>
        </w:numPr>
        <w:kinsoku/>
        <w:wordWrap/>
        <w:overflowPunct/>
        <w:topLinePunct w:val="0"/>
        <w:autoSpaceDE/>
        <w:autoSpaceDN/>
        <w:bidi w:val="0"/>
        <w:adjustRightInd/>
        <w:snapToGrid/>
        <w:spacing w:afterAutospacing="0" w:line="6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强化规划与预算衔接，根据单位的年度工作重点工作规划，本着“勤俭节约、保障运转”的原则进行预算的编制，编制范围尽可能全面，不漏项。</w:t>
      </w:r>
    </w:p>
    <w:p w14:paraId="560196C4">
      <w:pPr>
        <w:pStyle w:val="2"/>
        <w:keepNext w:val="0"/>
        <w:keepLines w:val="0"/>
        <w:pageBreakBefore w:val="0"/>
        <w:numPr>
          <w:ilvl w:val="0"/>
          <w:numId w:val="0"/>
        </w:numPr>
        <w:kinsoku/>
        <w:wordWrap/>
        <w:overflowPunct/>
        <w:topLinePunct w:val="0"/>
        <w:autoSpaceDE/>
        <w:autoSpaceDN/>
        <w:bidi w:val="0"/>
        <w:adjustRightInd/>
        <w:snapToGrid/>
        <w:spacing w:afterAutospacing="0"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部门年度绩效报告与预决算同步公开，接受社会监督。加强绩效的审核、跟踪及预算执行情况分析，提高绩效编制的科学性、合理性、严谨性和可控性。</w:t>
      </w:r>
    </w:p>
    <w:p w14:paraId="16CA7565">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0116DE35">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3A7D4B14">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59175B67">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FD0F342">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7E1F8E10">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FD18552">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8A67A18">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E1FDD15">
      <w:pPr>
        <w:keepNext w:val="0"/>
        <w:keepLines w:val="0"/>
        <w:pageBreakBefore w:val="0"/>
        <w:widowControl/>
        <w:kinsoku/>
        <w:wordWrap/>
        <w:overflowPunct/>
        <w:topLinePunct w:val="0"/>
        <w:autoSpaceDE/>
        <w:autoSpaceDN/>
        <w:bidi w:val="0"/>
        <w:adjustRightInd/>
        <w:snapToGrid/>
        <w:spacing w:afterAutospacing="0"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5600CE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1CD8F"/>
    <w:multiLevelType w:val="singleLevel"/>
    <w:tmpl w:val="9441CD8F"/>
    <w:lvl w:ilvl="0" w:tentative="0">
      <w:start w:val="8"/>
      <w:numFmt w:val="chineseCounting"/>
      <w:suff w:val="nothing"/>
      <w:lvlText w:val="%1、"/>
      <w:lvlJc w:val="left"/>
      <w:rPr>
        <w:rFonts w:hint="eastAsia"/>
      </w:rPr>
    </w:lvl>
  </w:abstractNum>
  <w:abstractNum w:abstractNumId="1">
    <w:nsid w:val="A9E09BFB"/>
    <w:multiLevelType w:val="singleLevel"/>
    <w:tmpl w:val="A9E09BFB"/>
    <w:lvl w:ilvl="0" w:tentative="0">
      <w:start w:val="2"/>
      <w:numFmt w:val="chineseCounting"/>
      <w:suff w:val="nothing"/>
      <w:lvlText w:val="（%1）"/>
      <w:lvlJc w:val="left"/>
      <w:rPr>
        <w:rFonts w:hint="eastAsia"/>
      </w:rPr>
    </w:lvl>
  </w:abstractNum>
  <w:abstractNum w:abstractNumId="2">
    <w:nsid w:val="C59829A7"/>
    <w:multiLevelType w:val="singleLevel"/>
    <w:tmpl w:val="C59829A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C2B6A"/>
    <w:rsid w:val="638C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eastAsia="仿宋" w:cs="仿宋"/>
      <w:sz w:val="31"/>
      <w:szCs w:val="31"/>
      <w:lang w:eastAsia="en-US"/>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2025-07-30T01:20:00Z</dcterms:created>
  <dc:creator>大头</dc:creator>
  <cp:lastModifiedBy>大头</cp:lastModifiedBy>
  <dcterms:modified xsi:type="dcterms:W3CDTF">2025-07-30T01:21:51Z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E1E4AF96AB284360801320C8C992F0C2_11</vt:lpwstr>
  </property>
</Properties>
</file>