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47F" w:rsidRDefault="00C90AE4">
      <w:pPr>
        <w:spacing w:line="348" w:lineRule="auto"/>
        <w:rPr>
          <w:rFonts w:ascii="黑体" w:eastAsia="黑体" w:hAnsi="黑体" w:cs="黑体"/>
          <w:bCs/>
          <w:sz w:val="32"/>
          <w:szCs w:val="32"/>
        </w:rPr>
      </w:pPr>
      <w:r>
        <w:rPr>
          <w:rFonts w:ascii="黑体" w:eastAsia="黑体" w:hAnsi="黑体" w:cs="黑体" w:hint="eastAsia"/>
          <w:bCs/>
          <w:sz w:val="32"/>
          <w:szCs w:val="32"/>
        </w:rPr>
        <w:t>附件</w:t>
      </w:r>
      <w:r w:rsidR="00080239">
        <w:rPr>
          <w:rFonts w:ascii="黑体" w:eastAsia="黑体" w:hAnsi="黑体" w:cs="黑体" w:hint="eastAsia"/>
          <w:bCs/>
          <w:sz w:val="32"/>
          <w:szCs w:val="32"/>
        </w:rPr>
        <w:t>4</w:t>
      </w:r>
    </w:p>
    <w:p w:rsidR="00DB247F" w:rsidRDefault="00DB247F">
      <w:pPr>
        <w:spacing w:line="348" w:lineRule="auto"/>
        <w:jc w:val="center"/>
        <w:rPr>
          <w:rFonts w:eastAsia="方正小标宋简体"/>
          <w:bCs/>
          <w:sz w:val="42"/>
          <w:szCs w:val="42"/>
        </w:rPr>
      </w:pPr>
    </w:p>
    <w:p w:rsidR="00DB247F" w:rsidRDefault="00C90AE4">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Pr>
          <w:rFonts w:eastAsia="方正小标宋简体" w:hint="eastAsia"/>
          <w:bCs/>
          <w:sz w:val="46"/>
          <w:szCs w:val="46"/>
          <w:u w:val="single"/>
        </w:rPr>
        <w:t xml:space="preserve"> 2</w:t>
      </w:r>
      <w:r w:rsidR="00F806BD">
        <w:rPr>
          <w:rFonts w:eastAsia="方正小标宋简体" w:hint="eastAsia"/>
          <w:bCs/>
          <w:sz w:val="46"/>
          <w:szCs w:val="46"/>
          <w:u w:val="single"/>
        </w:rPr>
        <w:t>4</w:t>
      </w:r>
      <w:r>
        <w:rPr>
          <w:rFonts w:eastAsia="方正小标宋简体" w:hint="eastAsia"/>
          <w:bCs/>
          <w:sz w:val="46"/>
          <w:szCs w:val="46"/>
        </w:rPr>
        <w:t>年度部门（单位）整体支出</w:t>
      </w:r>
    </w:p>
    <w:p w:rsidR="00DB247F" w:rsidRDefault="00C90AE4">
      <w:pPr>
        <w:spacing w:line="800" w:lineRule="exact"/>
        <w:jc w:val="center"/>
        <w:rPr>
          <w:rFonts w:eastAsia="方正小标宋简体"/>
          <w:bCs/>
          <w:sz w:val="46"/>
          <w:szCs w:val="46"/>
        </w:rPr>
      </w:pPr>
      <w:r>
        <w:rPr>
          <w:rFonts w:eastAsia="方正小标宋简体" w:hint="eastAsia"/>
          <w:bCs/>
          <w:sz w:val="46"/>
          <w:szCs w:val="46"/>
        </w:rPr>
        <w:t>绩效评价自评报告</w:t>
      </w:r>
    </w:p>
    <w:p w:rsidR="00DB247F" w:rsidRDefault="00DB247F">
      <w:pPr>
        <w:rPr>
          <w:rFonts w:eastAsia="仿宋_GB2312"/>
          <w:b/>
          <w:sz w:val="32"/>
        </w:rPr>
      </w:pPr>
    </w:p>
    <w:p w:rsidR="00DB247F" w:rsidRDefault="00DB247F">
      <w:pPr>
        <w:rPr>
          <w:rFonts w:eastAsia="仿宋_GB2312"/>
          <w:b/>
          <w:sz w:val="32"/>
        </w:rPr>
      </w:pPr>
    </w:p>
    <w:p w:rsidR="00DB247F" w:rsidRDefault="00DB247F">
      <w:pPr>
        <w:rPr>
          <w:rFonts w:eastAsia="仿宋_GB2312" w:hint="eastAsia"/>
          <w:b/>
          <w:sz w:val="32"/>
        </w:rPr>
      </w:pPr>
    </w:p>
    <w:p w:rsidR="00080239" w:rsidRDefault="00080239">
      <w:pPr>
        <w:rPr>
          <w:rFonts w:eastAsia="仿宋_GB2312" w:hint="eastAsia"/>
          <w:b/>
          <w:sz w:val="32"/>
        </w:rPr>
      </w:pPr>
    </w:p>
    <w:p w:rsidR="00080239" w:rsidRDefault="00080239">
      <w:pPr>
        <w:rPr>
          <w:rFonts w:eastAsia="仿宋_GB2312" w:hint="eastAsia"/>
          <w:b/>
          <w:sz w:val="32"/>
        </w:rPr>
      </w:pPr>
    </w:p>
    <w:p w:rsidR="00080239" w:rsidRDefault="00080239">
      <w:pPr>
        <w:rPr>
          <w:rFonts w:eastAsia="仿宋_GB2312" w:hint="eastAsia"/>
          <w:b/>
          <w:sz w:val="32"/>
        </w:rPr>
      </w:pPr>
    </w:p>
    <w:p w:rsidR="00080239" w:rsidRDefault="00080239">
      <w:pPr>
        <w:rPr>
          <w:rFonts w:eastAsia="仿宋_GB2312" w:hint="eastAsia"/>
          <w:b/>
          <w:sz w:val="32"/>
        </w:rPr>
      </w:pPr>
    </w:p>
    <w:p w:rsidR="00080239" w:rsidRDefault="00080239">
      <w:pPr>
        <w:rPr>
          <w:rFonts w:eastAsia="仿宋_GB2312" w:hint="eastAsia"/>
          <w:b/>
          <w:sz w:val="32"/>
        </w:rPr>
      </w:pPr>
    </w:p>
    <w:p w:rsidR="00080239" w:rsidRDefault="00080239">
      <w:pPr>
        <w:rPr>
          <w:rFonts w:eastAsia="仿宋_GB2312" w:hint="eastAsia"/>
          <w:b/>
          <w:sz w:val="32"/>
        </w:rPr>
      </w:pPr>
    </w:p>
    <w:p w:rsidR="00080239" w:rsidRDefault="00080239">
      <w:pPr>
        <w:rPr>
          <w:rFonts w:eastAsia="仿宋_GB2312" w:hint="eastAsia"/>
          <w:b/>
          <w:sz w:val="32"/>
        </w:rPr>
      </w:pPr>
    </w:p>
    <w:p w:rsidR="00080239" w:rsidRDefault="00080239">
      <w:pPr>
        <w:rPr>
          <w:rFonts w:eastAsia="仿宋_GB2312" w:hint="eastAsia"/>
          <w:b/>
          <w:sz w:val="32"/>
        </w:rPr>
      </w:pPr>
    </w:p>
    <w:p w:rsidR="00080239" w:rsidRDefault="00080239">
      <w:pPr>
        <w:rPr>
          <w:rFonts w:eastAsia="仿宋_GB2312" w:hint="eastAsia"/>
          <w:b/>
          <w:sz w:val="32"/>
        </w:rPr>
      </w:pPr>
    </w:p>
    <w:p w:rsidR="00080239" w:rsidRDefault="00080239">
      <w:pPr>
        <w:rPr>
          <w:rFonts w:eastAsia="仿宋_GB2312"/>
          <w:b/>
          <w:sz w:val="32"/>
        </w:rPr>
      </w:pPr>
    </w:p>
    <w:p w:rsidR="00DB247F" w:rsidRDefault="00C90AE4" w:rsidP="0008023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岳阳市人民政府办公室</w:t>
      </w:r>
      <w:r>
        <w:rPr>
          <w:rFonts w:eastAsia="仿宋_GB2312" w:hint="eastAsia"/>
          <w:sz w:val="32"/>
          <w:szCs w:val="32"/>
          <w:u w:val="single"/>
        </w:rPr>
        <w:t xml:space="preserve">       </w:t>
      </w:r>
    </w:p>
    <w:p w:rsidR="00DB247F" w:rsidRDefault="00C90AE4">
      <w:pPr>
        <w:spacing w:line="348" w:lineRule="auto"/>
        <w:jc w:val="center"/>
        <w:rPr>
          <w:rFonts w:eastAsia="仿宋_GB2312"/>
          <w:sz w:val="32"/>
        </w:rPr>
      </w:pPr>
      <w:r>
        <w:rPr>
          <w:rFonts w:eastAsia="仿宋_GB2312" w:hint="eastAsia"/>
          <w:sz w:val="32"/>
        </w:rPr>
        <w:t>报告日期：</w:t>
      </w:r>
      <w:r>
        <w:rPr>
          <w:rFonts w:eastAsia="仿宋_GB2312" w:hint="eastAsia"/>
          <w:sz w:val="32"/>
        </w:rPr>
        <w:t>202</w:t>
      </w:r>
      <w:r w:rsidR="00F806BD">
        <w:rPr>
          <w:rFonts w:eastAsia="仿宋_GB2312" w:hint="eastAsia"/>
          <w:sz w:val="32"/>
        </w:rPr>
        <w:t>5</w:t>
      </w:r>
      <w:r>
        <w:rPr>
          <w:rFonts w:eastAsia="仿宋_GB2312" w:hint="eastAsia"/>
          <w:sz w:val="32"/>
        </w:rPr>
        <w:t>年</w:t>
      </w:r>
      <w:r>
        <w:rPr>
          <w:rFonts w:eastAsia="仿宋_GB2312" w:hint="eastAsia"/>
          <w:sz w:val="32"/>
        </w:rPr>
        <w:t xml:space="preserve"> 0</w:t>
      </w:r>
      <w:r w:rsidR="00F806BD">
        <w:rPr>
          <w:rFonts w:eastAsia="仿宋_GB2312" w:hint="eastAsia"/>
          <w:sz w:val="32"/>
        </w:rPr>
        <w:t>6</w:t>
      </w:r>
      <w:r>
        <w:rPr>
          <w:rFonts w:eastAsia="仿宋_GB2312" w:hint="eastAsia"/>
          <w:sz w:val="32"/>
        </w:rPr>
        <w:t>月</w:t>
      </w:r>
      <w:r>
        <w:rPr>
          <w:rFonts w:eastAsia="仿宋_GB2312" w:hint="eastAsia"/>
          <w:sz w:val="32"/>
        </w:rPr>
        <w:t>1</w:t>
      </w:r>
      <w:bookmarkStart w:id="0" w:name="_GoBack"/>
      <w:bookmarkEnd w:id="0"/>
      <w:r w:rsidR="00F806BD">
        <w:rPr>
          <w:rFonts w:eastAsia="仿宋_GB2312" w:hint="eastAsia"/>
          <w:sz w:val="32"/>
        </w:rPr>
        <w:t>6</w:t>
      </w:r>
      <w:r>
        <w:rPr>
          <w:rFonts w:eastAsia="仿宋_GB2312" w:hint="eastAsia"/>
          <w:sz w:val="32"/>
        </w:rPr>
        <w:t>日</w:t>
      </w:r>
    </w:p>
    <w:p w:rsidR="00080239" w:rsidRDefault="00080239" w:rsidP="00080239">
      <w:pPr>
        <w:ind w:firstLineChars="200" w:firstLine="712"/>
        <w:jc w:val="center"/>
        <w:rPr>
          <w:rFonts w:ascii="方正小标宋简体" w:eastAsia="方正小标宋简体" w:hAnsi="方正小标宋简体" w:cs="方正小标宋简体" w:hint="eastAsia"/>
          <w:sz w:val="36"/>
          <w:szCs w:val="36"/>
        </w:rPr>
      </w:pPr>
      <w:r w:rsidRPr="00080239">
        <w:rPr>
          <w:rFonts w:ascii="方正小标宋简体" w:eastAsia="方正小标宋简体" w:hAnsi="方正小标宋简体" w:cs="方正小标宋简体" w:hint="eastAsia"/>
          <w:sz w:val="36"/>
          <w:szCs w:val="36"/>
        </w:rPr>
        <w:lastRenderedPageBreak/>
        <w:t>2024年度</w:t>
      </w:r>
      <w:r w:rsidRPr="00080239">
        <w:rPr>
          <w:rFonts w:ascii="方正小标宋简体" w:eastAsia="方正小标宋简体" w:hAnsi="方正小标宋简体" w:cs="方正小标宋简体" w:hint="eastAsia"/>
          <w:sz w:val="36"/>
          <w:szCs w:val="36"/>
        </w:rPr>
        <w:t>岳阳市人民政府办公室</w:t>
      </w:r>
    </w:p>
    <w:p w:rsidR="00080239" w:rsidRPr="00080239" w:rsidRDefault="00080239" w:rsidP="00080239">
      <w:pPr>
        <w:ind w:firstLineChars="200" w:firstLine="712"/>
        <w:jc w:val="center"/>
        <w:rPr>
          <w:rFonts w:ascii="方正小标宋简体" w:eastAsia="方正小标宋简体" w:hAnsi="方正小标宋简体" w:cs="方正小标宋简体" w:hint="eastAsia"/>
          <w:sz w:val="36"/>
          <w:szCs w:val="36"/>
        </w:rPr>
      </w:pPr>
      <w:r w:rsidRPr="00080239">
        <w:rPr>
          <w:rFonts w:ascii="方正小标宋简体" w:eastAsia="方正小标宋简体" w:hAnsi="方正小标宋简体" w:cs="方正小标宋简体" w:hint="eastAsia"/>
          <w:sz w:val="36"/>
          <w:szCs w:val="36"/>
        </w:rPr>
        <w:t>整体支出绩效自评报告</w:t>
      </w:r>
    </w:p>
    <w:p w:rsidR="00080239" w:rsidRPr="00080239" w:rsidRDefault="00080239" w:rsidP="00080239">
      <w:pPr>
        <w:spacing w:line="440" w:lineRule="exact"/>
        <w:ind w:firstLineChars="200" w:firstLine="632"/>
        <w:rPr>
          <w:rFonts w:eastAsia="仿宋_GB2312"/>
          <w:sz w:val="32"/>
          <w:szCs w:val="32"/>
        </w:rPr>
      </w:pPr>
    </w:p>
    <w:p w:rsidR="00080239" w:rsidRPr="00080239" w:rsidRDefault="00080239" w:rsidP="00080239">
      <w:pPr>
        <w:spacing w:line="400" w:lineRule="exact"/>
        <w:ind w:firstLineChars="200" w:firstLine="632"/>
        <w:rPr>
          <w:rFonts w:ascii="黑体" w:eastAsia="黑体" w:hAnsi="黑体" w:cs="黑体"/>
          <w:bCs/>
          <w:sz w:val="32"/>
          <w:szCs w:val="32"/>
        </w:rPr>
      </w:pPr>
      <w:r w:rsidRPr="00080239">
        <w:rPr>
          <w:rFonts w:ascii="黑体" w:eastAsia="黑体" w:hAnsi="黑体" w:cs="黑体" w:hint="eastAsia"/>
          <w:bCs/>
          <w:sz w:val="32"/>
          <w:szCs w:val="32"/>
        </w:rPr>
        <w:t>一、单位概况</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（一）单位基本情况</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1、单位人员情况</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岳阳市人民政府办公室系我市财政全额预算拨款单位。2024年经编制部门核实，市政府办人员编制为</w:t>
      </w:r>
      <w:r w:rsidRPr="00080239">
        <w:rPr>
          <w:rFonts w:ascii="仿宋_GB2312" w:eastAsia="仿宋_GB2312" w:hAnsi="仿宋_GB2312" w:cs="仿宋_GB2312" w:hint="eastAsia"/>
          <w:bCs/>
          <w:color w:val="FF0000"/>
          <w:sz w:val="32"/>
          <w:szCs w:val="32"/>
        </w:rPr>
        <w:t>189</w:t>
      </w:r>
      <w:r w:rsidRPr="00080239">
        <w:rPr>
          <w:rFonts w:ascii="仿宋_GB2312" w:eastAsia="仿宋_GB2312" w:hAnsi="仿宋_GB2312" w:cs="仿宋_GB2312" w:hint="eastAsia"/>
          <w:bCs/>
          <w:sz w:val="32"/>
          <w:szCs w:val="32"/>
        </w:rPr>
        <w:t>人，实有人数为</w:t>
      </w:r>
      <w:r w:rsidRPr="00080239">
        <w:rPr>
          <w:rFonts w:ascii="仿宋_GB2312" w:eastAsia="仿宋_GB2312" w:hAnsi="仿宋_GB2312" w:cs="仿宋_GB2312" w:hint="eastAsia"/>
          <w:bCs/>
          <w:color w:val="FF0000"/>
          <w:sz w:val="32"/>
          <w:szCs w:val="32"/>
        </w:rPr>
        <w:t>176</w:t>
      </w:r>
      <w:r w:rsidRPr="00080239">
        <w:rPr>
          <w:rFonts w:ascii="仿宋_GB2312" w:eastAsia="仿宋_GB2312" w:hAnsi="仿宋_GB2312" w:cs="仿宋_GB2312" w:hint="eastAsia"/>
          <w:bCs/>
          <w:sz w:val="32"/>
          <w:szCs w:val="32"/>
        </w:rPr>
        <w:t>人，与财政预算人数相符。</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2、单位机构设置情况</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1）市政府办共有内设机构24个：总值班室、文电科、常务秘书室、秘书一科、秘书二科、秘书三科、秘书四科、秘书五科、秘书六科、秘书七科、秘书八科、督查室、建议提案办理科、优化营商环境一科、优化营商环境二科、人事科、行政财务科、网络技术科、保卫科、机关党委、机关纪委、机关工会、离退休人员管理服务科和机关车队。</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（2）归口管理单位6个：市政府驻北京联络处（经费拨出单独核算）、市政府驻上海联络处（经费拨出单独核算）、市政府驻广深办事处（经费拨出单独核算）、市政府驻长沙联络处和市12345热线服务中心。</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（3）所属事业单位1个：市人民政府办公室事务中心。</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3、本年度重点工作计划</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（1）积极参谋辅政，力行政府职责。按照政府部门的职能划分，2024年市政府办加强领导、认真组织、积极调研、全力配合、严格督查、大力宣传，有条不紊地开展了一系列政府工作，确保政府职责执行到位。</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2）狠抓项目落实，推进项目建设。根据2024年的项目规划安排，市政府办积极响应市委市政府对年度绩效工作的安排部署，迅速行动，由我办绩效管理工作小组牵头开展绩效工作，各小组成员部门各司其职。市政府办党组就年度大院维修项目计划，多次开展专项调研会议，从严控制项目时效，自查自纠，从安全、质量、资金、时间等多方面着手，严格把关项目建设，将项目建设工作落到实处。</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lastRenderedPageBreak/>
        <w:t>（3）严格规范管理，强化制度建设。2024年，市政府办按照建立科学规范、完善的保障制度的要求，坚持以人为本、务实高效的原则，秉承积极创新、开拓进取的精神，把规范管理作为政府办工作的重点，把内控管理制度体系作为政府办工作的理论指导，致力健全体系，强化内部管理，提高政府的领导责任意识。</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4）加强教育实践，注重人才培养。积极开展教育实践活动，深入学习十八大文件精神与习近平讲话精神，分批次开展思想、道德与理论教育，以保持政府队伍的思想一致性，政治廉洁性，提高领导干部的政治素养，强化作风建设。坚持正确的用人导向，进一步加大人才培养力度，激励干部想事干事成事，提高政府党员干部队伍质量。2024年，政府办财务相关人员多次参与市财政局组织的讲座、培训，提高了政府办财务人员的业务素养与专业能力。</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（二）单位整体支出规模、使用方向和主要内容、涉及范围等</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2024年，市政府办整体支出合计数为7664.39万元，其中：</w:t>
      </w:r>
    </w:p>
    <w:p w:rsidR="00080239" w:rsidRPr="00080239" w:rsidRDefault="00080239" w:rsidP="00080239">
      <w:pPr>
        <w:numPr>
          <w:ilvl w:val="0"/>
          <w:numId w:val="2"/>
        </w:numPr>
        <w:spacing w:line="400" w:lineRule="exact"/>
        <w:ind w:left="0" w:firstLine="548"/>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基本支出合计4730.34万元，包括人员支出2913.41万元，公用支出1816.93万元；</w:t>
      </w:r>
    </w:p>
    <w:p w:rsidR="00080239" w:rsidRPr="00080239" w:rsidRDefault="00080239" w:rsidP="00080239">
      <w:pPr>
        <w:numPr>
          <w:ilvl w:val="0"/>
          <w:numId w:val="2"/>
        </w:numPr>
        <w:spacing w:line="400" w:lineRule="exact"/>
        <w:ind w:left="0" w:firstLine="548"/>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项目支出合计2914.05万元。</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p>
    <w:p w:rsidR="00080239" w:rsidRPr="00080239" w:rsidRDefault="00080239" w:rsidP="00080239">
      <w:pPr>
        <w:spacing w:line="400" w:lineRule="exact"/>
        <w:ind w:firstLineChars="200" w:firstLine="632"/>
        <w:rPr>
          <w:rFonts w:ascii="黑体" w:eastAsia="黑体" w:hAnsi="黑体" w:cs="黑体"/>
          <w:bCs/>
          <w:sz w:val="32"/>
          <w:szCs w:val="32"/>
        </w:rPr>
      </w:pPr>
      <w:r w:rsidRPr="00080239">
        <w:rPr>
          <w:rFonts w:ascii="黑体" w:eastAsia="黑体" w:hAnsi="黑体" w:cs="黑体" w:hint="eastAsia"/>
          <w:bCs/>
          <w:sz w:val="32"/>
          <w:szCs w:val="32"/>
        </w:rPr>
        <w:t>二、单位整体支出管理及使用情况</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（一）整体支出情况分析</w:t>
      </w:r>
    </w:p>
    <w:p w:rsidR="00080239" w:rsidRPr="00080239" w:rsidRDefault="00080239" w:rsidP="00080239">
      <w:pPr>
        <w:spacing w:line="400" w:lineRule="exact"/>
        <w:ind w:firstLineChars="200" w:firstLine="632"/>
        <w:rPr>
          <w:rFonts w:ascii="仿宋_GB2312" w:eastAsia="仿宋_GB2312" w:hAnsi="仿宋_GB2312" w:cs="仿宋_GB2312"/>
          <w:bCs/>
          <w:color w:val="000000" w:themeColor="text1"/>
          <w:sz w:val="32"/>
          <w:szCs w:val="32"/>
        </w:rPr>
      </w:pPr>
      <w:r w:rsidRPr="00080239">
        <w:rPr>
          <w:rFonts w:ascii="仿宋_GB2312" w:eastAsia="仿宋_GB2312" w:hAnsi="仿宋_GB2312" w:cs="仿宋_GB2312" w:hint="eastAsia"/>
          <w:bCs/>
          <w:color w:val="000000" w:themeColor="text1"/>
          <w:sz w:val="32"/>
          <w:szCs w:val="32"/>
        </w:rPr>
        <w:t>2024年，市政府办整体支出</w:t>
      </w:r>
      <w:r w:rsidRPr="00080239">
        <w:rPr>
          <w:rFonts w:ascii="仿宋_GB2312" w:eastAsia="仿宋_GB2312" w:hAnsi="仿宋_GB2312" w:cs="仿宋_GB2312" w:hint="eastAsia"/>
          <w:bCs/>
          <w:sz w:val="32"/>
          <w:szCs w:val="32"/>
        </w:rPr>
        <w:t>7664.39</w:t>
      </w:r>
      <w:r w:rsidRPr="00080239">
        <w:rPr>
          <w:rFonts w:ascii="仿宋_GB2312" w:eastAsia="仿宋_GB2312" w:hAnsi="仿宋_GB2312" w:cs="仿宋_GB2312" w:hint="eastAsia"/>
          <w:bCs/>
          <w:color w:val="000000" w:themeColor="text1"/>
          <w:sz w:val="32"/>
          <w:szCs w:val="32"/>
        </w:rPr>
        <w:t>万元，其中：</w:t>
      </w:r>
    </w:p>
    <w:p w:rsidR="00080239" w:rsidRPr="00080239" w:rsidRDefault="00080239" w:rsidP="00080239">
      <w:pPr>
        <w:numPr>
          <w:ilvl w:val="0"/>
          <w:numId w:val="3"/>
        </w:numPr>
        <w:spacing w:line="400" w:lineRule="exact"/>
        <w:ind w:left="0" w:firstLine="548"/>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基本支出4730.34元，占总支出61.72%，包括人员支出2913.41万元，占基本支出61.59%，公用支出 1816.93万元，占基本支出38.41%。</w:t>
      </w:r>
    </w:p>
    <w:p w:rsidR="00080239" w:rsidRPr="00080239" w:rsidRDefault="00080239" w:rsidP="00080239">
      <w:pPr>
        <w:numPr>
          <w:ilvl w:val="0"/>
          <w:numId w:val="3"/>
        </w:numPr>
        <w:spacing w:line="400" w:lineRule="exact"/>
        <w:ind w:left="0" w:firstLine="548"/>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项目支出2914.05万元，占总支出38.28%。</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全年市政府办整体支出情况基本符合财政相关规定，按照财政部门要求以及单位内部制定的相关流程进行审签报账。支出过程中，从严把关报账手续，严格控制现金使用，大力提倡公务卡刷卡，从源头上遏制滥用公款消费的现象。在支出预算编制上，人员经费按照编制数进行定额开支，公用经费按照人头经费进行分类开支。所有支出都按照单位内设部门进行分类</w:t>
      </w:r>
      <w:r w:rsidRPr="00080239">
        <w:rPr>
          <w:rFonts w:ascii="仿宋_GB2312" w:eastAsia="仿宋_GB2312" w:hAnsi="仿宋_GB2312" w:cs="仿宋_GB2312" w:hint="eastAsia"/>
          <w:bCs/>
          <w:sz w:val="32"/>
          <w:szCs w:val="32"/>
        </w:rPr>
        <w:lastRenderedPageBreak/>
        <w:t>分档，从严控制各个部门的经费开支。总体上而言，市政府办根据“总量控制、计划管理”的要求从严控制行政经费，压缩公用经费开支，严格按照预算科目的规定专款专用，保障单位整体支出趋于规范化、制度化。</w:t>
      </w:r>
    </w:p>
    <w:p w:rsidR="00080239" w:rsidRPr="00080239" w:rsidRDefault="00080239" w:rsidP="00080239">
      <w:pPr>
        <w:spacing w:line="400" w:lineRule="exact"/>
        <w:ind w:left="548"/>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（二）“三公经费”支出情况分析</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2024年，市政府办“三公经费”当年实际开支91.48万元，与去年同期相比下降了56.04%。其中：公务接待费9.36万元，占比10.23%，与去年同期相比下降了71.82%；公车运行维护费80.47万元，占比87.96%，与去年同期相比下降了32.11 %；公车购置费0万元，与去年同期相比下降了100 %；因公出国费1.65万元，与去年同期相比下降了32.1 %。</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全年市政府办坚持以“中央八项规定，省委九项规定，市委九条规定”为原则，严格控制“三公”开支，整体上减幅明显。</w:t>
      </w:r>
    </w:p>
    <w:p w:rsidR="00080239" w:rsidRPr="00080239" w:rsidRDefault="00080239" w:rsidP="00080239">
      <w:pPr>
        <w:spacing w:line="400" w:lineRule="exact"/>
        <w:ind w:left="548"/>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（三）资产管理情况分析</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截至2024年12月31日，我单位资产总额（账面净值，下同）6,756.84万元，较上年增长-3.72%，主要是划拨了三辆车辆、处置了一批达到使用年限且无法继续使用的资产。负债总额157.88万元,较上年增长113.16%，主要是应付的物业管理费、918周转房维修费。净资产6,598.97万元,较上年增长-4.97%。我单位行政单位国有资产6,756.84万元，占100.00%；事业单位国有资产0.00万元，占0.00%。流动资产236.26万元，较上年增长7.46%，占资产总额3.50%；固定资产5,444.30万元，较上年增长-4.19%, 占资产总额80.57%；在建工程0.00万元，较上年增长0.00%，占资产总额0.00%；长期投资0.00万元，占资产总额0.00%；无形资产1,076.28万元，较上年增长-3.53%，占资产总额15.93%；公共基础设施0.00万元，占资产总额0.00%；政府储备物资0.00万元，占资产总额0.00%；文物文化资产0.00万元，占资产总额0.00%；保障性住房0.00万元，占资产总额0.00%；其他资产0.00万元，占资产总额0.00%。房屋和构筑物5,053.67万元，占固定资产的92.82%（其中，房屋5,016.39万元，占固定资产的92.14%）；设备259.08万元，占4.76%（其中，车辆107.47万元，占1.97%，单价100万（含）以上（不含车辆）设备0.00万元，占0.00%）；文物和陈列品0.00万元，</w:t>
      </w:r>
      <w:r w:rsidRPr="00080239">
        <w:rPr>
          <w:rFonts w:ascii="仿宋_GB2312" w:eastAsia="仿宋_GB2312" w:hAnsi="仿宋_GB2312" w:cs="仿宋_GB2312" w:hint="eastAsia"/>
          <w:bCs/>
          <w:sz w:val="32"/>
          <w:szCs w:val="32"/>
        </w:rPr>
        <w:lastRenderedPageBreak/>
        <w:t>占0.00%；图书和档案0.00万元，占0.00%；家具和用具131.55万元，占2.42%；特种动植物0.00万元，占0.00%。</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按照厉行节约，物尽其用的原则，市政府办建立了单位资产管理制度，对资产进行统一建账，统一核算管理。每件固定资产的购置都要经过申购报批—定点采购—验收登记（查验报废情况）—资产入账的流程，并将资产的保管责任明确到具体使用部门或具体使用人。建立定期资产清查制度，对信息、手续不全的资产进行完善登记，对专用设备等进行安全性能检查，对临近或处于报废期的资产进行处置，保证了资产的安全高效，防止资产盗用流失。</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p>
    <w:p w:rsidR="00080239" w:rsidRPr="00080239" w:rsidRDefault="00080239" w:rsidP="00080239">
      <w:pPr>
        <w:spacing w:line="400" w:lineRule="exact"/>
        <w:ind w:firstLineChars="200" w:firstLine="632"/>
        <w:rPr>
          <w:rFonts w:ascii="黑体" w:eastAsia="黑体" w:hAnsi="黑体" w:cs="黑体"/>
          <w:bCs/>
          <w:sz w:val="32"/>
          <w:szCs w:val="32"/>
        </w:rPr>
      </w:pPr>
      <w:r w:rsidRPr="00080239">
        <w:rPr>
          <w:rFonts w:ascii="黑体" w:eastAsia="黑体" w:hAnsi="黑体" w:cs="黑体" w:hint="eastAsia"/>
          <w:bCs/>
          <w:sz w:val="32"/>
          <w:szCs w:val="32"/>
        </w:rPr>
        <w:t>三、单位专项组织实施情况</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2024年，市政府办整体财政支出项目取得良好成效。</w:t>
      </w:r>
    </w:p>
    <w:p w:rsidR="00080239" w:rsidRPr="00080239" w:rsidRDefault="00080239" w:rsidP="00080239">
      <w:pPr>
        <w:numPr>
          <w:ilvl w:val="0"/>
          <w:numId w:val="4"/>
        </w:numPr>
        <w:spacing w:line="400" w:lineRule="exact"/>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完成了预期目标任务</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2024年初，市政府办绩效管理工作小组经过开会讨论对全年绩效工作做出了全面、明确的指示，将全年项目进行任务分解，确定目标，责任到人，按期进行，确保每项工作进展有序。</w:t>
      </w:r>
    </w:p>
    <w:p w:rsidR="00080239" w:rsidRPr="00080239" w:rsidRDefault="00080239" w:rsidP="00080239">
      <w:pPr>
        <w:numPr>
          <w:ilvl w:val="0"/>
          <w:numId w:val="4"/>
        </w:numPr>
        <w:spacing w:line="400" w:lineRule="exact"/>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提高了政府工作效率</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办公室自2020年推行岳阳市协同办公平台以来，办文办事效率得到了极大提高，工作效率大幅提升。目前平台运行稳定，正在逐步优化系统，并开发其它功能。2024年，我办通过采取各项有效措施，改善工作环境，激发全体干部工作积极性，优化干部队伍结构，提高政府工作效率，全年绩效管理工作得到了全体党员干部的支持。</w:t>
      </w:r>
    </w:p>
    <w:p w:rsidR="00080239" w:rsidRPr="00080239" w:rsidRDefault="00080239" w:rsidP="00080239">
      <w:pPr>
        <w:numPr>
          <w:ilvl w:val="0"/>
          <w:numId w:val="4"/>
        </w:numPr>
        <w:spacing w:line="400" w:lineRule="exact"/>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 xml:space="preserve">改善了政府工作形象 </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2024年，市政府办定期组织机关大院维护维修，通过定期大院绿化维护、大院路面护坡整修、大楼整体维护等实际措施，不懈努力，以提高干部办事效率为基础，帮助提升政府形象，广大群众反映良好。</w:t>
      </w:r>
    </w:p>
    <w:p w:rsidR="00080239" w:rsidRPr="00080239" w:rsidRDefault="00080239" w:rsidP="00080239">
      <w:pPr>
        <w:spacing w:line="400" w:lineRule="exact"/>
        <w:ind w:firstLineChars="200" w:firstLine="632"/>
        <w:rPr>
          <w:rFonts w:ascii="黑体" w:eastAsia="黑体" w:hAnsi="黑体" w:cs="黑体"/>
          <w:bCs/>
          <w:sz w:val="32"/>
          <w:szCs w:val="32"/>
        </w:rPr>
      </w:pPr>
    </w:p>
    <w:p w:rsidR="00080239" w:rsidRPr="00080239" w:rsidRDefault="00080239" w:rsidP="00080239">
      <w:pPr>
        <w:spacing w:line="400" w:lineRule="exact"/>
        <w:ind w:firstLineChars="200" w:firstLine="632"/>
        <w:rPr>
          <w:rFonts w:ascii="黑体" w:eastAsia="黑体" w:hAnsi="黑体" w:cs="黑体"/>
          <w:bCs/>
          <w:sz w:val="32"/>
          <w:szCs w:val="32"/>
        </w:rPr>
      </w:pPr>
      <w:r w:rsidRPr="00080239">
        <w:rPr>
          <w:rFonts w:ascii="黑体" w:eastAsia="黑体" w:hAnsi="黑体" w:cs="黑体" w:hint="eastAsia"/>
          <w:bCs/>
          <w:sz w:val="32"/>
          <w:szCs w:val="32"/>
        </w:rPr>
        <w:t>四、单位整体支出绩效情况</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2024年，根据市政府办年初工作规划和重点工作安排，围绕市委、市政府的工作部署，积极履行职责，强化管理，较好地完成了年度工作目标。同时，通过预算收支的管理、建立内</w:t>
      </w:r>
      <w:r w:rsidRPr="00080239">
        <w:rPr>
          <w:rFonts w:ascii="仿宋_GB2312" w:eastAsia="仿宋_GB2312" w:hAnsi="仿宋_GB2312" w:cs="仿宋_GB2312" w:hint="eastAsia"/>
          <w:bCs/>
          <w:sz w:val="32"/>
          <w:szCs w:val="32"/>
        </w:rPr>
        <w:lastRenderedPageBreak/>
        <w:t>部规章制度、严格规范管理流程等一系列措施，单位年度整体支出管理得到有效提升。具体绩效情况如下：</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一）预算执行方面。本年预算配置控制较好，按照市委编办核定的单位财政供养人员编制数要求，实际在职人员数控制在编制人数范围内；因2024年行政事业单位人员基本工资普调，加上全年正常晋级晋档人员较多，导致单位整体人员经费有所增加；按照绩效目标设定的要求，项目执行过程中，在保证项目质量安全的前提下，单位合理控制成本，比预期支出有所减少；“三公经费”支出总额控制得当，总体较上年减幅明显。</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二）预算管理方面。市政府办按照2024年初制定的单位预算方案，无论是在资金、项目还是在支出模式、支出结构上，都严格管理，较好地完成了年初绩效预算的目标。市政府办党组十分重视单位绩效管理工作。2024年全年，在办党组的领导下，多次召开单位绩效管理工作会，对一定时段的每一个项目及具体工作进行讨论、研究及部署，工作小组的每一位成员都积极参与其中，共同努力，取得了较好的成绩。</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（三）项目实施方面，</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在办党组的高度重视及正确领导下，工作小组在绩效管理过程中保证了各个项目按时按量的完成：办公大楼正常运转，机关大院正常运行，大院物业反映良好，大院安保安全有保障，办公大楼整体维护及时，政务中心整体改造项目顺利完工。</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p>
    <w:p w:rsidR="00080239" w:rsidRPr="00080239" w:rsidRDefault="00080239" w:rsidP="00080239">
      <w:pPr>
        <w:spacing w:line="400" w:lineRule="exact"/>
        <w:ind w:firstLineChars="200" w:firstLine="632"/>
        <w:rPr>
          <w:rFonts w:ascii="黑体" w:eastAsia="黑体" w:hAnsi="黑体" w:cs="黑体"/>
          <w:bCs/>
          <w:sz w:val="32"/>
          <w:szCs w:val="32"/>
        </w:rPr>
      </w:pPr>
      <w:r w:rsidRPr="00080239">
        <w:rPr>
          <w:rFonts w:ascii="黑体" w:eastAsia="黑体" w:hAnsi="黑体" w:cs="黑体" w:hint="eastAsia"/>
          <w:bCs/>
          <w:sz w:val="32"/>
          <w:szCs w:val="32"/>
        </w:rPr>
        <w:t>五、存在的主要问题</w:t>
      </w:r>
    </w:p>
    <w:p w:rsidR="00080239" w:rsidRPr="00080239" w:rsidRDefault="00080239" w:rsidP="00080239">
      <w:pPr>
        <w:spacing w:line="400" w:lineRule="exact"/>
        <w:ind w:firstLineChars="200" w:firstLine="632"/>
        <w:rPr>
          <w:rFonts w:ascii="仿宋_GB2312" w:eastAsia="仿宋_GB2312"/>
          <w:bCs/>
          <w:sz w:val="32"/>
          <w:szCs w:val="32"/>
        </w:rPr>
      </w:pPr>
      <w:r w:rsidRPr="00080239">
        <w:rPr>
          <w:rFonts w:ascii="仿宋_GB2312" w:eastAsia="仿宋_GB2312" w:hint="eastAsia"/>
          <w:bCs/>
          <w:sz w:val="32"/>
          <w:szCs w:val="32"/>
        </w:rPr>
        <w:t>（一）组织保障尚待强化</w:t>
      </w:r>
    </w:p>
    <w:p w:rsidR="00080239" w:rsidRPr="00080239" w:rsidRDefault="00080239" w:rsidP="00080239">
      <w:pPr>
        <w:spacing w:line="400" w:lineRule="exact"/>
        <w:ind w:firstLineChars="200" w:firstLine="632"/>
        <w:rPr>
          <w:rFonts w:ascii="仿宋_GB2312" w:eastAsia="仿宋_GB2312"/>
          <w:bCs/>
          <w:sz w:val="32"/>
          <w:szCs w:val="32"/>
        </w:rPr>
      </w:pPr>
      <w:r w:rsidRPr="00080239">
        <w:rPr>
          <w:rFonts w:ascii="仿宋_GB2312" w:eastAsia="仿宋_GB2312" w:hint="eastAsia"/>
          <w:bCs/>
          <w:sz w:val="32"/>
          <w:szCs w:val="32"/>
        </w:rPr>
        <w:t>市政府办党组十分重视绩效管理工作，专门成立了预算绩效管理机构，负责组织、指导、测评本单位和归口管理单位等的预算绩效管理工作。按照财政局要求，根据年初绩效目标，定期跟踪测评单位整体绩效情况，并建立了预算绩效管理联络员制度。但由于市政府办人员紧缺、绩效工作专业性强等因素，机构人员配备不全，缺少专业人员指导培训，有一人身兼多职的情况，虽能保障绩效工作的有序进行，但影响了绩效工作的时效性以及整体绩效评估的优质性。</w:t>
      </w:r>
    </w:p>
    <w:p w:rsidR="00080239" w:rsidRPr="00080239" w:rsidRDefault="00080239" w:rsidP="00080239">
      <w:pPr>
        <w:spacing w:line="400" w:lineRule="exact"/>
        <w:ind w:firstLineChars="200" w:firstLine="632"/>
        <w:rPr>
          <w:rFonts w:ascii="仿宋_GB2312" w:eastAsia="仿宋_GB2312"/>
          <w:bCs/>
          <w:sz w:val="32"/>
          <w:szCs w:val="32"/>
        </w:rPr>
      </w:pPr>
      <w:r w:rsidRPr="00080239">
        <w:rPr>
          <w:rFonts w:ascii="仿宋_GB2312" w:eastAsia="仿宋_GB2312" w:hint="eastAsia"/>
          <w:bCs/>
          <w:sz w:val="32"/>
          <w:szCs w:val="32"/>
        </w:rPr>
        <w:t>（二）制度体系尚待健全</w:t>
      </w:r>
    </w:p>
    <w:p w:rsidR="00080239" w:rsidRPr="00080239" w:rsidRDefault="00080239" w:rsidP="00080239">
      <w:pPr>
        <w:spacing w:line="400" w:lineRule="exact"/>
        <w:ind w:firstLineChars="200" w:firstLine="632"/>
        <w:rPr>
          <w:rFonts w:ascii="仿宋_GB2312" w:eastAsia="仿宋_GB2312"/>
          <w:bCs/>
          <w:sz w:val="32"/>
          <w:szCs w:val="32"/>
        </w:rPr>
      </w:pPr>
      <w:r w:rsidRPr="00080239">
        <w:rPr>
          <w:rFonts w:ascii="仿宋_GB2312" w:eastAsia="仿宋_GB2312" w:hint="eastAsia"/>
          <w:bCs/>
          <w:sz w:val="32"/>
          <w:szCs w:val="32"/>
        </w:rPr>
        <w:t>由于绩效预算考核工作开始不久，对于该项工作熟悉度不</w:t>
      </w:r>
      <w:r w:rsidRPr="00080239">
        <w:rPr>
          <w:rFonts w:ascii="仿宋_GB2312" w:eastAsia="仿宋_GB2312" w:hint="eastAsia"/>
          <w:bCs/>
          <w:sz w:val="32"/>
          <w:szCs w:val="32"/>
        </w:rPr>
        <w:lastRenderedPageBreak/>
        <w:t>够，市政府办在规范绩效目标、绩效跟踪、绩效评价、结果运用等各项管理制度，和财政局对于确保绩效管理与预算编制、执行、监督的有效衔接方面还有待进一步加强。单位与预算部门建立的本部门预算绩效管理制度和操作流程，与财政局的相关规定要求相比较，还存在一定的差距。同时，还需要逐步完善中介机构及专家参与绩效管理的相关措施。整体而言，市政府办在绩效管理工作当中建立了一系列保障制度，但为了将绩效工作做精做细，还应更充分考虑各方因素，建立健全绩效管理机制体系。</w:t>
      </w:r>
    </w:p>
    <w:p w:rsidR="00080239" w:rsidRPr="00080239" w:rsidRDefault="00080239" w:rsidP="00080239">
      <w:pPr>
        <w:spacing w:line="400" w:lineRule="exact"/>
        <w:ind w:firstLineChars="200" w:firstLine="632"/>
        <w:rPr>
          <w:rFonts w:ascii="仿宋_GB2312" w:eastAsia="仿宋_GB2312"/>
          <w:bCs/>
          <w:sz w:val="32"/>
          <w:szCs w:val="32"/>
        </w:rPr>
      </w:pPr>
      <w:r w:rsidRPr="00080239">
        <w:rPr>
          <w:rFonts w:ascii="仿宋_GB2312" w:eastAsia="仿宋_GB2312" w:hint="eastAsia"/>
          <w:bCs/>
          <w:sz w:val="32"/>
          <w:szCs w:val="32"/>
        </w:rPr>
        <w:t>（三）预算管理尚待完善</w:t>
      </w:r>
    </w:p>
    <w:p w:rsidR="00080239" w:rsidRPr="00080239" w:rsidRDefault="00080239" w:rsidP="00080239">
      <w:pPr>
        <w:spacing w:line="400" w:lineRule="exact"/>
        <w:ind w:firstLineChars="200" w:firstLine="632"/>
        <w:rPr>
          <w:rFonts w:ascii="仿宋_GB2312" w:eastAsia="仿宋_GB2312"/>
          <w:bCs/>
          <w:sz w:val="32"/>
          <w:szCs w:val="32"/>
        </w:rPr>
      </w:pPr>
      <w:r w:rsidRPr="00080239">
        <w:rPr>
          <w:rFonts w:ascii="仿宋_GB2312" w:eastAsia="仿宋_GB2312" w:hint="eastAsia"/>
          <w:bCs/>
          <w:sz w:val="32"/>
          <w:szCs w:val="32"/>
        </w:rPr>
        <w:t>尽管制定了一系列管理制度来保障预算工作的正常运行，但在实际工作当中仍避免不了出现一些资金拨付提前或滞后等现象；“三公经费”相比去年有所缩减，但按照中央、省市部署要求还有待更进一步规范控制；项目推进虽按期完工，但全年项目建设过程中的资金管理、目标执行等还应更加严格。</w:t>
      </w:r>
    </w:p>
    <w:p w:rsidR="00080239" w:rsidRPr="00080239" w:rsidRDefault="00080239" w:rsidP="00080239">
      <w:pPr>
        <w:spacing w:line="400" w:lineRule="exact"/>
        <w:ind w:firstLineChars="200" w:firstLine="632"/>
        <w:rPr>
          <w:rFonts w:ascii="仿宋_GB2312" w:eastAsia="仿宋_GB2312"/>
          <w:bCs/>
          <w:sz w:val="32"/>
          <w:szCs w:val="32"/>
        </w:rPr>
      </w:pPr>
    </w:p>
    <w:p w:rsidR="00080239" w:rsidRPr="00080239" w:rsidRDefault="00080239" w:rsidP="00080239">
      <w:pPr>
        <w:spacing w:line="400" w:lineRule="exact"/>
        <w:ind w:firstLineChars="200" w:firstLine="632"/>
        <w:rPr>
          <w:rFonts w:ascii="黑体" w:eastAsia="黑体" w:hAnsi="黑体" w:cs="黑体"/>
          <w:bCs/>
          <w:sz w:val="32"/>
          <w:szCs w:val="32"/>
        </w:rPr>
      </w:pPr>
      <w:r w:rsidRPr="00080239">
        <w:rPr>
          <w:rFonts w:ascii="黑体" w:eastAsia="黑体" w:hAnsi="黑体" w:cs="黑体" w:hint="eastAsia"/>
          <w:bCs/>
          <w:sz w:val="32"/>
          <w:szCs w:val="32"/>
        </w:rPr>
        <w:t>六、改进措施和有关建议</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（一）加强组织领导，健全体制机制</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在现有预算绩效管理工作小组的基础上，加强小组成员的配备以及各成员业务知识培训，形成办党组统一领导，预算绩效管理工作小组具体负责的预算支出绩效管理机制和工作机制，确保绩效建设工作扎实深入开展。</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（二） 严格制定目标任务，落实责任分解</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从项目立项、资金运用、进度计划、绩效目标、效益指标等方面将各个绩效指标量化、细化。并按照工作内容、工作措施、工作时限和预期目标效果，进一步分解细化，将责任落实到人，确保项目建设持续有效。</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（三） 继续加强绩效监控，有效整改督查</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注重对绩效运行过程实施全目标、全过程、全方位的监控，积极跟踪年度目标任务执行情况，分析各项绩效指标阶段性完成情况。根据绩效跟踪监控情况，及时、有效地开展项目绩效自评，通过评价结果，发现问题、解决问题，进一步完善项目绩效管理工作。同时，定期采集绩效运行的信息并进行汇总分析，按时向财政局提交《专项资金绩效监控情况表》，确保绩效</w:t>
      </w:r>
      <w:r w:rsidRPr="00080239">
        <w:rPr>
          <w:rFonts w:ascii="仿宋_GB2312" w:eastAsia="仿宋_GB2312" w:hAnsi="仿宋_GB2312" w:cs="仿宋_GB2312" w:hint="eastAsia"/>
          <w:bCs/>
          <w:sz w:val="32"/>
          <w:szCs w:val="32"/>
        </w:rPr>
        <w:lastRenderedPageBreak/>
        <w:t>目标如期实现。</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（四）加强财务管理，规范预算支出</w:t>
      </w:r>
    </w:p>
    <w:p w:rsidR="00080239"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严格按照预算规定的项目及用途开支经费，进一步规范财务审批手续，控制现金支出，细化“三公经费”管理。完善项目资金管理制度，杜绝挪用和挤占项目资金，按期拨付项目工程款，确保项目实施高效顺利。同时，将预算执行分析、项目管理分析常态化，为预算绩效管理工作提供有力保障。</w:t>
      </w:r>
    </w:p>
    <w:p w:rsidR="00080239" w:rsidRPr="00080239" w:rsidRDefault="00080239" w:rsidP="00080239">
      <w:pPr>
        <w:pStyle w:val="a6"/>
        <w:numPr>
          <w:ilvl w:val="0"/>
          <w:numId w:val="5"/>
        </w:numPr>
        <w:spacing w:line="400" w:lineRule="exact"/>
        <w:ind w:firstLineChars="0"/>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完善绩效管理，推进制度建设</w:t>
      </w:r>
    </w:p>
    <w:p w:rsidR="00DB247F" w:rsidRPr="00080239" w:rsidRDefault="00080239" w:rsidP="00080239">
      <w:pPr>
        <w:spacing w:line="400" w:lineRule="exact"/>
        <w:ind w:firstLineChars="200" w:firstLine="632"/>
        <w:rPr>
          <w:rFonts w:ascii="仿宋_GB2312" w:eastAsia="仿宋_GB2312" w:hAnsi="仿宋_GB2312" w:cs="仿宋_GB2312"/>
          <w:bCs/>
          <w:sz w:val="32"/>
          <w:szCs w:val="32"/>
        </w:rPr>
      </w:pPr>
      <w:r w:rsidRPr="00080239">
        <w:rPr>
          <w:rFonts w:ascii="仿宋_GB2312" w:eastAsia="仿宋_GB2312" w:hAnsi="仿宋_GB2312" w:cs="仿宋_GB2312" w:hint="eastAsia"/>
          <w:bCs/>
          <w:sz w:val="32"/>
          <w:szCs w:val="32"/>
        </w:rPr>
        <w:t>不断巩固、完善和发展好绩效管理工作制度建设体系，坚持与时俱进，坚持开拓创新，抓好勤政制度与廉政制度的建设。从管理薄弱环节和制度漏洞入手，有针对性地建立健全规章制度，加强对制度执行情况的监督检查，严肃处理违反制度的行为，确保制度管人、管财、管物机制的运用。</w:t>
      </w:r>
    </w:p>
    <w:sectPr w:rsidR="00DB247F" w:rsidRPr="00080239" w:rsidSect="00080239">
      <w:footerReference w:type="even" r:id="rId7"/>
      <w:footerReference w:type="default" r:id="rId8"/>
      <w:pgSz w:w="11906" w:h="16838"/>
      <w:pgMar w:top="1588" w:right="1588" w:bottom="1588" w:left="1588" w:header="851" w:footer="992" w:gutter="0"/>
      <w:pgNumType w:start="1"/>
      <w:cols w:space="720"/>
      <w:docGrid w:type="linesAndChars" w:linePitch="602" w:charSpace="-7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3AF" w:rsidRDefault="00FD03AF" w:rsidP="00DB247F">
      <w:r>
        <w:separator/>
      </w:r>
    </w:p>
  </w:endnote>
  <w:endnote w:type="continuationSeparator" w:id="1">
    <w:p w:rsidR="00FD03AF" w:rsidRDefault="00FD03AF" w:rsidP="00DB24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7F" w:rsidRDefault="00EB18AB">
    <w:pPr>
      <w:framePr w:wrap="around" w:vAnchor="text" w:hAnchor="margin" w:xAlign="outside" w:y="1"/>
    </w:pPr>
    <w:r>
      <w:fldChar w:fldCharType="begin"/>
    </w:r>
    <w:r w:rsidR="00C90AE4">
      <w:instrText xml:space="preserve">PAGE  </w:instrText>
    </w:r>
    <w:r>
      <w:fldChar w:fldCharType="separate"/>
    </w:r>
    <w:r w:rsidR="00C90AE4">
      <w:t>- 15 -</w:t>
    </w:r>
    <w:r>
      <w:fldChar w:fldCharType="end"/>
    </w:r>
  </w:p>
  <w:p w:rsidR="00DB247F" w:rsidRDefault="00DB247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7F" w:rsidRDefault="00C90AE4">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EB18AB">
      <w:rPr>
        <w:rStyle w:val="a5"/>
        <w:sz w:val="24"/>
        <w:szCs w:val="24"/>
      </w:rPr>
      <w:fldChar w:fldCharType="begin"/>
    </w:r>
    <w:r>
      <w:rPr>
        <w:rStyle w:val="a5"/>
        <w:sz w:val="24"/>
        <w:szCs w:val="24"/>
      </w:rPr>
      <w:instrText xml:space="preserve">PAGE  </w:instrText>
    </w:r>
    <w:r w:rsidR="00EB18AB">
      <w:rPr>
        <w:rStyle w:val="a5"/>
        <w:sz w:val="24"/>
        <w:szCs w:val="24"/>
      </w:rPr>
      <w:fldChar w:fldCharType="separate"/>
    </w:r>
    <w:r w:rsidR="00080239">
      <w:rPr>
        <w:rStyle w:val="a5"/>
        <w:noProof/>
        <w:sz w:val="24"/>
        <w:szCs w:val="24"/>
      </w:rPr>
      <w:t>8</w:t>
    </w:r>
    <w:r w:rsidR="00EB18AB">
      <w:rPr>
        <w:rStyle w:val="a5"/>
        <w:sz w:val="24"/>
        <w:szCs w:val="24"/>
      </w:rPr>
      <w:fldChar w:fldCharType="end"/>
    </w:r>
    <w:r>
      <w:rPr>
        <w:rStyle w:val="a5"/>
        <w:rFonts w:hint="eastAsia"/>
        <w:sz w:val="24"/>
        <w:szCs w:val="24"/>
      </w:rPr>
      <w:t xml:space="preserve"> </w:t>
    </w:r>
    <w:r>
      <w:rPr>
        <w:rStyle w:val="a5"/>
        <w:rFonts w:hint="eastAsia"/>
        <w:sz w:val="24"/>
        <w:szCs w:val="24"/>
      </w:rPr>
      <w:t>—</w:t>
    </w:r>
  </w:p>
  <w:p w:rsidR="00DB247F" w:rsidRDefault="00DB247F">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3AF" w:rsidRDefault="00FD03AF" w:rsidP="00DB247F">
      <w:r>
        <w:separator/>
      </w:r>
    </w:p>
  </w:footnote>
  <w:footnote w:type="continuationSeparator" w:id="1">
    <w:p w:rsidR="00FD03AF" w:rsidRDefault="00FD03AF" w:rsidP="00DB24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16A"/>
    <w:multiLevelType w:val="multilevel"/>
    <w:tmpl w:val="0B09116A"/>
    <w:lvl w:ilvl="0">
      <w:start w:val="1"/>
      <w:numFmt w:val="japaneseCounting"/>
      <w:lvlText w:val="（%1）"/>
      <w:lvlJc w:val="left"/>
      <w:pPr>
        <w:ind w:left="1418" w:hanging="870"/>
      </w:pPr>
      <w:rPr>
        <w:rFonts w:hint="default"/>
      </w:rPr>
    </w:lvl>
    <w:lvl w:ilvl="1">
      <w:start w:val="1"/>
      <w:numFmt w:val="lowerLetter"/>
      <w:lvlText w:val="%2)"/>
      <w:lvlJc w:val="left"/>
      <w:pPr>
        <w:ind w:left="1388" w:hanging="420"/>
      </w:pPr>
    </w:lvl>
    <w:lvl w:ilvl="2">
      <w:start w:val="1"/>
      <w:numFmt w:val="lowerRoman"/>
      <w:lvlText w:val="%3."/>
      <w:lvlJc w:val="right"/>
      <w:pPr>
        <w:ind w:left="1808" w:hanging="420"/>
      </w:pPr>
    </w:lvl>
    <w:lvl w:ilvl="3">
      <w:start w:val="1"/>
      <w:numFmt w:val="decimal"/>
      <w:lvlText w:val="%4."/>
      <w:lvlJc w:val="left"/>
      <w:pPr>
        <w:ind w:left="2228" w:hanging="420"/>
      </w:pPr>
    </w:lvl>
    <w:lvl w:ilvl="4">
      <w:start w:val="1"/>
      <w:numFmt w:val="lowerLetter"/>
      <w:lvlText w:val="%5)"/>
      <w:lvlJc w:val="left"/>
      <w:pPr>
        <w:ind w:left="2648" w:hanging="420"/>
      </w:pPr>
    </w:lvl>
    <w:lvl w:ilvl="5">
      <w:start w:val="1"/>
      <w:numFmt w:val="lowerRoman"/>
      <w:lvlText w:val="%6."/>
      <w:lvlJc w:val="right"/>
      <w:pPr>
        <w:ind w:left="3068" w:hanging="420"/>
      </w:pPr>
    </w:lvl>
    <w:lvl w:ilvl="6">
      <w:start w:val="1"/>
      <w:numFmt w:val="decimal"/>
      <w:lvlText w:val="%7."/>
      <w:lvlJc w:val="left"/>
      <w:pPr>
        <w:ind w:left="3488" w:hanging="420"/>
      </w:pPr>
    </w:lvl>
    <w:lvl w:ilvl="7">
      <w:start w:val="1"/>
      <w:numFmt w:val="lowerLetter"/>
      <w:lvlText w:val="%8)"/>
      <w:lvlJc w:val="left"/>
      <w:pPr>
        <w:ind w:left="3908" w:hanging="420"/>
      </w:pPr>
    </w:lvl>
    <w:lvl w:ilvl="8">
      <w:start w:val="1"/>
      <w:numFmt w:val="lowerRoman"/>
      <w:lvlText w:val="%9."/>
      <w:lvlJc w:val="right"/>
      <w:pPr>
        <w:ind w:left="4328" w:hanging="420"/>
      </w:pPr>
    </w:lvl>
  </w:abstractNum>
  <w:abstractNum w:abstractNumId="1">
    <w:nsid w:val="1E7523BB"/>
    <w:multiLevelType w:val="multilevel"/>
    <w:tmpl w:val="1E7523BB"/>
    <w:lvl w:ilvl="0">
      <w:start w:val="1"/>
      <w:numFmt w:val="decimalEnclosedCircle"/>
      <w:lvlText w:val="%1"/>
      <w:lvlJc w:val="left"/>
      <w:pPr>
        <w:ind w:left="1069" w:hanging="360"/>
      </w:pPr>
      <w:rPr>
        <w:rFonts w:hint="default"/>
      </w:rPr>
    </w:lvl>
    <w:lvl w:ilvl="1">
      <w:start w:val="1"/>
      <w:numFmt w:val="lowerLetter"/>
      <w:lvlText w:val="%2)"/>
      <w:lvlJc w:val="left"/>
      <w:pPr>
        <w:ind w:left="1388" w:hanging="420"/>
      </w:pPr>
    </w:lvl>
    <w:lvl w:ilvl="2">
      <w:start w:val="1"/>
      <w:numFmt w:val="lowerRoman"/>
      <w:lvlText w:val="%3."/>
      <w:lvlJc w:val="right"/>
      <w:pPr>
        <w:ind w:left="1808" w:hanging="420"/>
      </w:pPr>
    </w:lvl>
    <w:lvl w:ilvl="3">
      <w:start w:val="1"/>
      <w:numFmt w:val="decimal"/>
      <w:lvlText w:val="%4."/>
      <w:lvlJc w:val="left"/>
      <w:pPr>
        <w:ind w:left="2228" w:hanging="420"/>
      </w:pPr>
    </w:lvl>
    <w:lvl w:ilvl="4">
      <w:start w:val="1"/>
      <w:numFmt w:val="lowerLetter"/>
      <w:lvlText w:val="%5)"/>
      <w:lvlJc w:val="left"/>
      <w:pPr>
        <w:ind w:left="2648" w:hanging="420"/>
      </w:pPr>
    </w:lvl>
    <w:lvl w:ilvl="5">
      <w:start w:val="1"/>
      <w:numFmt w:val="lowerRoman"/>
      <w:lvlText w:val="%6."/>
      <w:lvlJc w:val="right"/>
      <w:pPr>
        <w:ind w:left="3068" w:hanging="420"/>
      </w:pPr>
    </w:lvl>
    <w:lvl w:ilvl="6">
      <w:start w:val="1"/>
      <w:numFmt w:val="decimal"/>
      <w:lvlText w:val="%7."/>
      <w:lvlJc w:val="left"/>
      <w:pPr>
        <w:ind w:left="3488" w:hanging="420"/>
      </w:pPr>
    </w:lvl>
    <w:lvl w:ilvl="7">
      <w:start w:val="1"/>
      <w:numFmt w:val="lowerLetter"/>
      <w:lvlText w:val="%8)"/>
      <w:lvlJc w:val="left"/>
      <w:pPr>
        <w:ind w:left="3908" w:hanging="420"/>
      </w:pPr>
    </w:lvl>
    <w:lvl w:ilvl="8">
      <w:start w:val="1"/>
      <w:numFmt w:val="lowerRoman"/>
      <w:lvlText w:val="%9."/>
      <w:lvlJc w:val="right"/>
      <w:pPr>
        <w:ind w:left="4328" w:hanging="420"/>
      </w:pPr>
    </w:lvl>
  </w:abstractNum>
  <w:abstractNum w:abstractNumId="2">
    <w:nsid w:val="32A50EE6"/>
    <w:multiLevelType w:val="multilevel"/>
    <w:tmpl w:val="32A50EE6"/>
    <w:lvl w:ilvl="0">
      <w:start w:val="1"/>
      <w:numFmt w:val="decimalEnclosedCircle"/>
      <w:lvlText w:val="%1"/>
      <w:lvlJc w:val="left"/>
      <w:pPr>
        <w:ind w:left="908" w:hanging="360"/>
      </w:pPr>
      <w:rPr>
        <w:rFonts w:hint="default"/>
      </w:rPr>
    </w:lvl>
    <w:lvl w:ilvl="1">
      <w:start w:val="1"/>
      <w:numFmt w:val="lowerLetter"/>
      <w:lvlText w:val="%2)"/>
      <w:lvlJc w:val="left"/>
      <w:pPr>
        <w:ind w:left="1388" w:hanging="420"/>
      </w:pPr>
    </w:lvl>
    <w:lvl w:ilvl="2">
      <w:start w:val="1"/>
      <w:numFmt w:val="lowerRoman"/>
      <w:lvlText w:val="%3."/>
      <w:lvlJc w:val="right"/>
      <w:pPr>
        <w:ind w:left="1808" w:hanging="420"/>
      </w:pPr>
    </w:lvl>
    <w:lvl w:ilvl="3">
      <w:start w:val="1"/>
      <w:numFmt w:val="decimal"/>
      <w:lvlText w:val="%4."/>
      <w:lvlJc w:val="left"/>
      <w:pPr>
        <w:ind w:left="2228" w:hanging="420"/>
      </w:pPr>
    </w:lvl>
    <w:lvl w:ilvl="4">
      <w:start w:val="1"/>
      <w:numFmt w:val="lowerLetter"/>
      <w:lvlText w:val="%5)"/>
      <w:lvlJc w:val="left"/>
      <w:pPr>
        <w:ind w:left="2648" w:hanging="420"/>
      </w:pPr>
    </w:lvl>
    <w:lvl w:ilvl="5">
      <w:start w:val="1"/>
      <w:numFmt w:val="lowerRoman"/>
      <w:lvlText w:val="%6."/>
      <w:lvlJc w:val="right"/>
      <w:pPr>
        <w:ind w:left="3068" w:hanging="420"/>
      </w:pPr>
    </w:lvl>
    <w:lvl w:ilvl="6">
      <w:start w:val="1"/>
      <w:numFmt w:val="decimal"/>
      <w:lvlText w:val="%7."/>
      <w:lvlJc w:val="left"/>
      <w:pPr>
        <w:ind w:left="3488" w:hanging="420"/>
      </w:pPr>
    </w:lvl>
    <w:lvl w:ilvl="7">
      <w:start w:val="1"/>
      <w:numFmt w:val="lowerLetter"/>
      <w:lvlText w:val="%8)"/>
      <w:lvlJc w:val="left"/>
      <w:pPr>
        <w:ind w:left="3908" w:hanging="420"/>
      </w:pPr>
    </w:lvl>
    <w:lvl w:ilvl="8">
      <w:start w:val="1"/>
      <w:numFmt w:val="lowerRoman"/>
      <w:lvlText w:val="%9."/>
      <w:lvlJc w:val="right"/>
      <w:pPr>
        <w:ind w:left="4328" w:hanging="420"/>
      </w:pPr>
    </w:lvl>
  </w:abstractNum>
  <w:abstractNum w:abstractNumId="3">
    <w:nsid w:val="39E260CB"/>
    <w:multiLevelType w:val="multilevel"/>
    <w:tmpl w:val="39E260CB"/>
    <w:lvl w:ilvl="0">
      <w:start w:val="5"/>
      <w:numFmt w:val="japaneseCounting"/>
      <w:lvlText w:val="（%1）"/>
      <w:lvlJc w:val="left"/>
      <w:pPr>
        <w:ind w:left="1433" w:hanging="885"/>
      </w:pPr>
      <w:rPr>
        <w:rFonts w:hint="default"/>
      </w:rPr>
    </w:lvl>
    <w:lvl w:ilvl="1">
      <w:start w:val="1"/>
      <w:numFmt w:val="lowerLetter"/>
      <w:lvlText w:val="%2)"/>
      <w:lvlJc w:val="left"/>
      <w:pPr>
        <w:ind w:left="1388" w:hanging="420"/>
      </w:pPr>
    </w:lvl>
    <w:lvl w:ilvl="2">
      <w:start w:val="1"/>
      <w:numFmt w:val="lowerRoman"/>
      <w:lvlText w:val="%3."/>
      <w:lvlJc w:val="right"/>
      <w:pPr>
        <w:ind w:left="1808" w:hanging="420"/>
      </w:pPr>
    </w:lvl>
    <w:lvl w:ilvl="3">
      <w:start w:val="1"/>
      <w:numFmt w:val="decimal"/>
      <w:lvlText w:val="%4."/>
      <w:lvlJc w:val="left"/>
      <w:pPr>
        <w:ind w:left="2228" w:hanging="420"/>
      </w:pPr>
    </w:lvl>
    <w:lvl w:ilvl="4">
      <w:start w:val="1"/>
      <w:numFmt w:val="lowerLetter"/>
      <w:lvlText w:val="%5)"/>
      <w:lvlJc w:val="left"/>
      <w:pPr>
        <w:ind w:left="2648" w:hanging="420"/>
      </w:pPr>
    </w:lvl>
    <w:lvl w:ilvl="5">
      <w:start w:val="1"/>
      <w:numFmt w:val="lowerRoman"/>
      <w:lvlText w:val="%6."/>
      <w:lvlJc w:val="right"/>
      <w:pPr>
        <w:ind w:left="3068" w:hanging="420"/>
      </w:pPr>
    </w:lvl>
    <w:lvl w:ilvl="6">
      <w:start w:val="1"/>
      <w:numFmt w:val="decimal"/>
      <w:lvlText w:val="%7."/>
      <w:lvlJc w:val="left"/>
      <w:pPr>
        <w:ind w:left="3488" w:hanging="420"/>
      </w:pPr>
    </w:lvl>
    <w:lvl w:ilvl="7">
      <w:start w:val="1"/>
      <w:numFmt w:val="lowerLetter"/>
      <w:lvlText w:val="%8)"/>
      <w:lvlJc w:val="left"/>
      <w:pPr>
        <w:ind w:left="3908" w:hanging="420"/>
      </w:pPr>
    </w:lvl>
    <w:lvl w:ilvl="8">
      <w:start w:val="1"/>
      <w:numFmt w:val="lowerRoman"/>
      <w:lvlText w:val="%9."/>
      <w:lvlJc w:val="right"/>
      <w:pPr>
        <w:ind w:left="4328" w:hanging="420"/>
      </w:pPr>
    </w:lvl>
  </w:abstractNum>
  <w:abstractNum w:abstractNumId="4">
    <w:nsid w:val="446B0270"/>
    <w:multiLevelType w:val="multilevel"/>
    <w:tmpl w:val="446B027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UyZmRmZDFhZTljNGYxMGE1ZTlhZWU0NzJjZTBlZGYifQ=="/>
  </w:docVars>
  <w:rsids>
    <w:rsidRoot w:val="00762F72"/>
    <w:rsid w:val="0000151D"/>
    <w:rsid w:val="000019E6"/>
    <w:rsid w:val="00041E81"/>
    <w:rsid w:val="00061D71"/>
    <w:rsid w:val="00063DC7"/>
    <w:rsid w:val="00080239"/>
    <w:rsid w:val="000B2680"/>
    <w:rsid w:val="000C627D"/>
    <w:rsid w:val="000D3BE9"/>
    <w:rsid w:val="000E70C4"/>
    <w:rsid w:val="00106312"/>
    <w:rsid w:val="00113EA7"/>
    <w:rsid w:val="00121A35"/>
    <w:rsid w:val="001633D7"/>
    <w:rsid w:val="00170C5D"/>
    <w:rsid w:val="00177F88"/>
    <w:rsid w:val="00187331"/>
    <w:rsid w:val="0019703B"/>
    <w:rsid w:val="001A67A9"/>
    <w:rsid w:val="001C03C6"/>
    <w:rsid w:val="001C45BC"/>
    <w:rsid w:val="001D27A9"/>
    <w:rsid w:val="00204248"/>
    <w:rsid w:val="00257879"/>
    <w:rsid w:val="00266111"/>
    <w:rsid w:val="00284CBB"/>
    <w:rsid w:val="00285B3F"/>
    <w:rsid w:val="002A20AA"/>
    <w:rsid w:val="002C4804"/>
    <w:rsid w:val="002D409D"/>
    <w:rsid w:val="002E4A45"/>
    <w:rsid w:val="00317AB6"/>
    <w:rsid w:val="00322DA2"/>
    <w:rsid w:val="00344904"/>
    <w:rsid w:val="003868F8"/>
    <w:rsid w:val="003A736A"/>
    <w:rsid w:val="003B30A5"/>
    <w:rsid w:val="003C378C"/>
    <w:rsid w:val="00407172"/>
    <w:rsid w:val="004118D1"/>
    <w:rsid w:val="00424EAB"/>
    <w:rsid w:val="00430633"/>
    <w:rsid w:val="00430E2F"/>
    <w:rsid w:val="00456426"/>
    <w:rsid w:val="004844DA"/>
    <w:rsid w:val="00495295"/>
    <w:rsid w:val="004966AD"/>
    <w:rsid w:val="004C46B2"/>
    <w:rsid w:val="004D3828"/>
    <w:rsid w:val="004D3FC6"/>
    <w:rsid w:val="004F4B4B"/>
    <w:rsid w:val="005023F4"/>
    <w:rsid w:val="00505546"/>
    <w:rsid w:val="00513E21"/>
    <w:rsid w:val="005152D9"/>
    <w:rsid w:val="00517B48"/>
    <w:rsid w:val="00547671"/>
    <w:rsid w:val="00552FCD"/>
    <w:rsid w:val="005550C8"/>
    <w:rsid w:val="005642C5"/>
    <w:rsid w:val="005944E3"/>
    <w:rsid w:val="005E695B"/>
    <w:rsid w:val="005F1CB5"/>
    <w:rsid w:val="00602E74"/>
    <w:rsid w:val="00667E89"/>
    <w:rsid w:val="006C0B87"/>
    <w:rsid w:val="006C2596"/>
    <w:rsid w:val="006D695D"/>
    <w:rsid w:val="006D7C56"/>
    <w:rsid w:val="006F2573"/>
    <w:rsid w:val="00707852"/>
    <w:rsid w:val="007302C0"/>
    <w:rsid w:val="00760132"/>
    <w:rsid w:val="00762F72"/>
    <w:rsid w:val="00781A0C"/>
    <w:rsid w:val="007865B0"/>
    <w:rsid w:val="00787208"/>
    <w:rsid w:val="007931CC"/>
    <w:rsid w:val="00797AC8"/>
    <w:rsid w:val="007C3FBF"/>
    <w:rsid w:val="007E443F"/>
    <w:rsid w:val="00831301"/>
    <w:rsid w:val="008426EC"/>
    <w:rsid w:val="00852B64"/>
    <w:rsid w:val="00894050"/>
    <w:rsid w:val="00897D77"/>
    <w:rsid w:val="008B31A2"/>
    <w:rsid w:val="008B5057"/>
    <w:rsid w:val="008B7EAD"/>
    <w:rsid w:val="008C4BDE"/>
    <w:rsid w:val="008D18E0"/>
    <w:rsid w:val="00905358"/>
    <w:rsid w:val="00925B4F"/>
    <w:rsid w:val="0093721E"/>
    <w:rsid w:val="00954A43"/>
    <w:rsid w:val="009610D7"/>
    <w:rsid w:val="00961754"/>
    <w:rsid w:val="00965A47"/>
    <w:rsid w:val="0097302B"/>
    <w:rsid w:val="00985C1B"/>
    <w:rsid w:val="00985FC1"/>
    <w:rsid w:val="009E31EE"/>
    <w:rsid w:val="009F7B54"/>
    <w:rsid w:val="00A41D4B"/>
    <w:rsid w:val="00A723CB"/>
    <w:rsid w:val="00AA5678"/>
    <w:rsid w:val="00AC25D7"/>
    <w:rsid w:val="00AD3A3C"/>
    <w:rsid w:val="00AE7BEF"/>
    <w:rsid w:val="00B46EE6"/>
    <w:rsid w:val="00B47D48"/>
    <w:rsid w:val="00B721E4"/>
    <w:rsid w:val="00B72352"/>
    <w:rsid w:val="00B76063"/>
    <w:rsid w:val="00B9057A"/>
    <w:rsid w:val="00BD2A63"/>
    <w:rsid w:val="00C03E11"/>
    <w:rsid w:val="00C1696D"/>
    <w:rsid w:val="00C17739"/>
    <w:rsid w:val="00C31777"/>
    <w:rsid w:val="00C318C9"/>
    <w:rsid w:val="00C332B1"/>
    <w:rsid w:val="00C53319"/>
    <w:rsid w:val="00C67202"/>
    <w:rsid w:val="00C856B6"/>
    <w:rsid w:val="00C90AE4"/>
    <w:rsid w:val="00CB6D11"/>
    <w:rsid w:val="00CC2354"/>
    <w:rsid w:val="00CD33AA"/>
    <w:rsid w:val="00CF1E3E"/>
    <w:rsid w:val="00D00184"/>
    <w:rsid w:val="00D56846"/>
    <w:rsid w:val="00D645C9"/>
    <w:rsid w:val="00D65010"/>
    <w:rsid w:val="00DB247F"/>
    <w:rsid w:val="00DC4FED"/>
    <w:rsid w:val="00DE0E8D"/>
    <w:rsid w:val="00DF78CA"/>
    <w:rsid w:val="00E3376D"/>
    <w:rsid w:val="00E43370"/>
    <w:rsid w:val="00E50A3B"/>
    <w:rsid w:val="00E524AA"/>
    <w:rsid w:val="00E5736E"/>
    <w:rsid w:val="00E5778E"/>
    <w:rsid w:val="00E57D1B"/>
    <w:rsid w:val="00E622CB"/>
    <w:rsid w:val="00E75742"/>
    <w:rsid w:val="00E764A9"/>
    <w:rsid w:val="00E973A6"/>
    <w:rsid w:val="00EB18AB"/>
    <w:rsid w:val="00EC0D43"/>
    <w:rsid w:val="00F14F4E"/>
    <w:rsid w:val="00F45339"/>
    <w:rsid w:val="00F51D10"/>
    <w:rsid w:val="00F74FAA"/>
    <w:rsid w:val="00F806BD"/>
    <w:rsid w:val="00FA1D56"/>
    <w:rsid w:val="00FD0213"/>
    <w:rsid w:val="00FD03AF"/>
    <w:rsid w:val="2FA67B6E"/>
    <w:rsid w:val="7CE05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47F"/>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qFormat/>
    <w:rsid w:val="00DB247F"/>
    <w:pPr>
      <w:keepNext/>
      <w:keepLines/>
      <w:spacing w:line="360" w:lineRule="auto"/>
      <w:outlineLvl w:val="2"/>
    </w:pPr>
    <w:rPr>
      <w:rFonts w:eastAsia="楷体_GB2312"/>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DB247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B247F"/>
    <w:pPr>
      <w:pBdr>
        <w:bottom w:val="single" w:sz="6" w:space="1" w:color="auto"/>
      </w:pBdr>
      <w:tabs>
        <w:tab w:val="center" w:pos="4153"/>
        <w:tab w:val="right" w:pos="8306"/>
      </w:tabs>
      <w:snapToGrid w:val="0"/>
      <w:jc w:val="center"/>
    </w:pPr>
    <w:rPr>
      <w:sz w:val="18"/>
      <w:szCs w:val="18"/>
    </w:rPr>
  </w:style>
  <w:style w:type="character" w:styleId="a5">
    <w:name w:val="page number"/>
    <w:qFormat/>
    <w:rsid w:val="00DB247F"/>
  </w:style>
  <w:style w:type="character" w:customStyle="1" w:styleId="Char0">
    <w:name w:val="页眉 Char"/>
    <w:basedOn w:val="a0"/>
    <w:link w:val="a4"/>
    <w:uiPriority w:val="99"/>
    <w:semiHidden/>
    <w:qFormat/>
    <w:rsid w:val="00DB247F"/>
    <w:rPr>
      <w:rFonts w:ascii="Times New Roman" w:eastAsia="宋体" w:hAnsi="Times New Roman" w:cs="Times New Roman"/>
      <w:sz w:val="18"/>
      <w:szCs w:val="18"/>
    </w:rPr>
  </w:style>
  <w:style w:type="character" w:customStyle="1" w:styleId="Char">
    <w:name w:val="页脚 Char"/>
    <w:basedOn w:val="a0"/>
    <w:link w:val="a3"/>
    <w:qFormat/>
    <w:rsid w:val="00DB247F"/>
    <w:rPr>
      <w:rFonts w:ascii="Times New Roman" w:eastAsia="宋体" w:hAnsi="Times New Roman" w:cs="Times New Roman"/>
      <w:sz w:val="18"/>
      <w:szCs w:val="18"/>
    </w:rPr>
  </w:style>
  <w:style w:type="character" w:customStyle="1" w:styleId="3Char">
    <w:name w:val="标题 3 Char"/>
    <w:basedOn w:val="a0"/>
    <w:link w:val="3"/>
    <w:qFormat/>
    <w:rsid w:val="00DB247F"/>
    <w:rPr>
      <w:rFonts w:ascii="Times New Roman" w:eastAsia="楷体_GB2312" w:hAnsi="Times New Roman" w:cs="Times New Roman"/>
      <w:b/>
      <w:sz w:val="32"/>
      <w:szCs w:val="24"/>
    </w:rPr>
  </w:style>
  <w:style w:type="paragraph" w:styleId="a6">
    <w:name w:val="List Paragraph"/>
    <w:basedOn w:val="a"/>
    <w:uiPriority w:val="34"/>
    <w:qFormat/>
    <w:rsid w:val="00DB247F"/>
    <w:pPr>
      <w:ind w:firstLineChars="200" w:firstLine="420"/>
    </w:pPr>
  </w:style>
  <w:style w:type="paragraph" w:styleId="a7">
    <w:name w:val="Normal (Web)"/>
    <w:basedOn w:val="a"/>
    <w:uiPriority w:val="99"/>
    <w:semiHidden/>
    <w:unhideWhenUsed/>
    <w:qFormat/>
    <w:rsid w:val="000B268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8</Pages>
  <Words>784</Words>
  <Characters>4474</Characters>
  <Application>Microsoft Office Word</Application>
  <DocSecurity>0</DocSecurity>
  <Lines>37</Lines>
  <Paragraphs>10</Paragraphs>
  <ScaleCrop>false</ScaleCrop>
  <Company>微软中国</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罗强力</cp:lastModifiedBy>
  <cp:revision>98</cp:revision>
  <cp:lastPrinted>2022-06-13T02:38:00Z</cp:lastPrinted>
  <dcterms:created xsi:type="dcterms:W3CDTF">2019-08-06T00:21:00Z</dcterms:created>
  <dcterms:modified xsi:type="dcterms:W3CDTF">2025-06-16T01:59:00Z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B02F1D17FE614629B683D5518035ECD9_12</vt:lpwstr>
  </property>
</Properties>
</file>