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6"/>
        <w:jc w:val="center"/>
        <w:rPr>
          <w:sz w:val="56"/>
          <w:szCs w:val="56"/>
        </w:rPr>
      </w:pPr>
    </w:p>
    <w:p w14:paraId="3BDF5AB8">
      <w:pPr>
        <w:pStyle w:val="16"/>
        <w:jc w:val="center"/>
        <w:rPr>
          <w:sz w:val="56"/>
          <w:szCs w:val="56"/>
        </w:rPr>
      </w:pPr>
    </w:p>
    <w:p w14:paraId="60CA4575">
      <w:pPr>
        <w:pStyle w:val="16"/>
        <w:jc w:val="center"/>
        <w:rPr>
          <w:sz w:val="84"/>
          <w:szCs w:val="84"/>
        </w:rPr>
      </w:pPr>
    </w:p>
    <w:p w14:paraId="215EB31D">
      <w:pPr>
        <w:pStyle w:val="16"/>
        <w:jc w:val="center"/>
        <w:rPr>
          <w:sz w:val="84"/>
          <w:szCs w:val="84"/>
        </w:rPr>
      </w:pPr>
    </w:p>
    <w:p w14:paraId="376C860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岳阳市公路建设和养护中心</w:t>
      </w:r>
      <w:r>
        <w:rPr>
          <w:rFonts w:hint="eastAsia" w:ascii="方正小标宋_GBK" w:hAnsi="方正小标宋_GBK" w:eastAsia="方正小标宋_GBK" w:cs="方正小标宋_GBK"/>
          <w:sz w:val="84"/>
          <w:szCs w:val="84"/>
        </w:rPr>
        <w:t>部门决算</w:t>
      </w:r>
    </w:p>
    <w:p w14:paraId="3A699C16">
      <w:pPr>
        <w:pStyle w:val="16"/>
        <w:jc w:val="center"/>
        <w:rPr>
          <w:rFonts w:hint="eastAsia" w:ascii="方正小标宋_GBK" w:hAnsi="方正小标宋_GBK" w:eastAsia="方正小标宋_GBK" w:cs="方正小标宋_GBK"/>
          <w:sz w:val="56"/>
          <w:szCs w:val="56"/>
        </w:rPr>
      </w:pPr>
    </w:p>
    <w:p w14:paraId="72C8FB58">
      <w:pPr>
        <w:pStyle w:val="16"/>
        <w:jc w:val="center"/>
        <w:rPr>
          <w:sz w:val="56"/>
          <w:szCs w:val="56"/>
        </w:rPr>
      </w:pPr>
    </w:p>
    <w:p w14:paraId="25018D25">
      <w:pPr>
        <w:pStyle w:val="16"/>
        <w:jc w:val="center"/>
        <w:rPr>
          <w:sz w:val="56"/>
          <w:szCs w:val="56"/>
        </w:rPr>
      </w:pPr>
    </w:p>
    <w:p w14:paraId="5EE73A38">
      <w:pPr>
        <w:pStyle w:val="16"/>
        <w:jc w:val="center"/>
        <w:rPr>
          <w:sz w:val="56"/>
          <w:szCs w:val="56"/>
        </w:rPr>
      </w:pPr>
    </w:p>
    <w:p w14:paraId="297571C5">
      <w:pPr>
        <w:pStyle w:val="16"/>
        <w:jc w:val="center"/>
        <w:rPr>
          <w:sz w:val="32"/>
          <w:szCs w:val="32"/>
        </w:rPr>
      </w:pPr>
    </w:p>
    <w:p w14:paraId="08493D1E">
      <w:pPr>
        <w:pStyle w:val="16"/>
        <w:jc w:val="center"/>
        <w:rPr>
          <w:sz w:val="32"/>
          <w:szCs w:val="32"/>
        </w:rPr>
      </w:pPr>
    </w:p>
    <w:p w14:paraId="5BD6E8BD">
      <w:pPr>
        <w:pStyle w:val="16"/>
        <w:jc w:val="center"/>
        <w:rPr>
          <w:sz w:val="32"/>
          <w:szCs w:val="32"/>
        </w:rPr>
      </w:pPr>
    </w:p>
    <w:p w14:paraId="1062A3B4">
      <w:pPr>
        <w:pStyle w:val="16"/>
        <w:jc w:val="center"/>
        <w:rPr>
          <w:sz w:val="32"/>
          <w:szCs w:val="32"/>
        </w:rPr>
      </w:pPr>
    </w:p>
    <w:p w14:paraId="6311DFC7">
      <w:pPr>
        <w:pStyle w:val="16"/>
        <w:jc w:val="center"/>
        <w:rPr>
          <w:sz w:val="32"/>
          <w:szCs w:val="32"/>
        </w:rPr>
      </w:pPr>
    </w:p>
    <w:p w14:paraId="50228290">
      <w:pPr>
        <w:pStyle w:val="16"/>
        <w:spacing w:line="540" w:lineRule="exact"/>
        <w:jc w:val="center"/>
        <w:rPr>
          <w:sz w:val="56"/>
          <w:szCs w:val="56"/>
        </w:rPr>
      </w:pPr>
    </w:p>
    <w:p w14:paraId="459C483D">
      <w:pPr>
        <w:pStyle w:val="16"/>
        <w:spacing w:line="500" w:lineRule="exact"/>
        <w:jc w:val="both"/>
        <w:rPr>
          <w:b/>
          <w:sz w:val="36"/>
          <w:szCs w:val="28"/>
        </w:rPr>
      </w:pPr>
    </w:p>
    <w:p w14:paraId="24F3309B">
      <w:pPr>
        <w:pStyle w:val="16"/>
        <w:spacing w:line="500" w:lineRule="exact"/>
        <w:jc w:val="center"/>
        <w:rPr>
          <w:b/>
          <w:sz w:val="36"/>
          <w:szCs w:val="28"/>
        </w:rPr>
      </w:pPr>
      <w:r>
        <w:rPr>
          <w:rFonts w:hint="eastAsia"/>
          <w:b/>
          <w:sz w:val="36"/>
          <w:szCs w:val="28"/>
        </w:rPr>
        <w:t>目录</w:t>
      </w:r>
    </w:p>
    <w:p w14:paraId="6CBD0C22">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岳阳市公路建设和养护中心</w:t>
      </w:r>
      <w:r>
        <w:rPr>
          <w:rFonts w:hint="eastAsia" w:ascii="黑体" w:hAnsi="黑体" w:eastAsia="黑体" w:cs="黑体"/>
          <w:b w:val="0"/>
          <w:bCs/>
          <w:sz w:val="28"/>
          <w:szCs w:val="28"/>
        </w:rPr>
        <w:t>概况</w:t>
      </w:r>
    </w:p>
    <w:p w14:paraId="060CB1D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6"/>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6"/>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6"/>
        <w:jc w:val="center"/>
        <w:rPr>
          <w:rFonts w:hint="eastAsia" w:ascii="方正小标宋_GBK" w:hAnsi="方正小标宋_GBK" w:eastAsia="方正小标宋_GBK" w:cs="方正小标宋_GBK"/>
          <w:sz w:val="84"/>
          <w:szCs w:val="84"/>
        </w:rPr>
      </w:pPr>
    </w:p>
    <w:p w14:paraId="1095DEAB">
      <w:pPr>
        <w:pStyle w:val="16"/>
        <w:jc w:val="center"/>
        <w:rPr>
          <w:rFonts w:hint="eastAsia" w:ascii="方正小标宋_GBK" w:hAnsi="方正小标宋_GBK" w:eastAsia="方正小标宋_GBK" w:cs="方正小标宋_GBK"/>
          <w:sz w:val="84"/>
          <w:szCs w:val="84"/>
        </w:rPr>
      </w:pPr>
    </w:p>
    <w:p w14:paraId="0DEEC24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6"/>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岳阳市公路建设和养护中心</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87F7B25">
      <w:pPr>
        <w:pStyle w:val="10"/>
        <w:shd w:val="clear" w:color="auto" w:fill="FFFFFF"/>
        <w:spacing w:before="0" w:beforeLines="0" w:beforeAutospacing="0" w:after="0" w:afterLines="0" w:afterAutospacing="0" w:line="480" w:lineRule="auto"/>
        <w:ind w:firstLine="480"/>
        <w:jc w:val="both"/>
        <w:rPr>
          <w:rFonts w:hint="eastAsia" w:ascii="仿宋" w:hAnsi="仿宋" w:eastAsia="仿宋" w:cs="Times New Roman"/>
          <w:kern w:val="2"/>
          <w:sz w:val="32"/>
          <w:szCs w:val="24"/>
          <w:lang w:val="en-US" w:eastAsia="zh-CN"/>
        </w:rPr>
      </w:pPr>
      <w:r>
        <w:rPr>
          <w:rFonts w:hint="eastAsia" w:ascii="Times New Roman" w:hAnsi="Times New Roman" w:eastAsia="仿宋_GB2312" w:cs="仿宋_GB2312"/>
          <w:sz w:val="32"/>
          <w:szCs w:val="32"/>
        </w:rPr>
        <w:t>（一）</w:t>
      </w:r>
      <w:r>
        <w:rPr>
          <w:rFonts w:hint="eastAsia" w:ascii="仿宋" w:hAnsi="仿宋" w:eastAsia="仿宋" w:cs="Times New Roman"/>
          <w:kern w:val="2"/>
          <w:sz w:val="32"/>
          <w:szCs w:val="24"/>
          <w:lang w:val="en-US" w:eastAsia="zh-CN"/>
        </w:rPr>
        <w:t>为机关提供支持保障的职能</w:t>
      </w:r>
    </w:p>
    <w:p w14:paraId="395999FE">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1、</w:t>
      </w:r>
      <w:r>
        <w:rPr>
          <w:rFonts w:hint="eastAsia" w:ascii="仿宋" w:hAnsi="仿宋" w:eastAsia="仿宋" w:cs="Times New Roman"/>
          <w:kern w:val="2"/>
          <w:sz w:val="32"/>
          <w:szCs w:val="24"/>
        </w:rPr>
        <w:t>参与拟订全市公路行业发展战略、中长期发展规划;协助开展公路项目前期工作审查相关事务性工作，负责协调实施主体推进规划实施。</w:t>
      </w:r>
    </w:p>
    <w:p w14:paraId="5DDB6A42">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2、</w:t>
      </w:r>
      <w:r>
        <w:rPr>
          <w:rFonts w:hint="eastAsia" w:ascii="仿宋" w:hAnsi="仿宋" w:eastAsia="仿宋" w:cs="Times New Roman"/>
          <w:kern w:val="2"/>
          <w:sz w:val="32"/>
          <w:szCs w:val="24"/>
        </w:rPr>
        <w:t>参与普通国省道建设、政造年度建议计划初审工作，编制普通国省道年度养护计划；负责全市普通国省道建设、改造、养护行业管理的业务指导和绩效考校工作；指导、协调全市普通国省道建设、改造、养护管理工作；</w:t>
      </w:r>
      <w:r>
        <w:rPr>
          <w:rFonts w:hint="eastAsia" w:ascii="仿宋" w:hAnsi="仿宋" w:eastAsia="仿宋" w:cs="Times New Roman"/>
          <w:kern w:val="2"/>
          <w:sz w:val="32"/>
          <w:szCs w:val="24"/>
          <w:lang w:val="en-US" w:eastAsia="zh-CN"/>
        </w:rPr>
        <w:t>负责</w:t>
      </w:r>
      <w:r>
        <w:rPr>
          <w:rFonts w:hint="eastAsia" w:ascii="仿宋" w:hAnsi="仿宋" w:eastAsia="仿宋" w:cs="Times New Roman"/>
          <w:kern w:val="2"/>
          <w:sz w:val="32"/>
          <w:szCs w:val="24"/>
        </w:rPr>
        <w:t>107国道岳阳段和市区城市道路以外普通公路的建设、养护、路产路权保护及汽车渡运等事务性工作。</w:t>
      </w:r>
    </w:p>
    <w:p w14:paraId="47134084">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3、</w:t>
      </w:r>
      <w:r>
        <w:rPr>
          <w:rFonts w:hint="eastAsia" w:ascii="仿宋" w:hAnsi="仿宋" w:eastAsia="仿宋" w:cs="Times New Roman"/>
          <w:kern w:val="2"/>
          <w:sz w:val="32"/>
          <w:szCs w:val="24"/>
        </w:rPr>
        <w:t>负责公路行业管理的行政辅助工作；负责指导公路行业安全生产监督和公路交通战备管理的事务性工作。</w:t>
      </w:r>
    </w:p>
    <w:p w14:paraId="094212A0">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4、</w:t>
      </w:r>
      <w:r>
        <w:rPr>
          <w:rFonts w:hint="eastAsia" w:ascii="仿宋" w:hAnsi="仿宋" w:eastAsia="仿宋" w:cs="Times New Roman"/>
          <w:kern w:val="2"/>
          <w:sz w:val="32"/>
          <w:szCs w:val="24"/>
        </w:rPr>
        <w:t>指导、督促公路养护机构维护好公路和公路设施；负责全市公路路网运行监测及养护的技术支撑工作;负责公路应急物资储备和应急设备装备保障，协调指挥全市国省道应急抢险救援工作。</w:t>
      </w:r>
    </w:p>
    <w:p w14:paraId="5A74AC5A">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5、</w:t>
      </w:r>
      <w:r>
        <w:rPr>
          <w:rFonts w:hint="eastAsia" w:ascii="仿宋" w:hAnsi="仿宋" w:eastAsia="仿宋" w:cs="Times New Roman"/>
          <w:kern w:val="2"/>
          <w:sz w:val="32"/>
          <w:szCs w:val="24"/>
        </w:rPr>
        <w:t>负责涉路行政审批的前置技术审核和涉路施工组织方案的安全风险评估、验收，为公路路政工作提供技术文撑和服务保障工作;配合公路抗法机构对公路路产损坏赔补偿进行调查取证，监督执行路损恢复预算与计划。</w:t>
      </w:r>
    </w:p>
    <w:p w14:paraId="64BA83A5">
      <w:pPr>
        <w:pStyle w:val="10"/>
        <w:shd w:val="clear" w:color="auto" w:fill="FFFFFF"/>
        <w:spacing w:before="0" w:beforeLines="0" w:beforeAutospacing="0" w:after="0" w:afterLines="0" w:afterAutospacing="0" w:line="480" w:lineRule="auto"/>
        <w:ind w:firstLine="640" w:firstLineChars="200"/>
        <w:jc w:val="both"/>
        <w:rPr>
          <w:rFonts w:hint="eastAsia" w:ascii="Times New Roman" w:hAnsi="Times New Roman" w:eastAsia="仿宋_GB2312" w:cs="仿宋_GB2312"/>
          <w:sz w:val="32"/>
          <w:szCs w:val="32"/>
        </w:rPr>
      </w:pPr>
      <w:r>
        <w:rPr>
          <w:rFonts w:hint="eastAsia" w:ascii="仿宋" w:hAnsi="仿宋" w:eastAsia="仿宋" w:cs="Times New Roman"/>
          <w:kern w:val="2"/>
          <w:sz w:val="32"/>
          <w:szCs w:val="24"/>
          <w:lang w:val="en-US" w:eastAsia="zh-CN"/>
        </w:rPr>
        <w:t>6、</w:t>
      </w:r>
      <w:r>
        <w:rPr>
          <w:rFonts w:hint="eastAsia" w:ascii="仿宋" w:hAnsi="仿宋" w:eastAsia="仿宋" w:cs="Times New Roman"/>
          <w:kern w:val="2"/>
          <w:sz w:val="32"/>
          <w:szCs w:val="24"/>
        </w:rPr>
        <w:t>负责全市农村公路建设、养护和行业管理的业务指导和绩效考核;协助编制全市农村公路建养年度计划并监督实施的行政辅助工作。</w:t>
      </w:r>
    </w:p>
    <w:p w14:paraId="6D05C94C">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仿宋" w:hAnsi="仿宋" w:eastAsia="仿宋" w:cs="Times New Roman"/>
          <w:kern w:val="2"/>
          <w:sz w:val="32"/>
          <w:szCs w:val="24"/>
        </w:rPr>
        <w:t>面向社会提供公益服务的职能</w:t>
      </w:r>
    </w:p>
    <w:p w14:paraId="433F762D">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1、</w:t>
      </w:r>
      <w:r>
        <w:rPr>
          <w:rFonts w:hint="eastAsia" w:ascii="仿宋" w:hAnsi="仿宋" w:eastAsia="仿宋" w:cs="Times New Roman"/>
          <w:kern w:val="2"/>
          <w:sz w:val="32"/>
          <w:szCs w:val="24"/>
        </w:rPr>
        <w:t>负责公路突发事件的监测、预报和预警工作，及时向社会发布有关公路运行信息。</w:t>
      </w:r>
    </w:p>
    <w:p w14:paraId="4C20ADDA">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2、</w:t>
      </w:r>
      <w:r>
        <w:rPr>
          <w:rFonts w:hint="eastAsia" w:ascii="仿宋" w:hAnsi="仿宋" w:eastAsia="仿宋" w:cs="Times New Roman"/>
          <w:kern w:val="2"/>
          <w:sz w:val="32"/>
          <w:szCs w:val="24"/>
        </w:rPr>
        <w:t>负责公路服务区运营服务质量、行业监管的事务性工作。</w:t>
      </w:r>
    </w:p>
    <w:p w14:paraId="7C59D8CD">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rPr>
      </w:pPr>
      <w:r>
        <w:rPr>
          <w:rFonts w:hint="eastAsia" w:ascii="仿宋" w:hAnsi="仿宋" w:eastAsia="仿宋" w:cs="Times New Roman"/>
          <w:kern w:val="2"/>
          <w:sz w:val="32"/>
          <w:szCs w:val="24"/>
          <w:lang w:val="en-US" w:eastAsia="zh-CN"/>
        </w:rPr>
        <w:t>3、</w:t>
      </w:r>
      <w:r>
        <w:rPr>
          <w:rFonts w:hint="eastAsia" w:ascii="仿宋" w:hAnsi="仿宋" w:eastAsia="仿宋" w:cs="Times New Roman"/>
          <w:kern w:val="2"/>
          <w:sz w:val="32"/>
          <w:szCs w:val="24"/>
        </w:rPr>
        <w:t>负责公路行业统计、信息调查、技术交流、科技成果转化、信息化、智能化等事务性工作；协助开展公路环保节能减排等事务性工作。</w:t>
      </w:r>
    </w:p>
    <w:p w14:paraId="47817C7F">
      <w:pPr>
        <w:pStyle w:val="10"/>
        <w:shd w:val="clear" w:color="auto" w:fill="FFFFFF"/>
        <w:spacing w:before="0" w:beforeLines="0" w:beforeAutospacing="0" w:after="0" w:afterLines="0" w:afterAutospacing="0" w:line="480" w:lineRule="auto"/>
        <w:ind w:firstLine="640" w:firstLineChars="200"/>
        <w:jc w:val="both"/>
        <w:rPr>
          <w:rFonts w:hint="eastAsia" w:ascii="仿宋" w:hAnsi="仿宋" w:eastAsia="仿宋" w:cs="Times New Roman"/>
          <w:kern w:val="2"/>
          <w:sz w:val="32"/>
          <w:szCs w:val="24"/>
          <w:lang w:eastAsia="zh-CN"/>
        </w:rPr>
      </w:pPr>
      <w:r>
        <w:rPr>
          <w:rFonts w:hint="eastAsia" w:ascii="仿宋" w:hAnsi="仿宋" w:eastAsia="仿宋" w:cs="Times New Roman"/>
          <w:kern w:val="2"/>
          <w:sz w:val="32"/>
          <w:szCs w:val="24"/>
          <w:lang w:eastAsia="zh-CN"/>
        </w:rPr>
        <w:t>（</w:t>
      </w:r>
      <w:r>
        <w:rPr>
          <w:rFonts w:hint="eastAsia" w:ascii="仿宋" w:hAnsi="仿宋" w:eastAsia="仿宋" w:cs="Times New Roman"/>
          <w:kern w:val="2"/>
          <w:sz w:val="32"/>
          <w:szCs w:val="24"/>
          <w:lang w:val="en-US" w:eastAsia="zh-CN"/>
        </w:rPr>
        <w:t>三</w:t>
      </w:r>
      <w:r>
        <w:rPr>
          <w:rFonts w:hint="eastAsia" w:ascii="仿宋" w:hAnsi="仿宋" w:eastAsia="仿宋" w:cs="Times New Roman"/>
          <w:kern w:val="2"/>
          <w:sz w:val="32"/>
          <w:szCs w:val="24"/>
          <w:lang w:eastAsia="zh-CN"/>
        </w:rPr>
        <w:t>）</w:t>
      </w:r>
      <w:r>
        <w:rPr>
          <w:rFonts w:hint="eastAsia" w:ascii="仿宋" w:hAnsi="仿宋" w:eastAsia="仿宋" w:cs="Times New Roman"/>
          <w:kern w:val="2"/>
          <w:sz w:val="32"/>
          <w:szCs w:val="24"/>
        </w:rPr>
        <w:t>完成市交通运输局交办的</w:t>
      </w:r>
      <w:r>
        <w:rPr>
          <w:rFonts w:hint="eastAsia" w:ascii="仿宋" w:hAnsi="仿宋" w:eastAsia="仿宋" w:cs="Times New Roman"/>
          <w:kern w:val="2"/>
          <w:sz w:val="32"/>
          <w:szCs w:val="24"/>
          <w:lang w:val="en-US" w:eastAsia="zh-CN"/>
        </w:rPr>
        <w:t>其他任务。</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B2EEC5A">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单位内设机构包括：</w:t>
      </w:r>
      <w:r>
        <w:rPr>
          <w:rFonts w:hint="eastAsia" w:ascii="仿宋" w:hAnsi="仿宋" w:eastAsia="仿宋" w:cs="Times New Roman"/>
          <w:sz w:val="32"/>
          <w:szCs w:val="24"/>
          <w:lang w:val="en-US" w:eastAsia="zh-CN"/>
        </w:rPr>
        <w:t>综合部，公路养护部，工程建设部，计划统计部，农村公路部，安全事务部，路产路权事务部，国有资产管理部，财务部，法规（信访）事务部，审计事务部，人事部等十二个部门。</w:t>
      </w:r>
    </w:p>
    <w:p w14:paraId="38F8B787">
      <w:pPr>
        <w:widowControl/>
        <w:spacing w:line="600" w:lineRule="exact"/>
        <w:ind w:firstLine="640" w:firstLineChars="200"/>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岳阳市公路建设和养护中心</w:t>
      </w:r>
      <w:r>
        <w:rPr>
          <w:rFonts w:hint="eastAsia" w:ascii="Times New Roman" w:hAnsi="Times New Roman" w:eastAsia="仿宋_GB2312" w:cs="仿宋_GB2312"/>
          <w:bCs/>
          <w:kern w:val="0"/>
          <w:sz w:val="32"/>
          <w:szCs w:val="32"/>
        </w:rPr>
        <w:t>单位本级及</w:t>
      </w:r>
      <w:r>
        <w:rPr>
          <w:rFonts w:hint="eastAsia" w:ascii="Times New Roman" w:hAnsi="Times New Roman" w:eastAsia="仿宋_GB2312" w:cs="仿宋_GB2312"/>
          <w:bCs/>
          <w:kern w:val="0"/>
          <w:sz w:val="32"/>
          <w:szCs w:val="32"/>
          <w:lang w:val="en-US" w:eastAsia="zh-CN"/>
        </w:rPr>
        <w:t>下属三家正科级公益一类事业单位：岳阳市公路科技服务中心，岳阳市107国道养护中心，岳阳市城区公路事务中心；两家副科级公益一类事业单位：岳阳市公路建设和养护中心退休人员管理服务中心，岳阳市北门战备渡口管理所。</w:t>
      </w: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6"/>
        <w:jc w:val="center"/>
        <w:rPr>
          <w:rFonts w:hint="eastAsia" w:ascii="方正小标宋_GBK" w:hAnsi="方正小标宋_GBK" w:eastAsia="方正小标宋_GBK" w:cs="方正小标宋_GBK"/>
          <w:sz w:val="84"/>
          <w:szCs w:val="84"/>
        </w:rPr>
      </w:pPr>
    </w:p>
    <w:p w14:paraId="2B49F2B7">
      <w:pPr>
        <w:pStyle w:val="16"/>
        <w:jc w:val="center"/>
        <w:rPr>
          <w:rFonts w:hint="eastAsia" w:ascii="方正小标宋_GBK" w:hAnsi="方正小标宋_GBK" w:eastAsia="方正小标宋_GBK" w:cs="方正小标宋_GBK"/>
          <w:sz w:val="84"/>
          <w:szCs w:val="84"/>
        </w:rPr>
      </w:pPr>
    </w:p>
    <w:p w14:paraId="661BBFC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6"/>
        <w:jc w:val="center"/>
        <w:rPr>
          <w:rFonts w:hint="eastAsia" w:ascii="方正小标宋_GBK" w:hAnsi="方正小标宋_GBK" w:eastAsia="方正小标宋_GBK" w:cs="方正小标宋_GBK"/>
          <w:sz w:val="84"/>
          <w:szCs w:val="84"/>
        </w:rPr>
      </w:pPr>
    </w:p>
    <w:p w14:paraId="3860F185">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6"/>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6"/>
        <w:jc w:val="center"/>
        <w:rPr>
          <w:rFonts w:hint="eastAsia" w:ascii="仿宋_GB2312" w:hAnsi="仿宋_GB2312" w:eastAsia="仿宋_GB2312" w:cs="仿宋_GB2312"/>
          <w:b w:val="0"/>
          <w:bCs w:val="0"/>
          <w:sz w:val="72"/>
          <w:szCs w:val="72"/>
          <w:lang w:eastAsia="zh-CN"/>
        </w:rPr>
      </w:pPr>
    </w:p>
    <w:p w14:paraId="0568D1B8">
      <w:pPr>
        <w:pStyle w:val="16"/>
        <w:jc w:val="center"/>
        <w:rPr>
          <w:rFonts w:hint="eastAsia" w:ascii="仿宋_GB2312" w:hAnsi="仿宋_GB2312" w:eastAsia="仿宋_GB2312" w:cs="仿宋_GB2312"/>
          <w:b w:val="0"/>
          <w:bCs w:val="0"/>
          <w:sz w:val="72"/>
          <w:szCs w:val="72"/>
          <w:lang w:eastAsia="zh-CN"/>
        </w:rPr>
      </w:pPr>
    </w:p>
    <w:p w14:paraId="5C65B646">
      <w:pPr>
        <w:pStyle w:val="16"/>
        <w:jc w:val="center"/>
        <w:rPr>
          <w:rFonts w:hint="eastAsia" w:ascii="仿宋_GB2312" w:hAnsi="仿宋_GB2312" w:eastAsia="仿宋_GB2312" w:cs="仿宋_GB2312"/>
          <w:b w:val="0"/>
          <w:bCs w:val="0"/>
          <w:sz w:val="72"/>
          <w:szCs w:val="72"/>
          <w:lang w:eastAsia="zh-CN"/>
        </w:rPr>
      </w:pPr>
    </w:p>
    <w:p w14:paraId="62EA5E89">
      <w:pPr>
        <w:pStyle w:val="16"/>
        <w:jc w:val="center"/>
        <w:rPr>
          <w:rFonts w:hint="eastAsia" w:ascii="仿宋_GB2312" w:hAnsi="仿宋_GB2312" w:eastAsia="仿宋_GB2312" w:cs="仿宋_GB2312"/>
          <w:b w:val="0"/>
          <w:bCs w:val="0"/>
          <w:sz w:val="72"/>
          <w:szCs w:val="72"/>
          <w:lang w:eastAsia="zh-CN"/>
        </w:rPr>
      </w:pPr>
    </w:p>
    <w:p w14:paraId="63BFFD84">
      <w:pPr>
        <w:pStyle w:val="16"/>
        <w:jc w:val="center"/>
        <w:rPr>
          <w:rFonts w:hint="eastAsia" w:ascii="仿宋_GB2312" w:hAnsi="仿宋_GB2312" w:eastAsia="仿宋_GB2312" w:cs="仿宋_GB2312"/>
          <w:b w:val="0"/>
          <w:bCs w:val="0"/>
          <w:sz w:val="72"/>
          <w:szCs w:val="72"/>
          <w:lang w:eastAsia="zh-CN"/>
        </w:rPr>
      </w:pPr>
    </w:p>
    <w:p w14:paraId="4565BABE">
      <w:pPr>
        <w:pStyle w:val="16"/>
        <w:jc w:val="center"/>
        <w:rPr>
          <w:rFonts w:hint="eastAsia" w:ascii="仿宋_GB2312" w:hAnsi="仿宋_GB2312" w:eastAsia="仿宋_GB2312" w:cs="仿宋_GB2312"/>
          <w:b w:val="0"/>
          <w:bCs w:val="0"/>
          <w:sz w:val="72"/>
          <w:szCs w:val="72"/>
          <w:lang w:eastAsia="zh-CN"/>
        </w:rPr>
      </w:pPr>
    </w:p>
    <w:p w14:paraId="6EEAB3EF">
      <w:pPr>
        <w:pStyle w:val="16"/>
        <w:jc w:val="center"/>
        <w:rPr>
          <w:rFonts w:hint="eastAsia" w:ascii="仿宋_GB2312" w:hAnsi="仿宋_GB2312" w:eastAsia="仿宋_GB2312" w:cs="仿宋_GB2312"/>
          <w:b w:val="0"/>
          <w:bCs w:val="0"/>
          <w:sz w:val="72"/>
          <w:szCs w:val="72"/>
          <w:lang w:eastAsia="zh-CN"/>
        </w:rPr>
      </w:pPr>
    </w:p>
    <w:p w14:paraId="603C04A7">
      <w:pPr>
        <w:pStyle w:val="16"/>
        <w:jc w:val="center"/>
        <w:rPr>
          <w:rFonts w:hint="eastAsia" w:ascii="方正小标宋_GBK" w:hAnsi="方正小标宋_GBK" w:eastAsia="方正小标宋_GBK" w:cs="方正小标宋_GBK"/>
          <w:sz w:val="72"/>
          <w:szCs w:val="72"/>
        </w:rPr>
      </w:pPr>
    </w:p>
    <w:p w14:paraId="7A44A82E">
      <w:pPr>
        <w:pStyle w:val="16"/>
        <w:jc w:val="center"/>
        <w:rPr>
          <w:rFonts w:hint="eastAsia" w:ascii="方正小标宋_GBK" w:hAnsi="方正小标宋_GBK" w:eastAsia="方正小标宋_GBK" w:cs="方正小标宋_GBK"/>
          <w:sz w:val="72"/>
          <w:szCs w:val="72"/>
        </w:rPr>
      </w:pPr>
    </w:p>
    <w:p w14:paraId="06211665">
      <w:pPr>
        <w:pStyle w:val="16"/>
        <w:jc w:val="both"/>
        <w:rPr>
          <w:rFonts w:hint="eastAsia" w:ascii="方正小标宋_GBK" w:hAnsi="方正小标宋_GBK" w:eastAsia="方正小标宋_GBK" w:cs="方正小标宋_GBK"/>
          <w:sz w:val="72"/>
          <w:szCs w:val="72"/>
        </w:rPr>
      </w:pPr>
    </w:p>
    <w:p w14:paraId="7804FBAA">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6"/>
        <w:jc w:val="center"/>
        <w:rPr>
          <w:rFonts w:hint="eastAsia" w:ascii="方正小标宋_GBK" w:hAnsi="方正小标宋_GBK" w:eastAsia="方正小标宋_GBK" w:cs="方正小标宋_GBK"/>
          <w:sz w:val="70"/>
          <w:szCs w:val="70"/>
        </w:rPr>
      </w:pPr>
    </w:p>
    <w:p w14:paraId="4F77A5A6">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6"/>
        <w:jc w:val="center"/>
        <w:rPr>
          <w:rFonts w:hint="eastAsia" w:ascii="方正小标宋_GBK" w:hAnsi="方正小标宋_GBK" w:eastAsia="方正小标宋_GBK" w:cs="方正小标宋_GBK"/>
          <w:sz w:val="70"/>
          <w:szCs w:val="70"/>
        </w:rPr>
      </w:pPr>
    </w:p>
    <w:p w14:paraId="6EEC30AB">
      <w:pPr>
        <w:pStyle w:val="16"/>
        <w:jc w:val="center"/>
        <w:rPr>
          <w:rFonts w:hint="eastAsia" w:ascii="方正小标宋_GBK" w:hAnsi="方正小标宋_GBK" w:eastAsia="方正小标宋_GBK" w:cs="方正小标宋_GBK"/>
          <w:sz w:val="70"/>
          <w:szCs w:val="70"/>
        </w:rPr>
      </w:pPr>
    </w:p>
    <w:p w14:paraId="417367C1">
      <w:pPr>
        <w:pStyle w:val="16"/>
        <w:jc w:val="center"/>
        <w:rPr>
          <w:rFonts w:hint="eastAsia" w:ascii="方正小标宋_GBK" w:hAnsi="方正小标宋_GBK" w:eastAsia="方正小标宋_GBK" w:cs="方正小标宋_GBK"/>
          <w:sz w:val="70"/>
          <w:szCs w:val="70"/>
        </w:rPr>
      </w:pPr>
    </w:p>
    <w:p w14:paraId="5EF1049C">
      <w:pPr>
        <w:pStyle w:val="16"/>
        <w:jc w:val="center"/>
        <w:rPr>
          <w:rFonts w:hint="eastAsia" w:ascii="方正小标宋_GBK" w:hAnsi="方正小标宋_GBK" w:eastAsia="方正小标宋_GBK" w:cs="方正小标宋_GBK"/>
          <w:sz w:val="70"/>
          <w:szCs w:val="70"/>
        </w:rPr>
      </w:pPr>
    </w:p>
    <w:p w14:paraId="7E4B3CF9">
      <w:pPr>
        <w:pStyle w:val="16"/>
        <w:jc w:val="center"/>
        <w:rPr>
          <w:rFonts w:hint="eastAsia" w:ascii="方正小标宋_GBK" w:hAnsi="方正小标宋_GBK" w:eastAsia="方正小标宋_GBK" w:cs="方正小标宋_GBK"/>
          <w:sz w:val="70"/>
          <w:szCs w:val="70"/>
        </w:rPr>
      </w:pPr>
    </w:p>
    <w:p w14:paraId="514C0722">
      <w:pPr>
        <w:pStyle w:val="16"/>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29975.07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14386.07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92.28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我中心项目收入支出仅包含市本级资金，而2024年全市（包含六县三区）普通国省道养护项目的国、省道补助资金全部下达至我中心，再由我中心根据项目实施进度分别拨付市直相关项目实施单位或县市区相关项目主管部门，从而导致收入支出增长幅度较大。</w:t>
      </w:r>
    </w:p>
    <w:p w14:paraId="07DA9E3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29851.55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29596.49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99.15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255.06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w:t>
      </w:r>
    </w:p>
    <w:p w14:paraId="2D1A2B4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29933.45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10297.02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19636.43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65.6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D2B6FF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29596.49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14151.89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91.63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我中心项目收入支出仅包含市本级资金，而2024年全市（包含六县三区）普通国省道养护项目的国、省道补助资金全部下达至我中心，再由我中心根据项目实施进度分别拨付市直相关项目实施单位或县市区相关项目主管部门，从而导致收入支出增长幅度较大。</w:t>
      </w:r>
    </w:p>
    <w:p w14:paraId="4BB30A6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444E7C3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29596.49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98.87</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14151.89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91.63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2023年我中心项目收入支出仅包含市本级资金，而2024年全市（包含六县三区）普通国省道养护项目的国、省道补助资金全部下达至我中心，再由我中心根据项目实施进度分别拨付市直相关项目实施单位或县市区相关项目主管部门，从而导致收入支出增长幅度较大。</w:t>
      </w:r>
    </w:p>
    <w:p w14:paraId="66C54C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29596.49</w:t>
      </w:r>
      <w:r>
        <w:rPr>
          <w:rFonts w:hint="eastAsia" w:ascii="仿宋_GB2312" w:hAnsi="仿宋_GB2312" w:eastAsia="仿宋_GB2312" w:cs="仿宋_GB2312"/>
          <w:sz w:val="32"/>
          <w:szCs w:val="32"/>
        </w:rPr>
        <w:t>万元，主要用于以下方面：科学技术支出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922.86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%;城乡社区支出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0.34</w:t>
      </w:r>
      <w:r>
        <w:rPr>
          <w:rFonts w:hint="eastAsia" w:ascii="仿宋_GB2312" w:hAnsi="仿宋_GB2312" w:eastAsia="仿宋_GB2312" w:cs="仿宋_GB2312"/>
          <w:sz w:val="32"/>
          <w:szCs w:val="32"/>
        </w:rPr>
        <w:t>%;交通运输支出</w:t>
      </w:r>
      <w:r>
        <w:rPr>
          <w:rFonts w:hint="eastAsia" w:ascii="仿宋_GB2312" w:hAnsi="仿宋_GB2312" w:eastAsia="仿宋_GB2312" w:cs="仿宋_GB2312"/>
          <w:sz w:val="32"/>
          <w:szCs w:val="32"/>
          <w:lang w:val="en-US" w:eastAsia="zh-CN"/>
        </w:rPr>
        <w:t>27948.43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94.43</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545.21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%;灾害防治及应急管理支出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5CDBADF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10462.3</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29596.49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282.89</w:t>
      </w:r>
      <w:r>
        <w:rPr>
          <w:rFonts w:hint="eastAsia" w:ascii="仿宋_GB2312" w:hAnsi="仿宋_GB2312" w:eastAsia="仿宋_GB2312" w:cs="仿宋_GB2312"/>
          <w:sz w:val="32"/>
          <w:szCs w:val="32"/>
        </w:rPr>
        <w:t>%，其中：</w:t>
      </w:r>
    </w:p>
    <w:p w14:paraId="237A4D6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1、其他科学技术支出（类）其他科学技术支出（款）其他科学技术支出（项）。</w:t>
      </w:r>
    </w:p>
    <w:p w14:paraId="4DFDB53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决算数大于预算数，主要原因是此笔支出为岳阳公路路网运行监测平台专项运维经费，未纳入年初预算，所以决算数大于预算数。</w:t>
      </w:r>
    </w:p>
    <w:p w14:paraId="3443D2A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2、社会保障和就业支出（类）行政事业单位养老支出（款）机关事业单位基本养老保险缴费支出（项）。</w:t>
      </w:r>
    </w:p>
    <w:p w14:paraId="3BB7DD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756.42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756.42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决算数等于预算数，主要原因是我单位支出未超预算，严格按预算执行。</w:t>
      </w:r>
    </w:p>
    <w:p w14:paraId="5A05EBF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、社会保障和就业支出（类）抚恤（款）其他优抚支出（项）。</w:t>
      </w:r>
    </w:p>
    <w:p w14:paraId="1DF84EC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97.16</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仿宋_GB2312" w:hAnsi="仿宋_GB2312" w:eastAsia="仿宋_GB2312" w:cs="仿宋_GB2312"/>
          <w:sz w:val="32"/>
          <w:szCs w:val="32"/>
          <w:lang w:val="en-US" w:eastAsia="zh-CN"/>
        </w:rPr>
        <w:t>决算数大于预算数，主要原因是抚恤金未纳入财政预算，根据当年或上年的死亡人数再向财政申请专项资金。</w:t>
      </w:r>
    </w:p>
    <w:p w14:paraId="4C78631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、社会保障和就业支出（类）残疾人事业（款） 其他残疾人事业支出（项）。</w:t>
      </w:r>
    </w:p>
    <w:p w14:paraId="56AB6D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55.54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55.54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决算数等于预算数，主要原因是我单位支出未超预算，严格按预算执行。</w:t>
      </w:r>
    </w:p>
    <w:p w14:paraId="4964E27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、社会保障和就业支出（类）其他社会保障和就业支出（款） 其他社会保障和就业支出（项）。</w:t>
      </w:r>
    </w:p>
    <w:p w14:paraId="6D10688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13.74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13.74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决算数等于预算数，主要原因是我单位支出未超预算，严格按预算执行。</w:t>
      </w:r>
    </w:p>
    <w:p w14:paraId="3E343DE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城乡社区支出（类）城乡社区规划与管理（款）城乡社区规划与管理（项）。</w:t>
      </w:r>
    </w:p>
    <w:p w14:paraId="6B62DA1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此项包含了2023年和2024年湘北大道配套设施维护和道路保洁经费专项资金，每年预算50万，所以决算数大于预算数。</w:t>
      </w:r>
    </w:p>
    <w:p w14:paraId="7C216E5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交通运输支出（类）公路水路运输（款）行政运行（项）。</w:t>
      </w:r>
    </w:p>
    <w:p w14:paraId="1C10D22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7952.39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7982.37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102.42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大于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val="en-US" w:eastAsia="zh-CN"/>
        </w:rPr>
        <w:t>因为2023年底财政关账之前未及时支付，部分公用经费结转到2024年，所以导致决算数大于预算数。</w:t>
      </w:r>
    </w:p>
    <w:p w14:paraId="671CD6A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交通运输支出（类）公路水路运输（款）公路养护（项）。</w:t>
      </w:r>
    </w:p>
    <w:p w14:paraId="07B5142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16662.84</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4DF8293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交通运输支出（类）公路水路运输（款）其他公路水路运输支出（项）。</w:t>
      </w:r>
    </w:p>
    <w:p w14:paraId="10F9ED7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36.55</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此项为专项资金，市财政未纳入年初预算。</w:t>
      </w:r>
    </w:p>
    <w:p w14:paraId="6D4F449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交通运输支出（类）其他交通运输支出（款）其他交通运输支出（项）。</w:t>
      </w:r>
    </w:p>
    <w:p w14:paraId="7396C90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3266.67</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64C2F2B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住房保障支出（类）住房改革支出（款）住房公积金（项）。</w:t>
      </w:r>
    </w:p>
    <w:p w14:paraId="6953971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545.21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545.21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决算数等于预算数，主要原因是我单位支出未超预算，严格按预算执行。</w:t>
      </w:r>
    </w:p>
    <w:p w14:paraId="1997AA7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灾害防治及应急管理支出（类）自然灾害救灾及恢复重建支出（款）  自然灾害救灾补助（项）。</w:t>
      </w:r>
    </w:p>
    <w:p w14:paraId="396D4727">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万元，由于</w:t>
      </w:r>
      <w:r>
        <w:rPr>
          <w:rFonts w:hint="eastAsia" w:ascii="仿宋_GB2312" w:hAnsi="仿宋_GB2312" w:eastAsia="仿宋_GB2312" w:cs="仿宋_GB2312"/>
          <w:sz w:val="32"/>
          <w:szCs w:val="32"/>
          <w:lang w:val="en-US" w:eastAsia="zh-CN"/>
        </w:rPr>
        <w:t>年初预算</w:t>
      </w:r>
      <w:r>
        <w:rPr>
          <w:rFonts w:hint="eastAsia" w:ascii="仿宋_GB2312" w:hAnsi="仿宋_GB2312" w:eastAsia="仿宋_GB2312" w:cs="仿宋_GB2312"/>
          <w:sz w:val="32"/>
          <w:szCs w:val="32"/>
        </w:rPr>
        <w:t>为0，故无法计算</w:t>
      </w:r>
      <w:r>
        <w:rPr>
          <w:rFonts w:hint="eastAsia" w:ascii="仿宋_GB2312" w:hAnsi="仿宋_GB2312" w:eastAsia="仿宋_GB2312" w:cs="仿宋_GB2312"/>
          <w:sz w:val="32"/>
          <w:szCs w:val="32"/>
          <w:lang w:val="en-US" w:eastAsia="zh-CN"/>
        </w:rPr>
        <w:t>完成年初预算</w:t>
      </w:r>
      <w:r>
        <w:rPr>
          <w:rFonts w:hint="eastAsia" w:ascii="仿宋_GB2312" w:hAnsi="仿宋_GB2312" w:eastAsia="仿宋_GB2312" w:cs="仿宋_GB2312"/>
          <w:sz w:val="32"/>
          <w:szCs w:val="32"/>
        </w:rPr>
        <w:t>的比重。</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此项为省级专项资金，市财政未纳入年初预算。</w:t>
      </w:r>
    </w:p>
    <w:p w14:paraId="373E8BA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9960.06</w:t>
      </w:r>
      <w:r>
        <w:rPr>
          <w:rFonts w:hint="eastAsia" w:ascii="仿宋_GB2312" w:hAnsi="仿宋_GB2312" w:eastAsia="仿宋_GB2312" w:cs="仿宋_GB2312"/>
          <w:sz w:val="32"/>
          <w:szCs w:val="32"/>
        </w:rPr>
        <w:t>万元，其中：</w:t>
      </w:r>
    </w:p>
    <w:p w14:paraId="5BBEA98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9147.25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91.84</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val="en-US" w:eastAsia="zh-CN"/>
        </w:rPr>
        <w:t>、绩效工资、机关事业单位基本养老保险缴费、职工基本医疗保险缴费</w:t>
      </w:r>
      <w:r>
        <w:rPr>
          <w:rFonts w:hint="eastAsia" w:ascii="Times New Roman" w:hAnsi="Times New Roman" w:eastAsia="仿宋_GB2312"/>
          <w:sz w:val="32"/>
          <w:szCs w:val="32"/>
          <w:lang w:val="en-US" w:eastAsia="zh-CN"/>
        </w:rPr>
        <w:t>、公务员医疗补助缴费、其他社会保障缴费、住房公积金。（2）对个人和家庭的补助：退休费、抚恤金、生活补助、医疗费补助、奖励金、其他对个人和家庭的补助</w:t>
      </w:r>
      <w:r>
        <w:rPr>
          <w:rFonts w:hint="eastAsia" w:ascii="Times New Roman" w:hAnsi="Times New Roman" w:eastAsia="仿宋_GB2312"/>
          <w:sz w:val="32"/>
          <w:szCs w:val="32"/>
          <w:lang w:eastAsia="zh-CN"/>
        </w:rPr>
        <w:t>。</w:t>
      </w:r>
    </w:p>
    <w:p w14:paraId="60DA560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812.81</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8.16</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lang w:val="en-US" w:eastAsia="zh-CN"/>
        </w:rPr>
        <w:t>办公费、印刷费、咨询费、手续费、水费、电费、邮电费、物业管理费、差旅费、维修费、租赁费、会议费、培训费、公务接待费、劳务费、委托业务费、工会经费、福利费、公务车运行维护费、其他交通费用、税金及附加、其他商品和服务支出、资本性支出办公设备购置。</w:t>
      </w:r>
    </w:p>
    <w:p w14:paraId="238B276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12592558">
      <w:pPr>
        <w:pStyle w:val="16"/>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3A938A5E">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57A1146">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hint="eastAsia" w:ascii="仿宋_GB2312" w:hAnsi="仿宋_GB2312" w:eastAsia="仿宋_GB2312" w:cs="仿宋_GB2312"/>
          <w:sz w:val="32"/>
          <w:szCs w:val="32"/>
        </w:rPr>
        <w:t>2024年度“三公”经费财政拨款支出预算为</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68.58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93.95</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21.22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44.81</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按有关政策厉行节约，严控公务接待支出。</w:t>
      </w:r>
      <w:r>
        <w:rPr>
          <w:rFonts w:hint="eastAsia" w:ascii="仿宋_GB2312" w:hAnsi="仿宋_GB2312" w:eastAsia="仿宋_GB2312" w:cs="仿宋_GB2312"/>
          <w:sz w:val="32"/>
          <w:szCs w:val="32"/>
        </w:rPr>
        <w:t>决算数大于上年数的主要原因是</w:t>
      </w:r>
      <w:r>
        <w:rPr>
          <w:rFonts w:hint="eastAsia" w:ascii="仿宋_GB2312" w:hAnsi="仿宋_GB2312" w:eastAsia="仿宋_GB2312" w:cs="仿宋_GB2312"/>
          <w:sz w:val="32"/>
          <w:szCs w:val="32"/>
          <w:lang w:val="en-US" w:eastAsia="zh-CN"/>
        </w:rPr>
        <w:t>2023年有未支付完的公务用车运维费，结转至2024年支付，所以导致本年“三公”经费的决算数大于上年决算数</w:t>
      </w:r>
      <w:r>
        <w:rPr>
          <w:rFonts w:ascii="Times New Roman" w:hAnsi="Times New Roman" w:eastAsia="仿宋_GB2312" w:cs="Times New Roman"/>
          <w:sz w:val="32"/>
          <w:szCs w:val="32"/>
        </w:rPr>
        <w:t>。</w:t>
      </w:r>
    </w:p>
    <w:p w14:paraId="352D03A7">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65978CAB">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2.公务用</w:t>
      </w:r>
      <w:r>
        <w:rPr>
          <w:rFonts w:hint="eastAsia" w:ascii="仿宋_GB2312" w:hAnsi="仿宋_GB2312" w:eastAsia="仿宋_GB2312" w:cs="仿宋_GB2312"/>
          <w:sz w:val="32"/>
          <w:szCs w:val="32"/>
        </w:rPr>
        <w:t>车购置费及运行维护费支出预算为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68.25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108.33</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24.67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56.61</w:t>
      </w:r>
      <w:r>
        <w:rPr>
          <w:rFonts w:hint="eastAsia" w:ascii="仿宋_GB2312" w:hAnsi="仿宋_GB2312" w:eastAsia="仿宋_GB2312" w:cs="仿宋_GB2312"/>
          <w:sz w:val="32"/>
          <w:szCs w:val="32"/>
        </w:rPr>
        <w:t>%。其中：</w:t>
      </w:r>
    </w:p>
    <w:p w14:paraId="31FA2363">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决算数等于预算数，主要原因是我单位严格按预算执行决算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与上年一致，无增减变动，主要原因是两年均未购置公务用车。本单位</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p w14:paraId="1D422951">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68.25</w:t>
      </w:r>
      <w:r>
        <w:rPr>
          <w:rFonts w:hint="eastAsia" w:ascii="仿宋_GB2312" w:hAnsi="仿宋_GB2312" w:eastAsia="仿宋_GB2312" w:cs="仿宋_GB2312"/>
          <w:sz w:val="32"/>
          <w:szCs w:val="32"/>
        </w:rPr>
        <w:t>万元，</w:t>
      </w:r>
    </w:p>
    <w:p w14:paraId="75A272CE">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车辆油费，过路费，维修费等</w:t>
      </w:r>
      <w:r>
        <w:rPr>
          <w:rFonts w:hint="eastAsia" w:ascii="仿宋_GB2312" w:hAnsi="仿宋_GB2312" w:eastAsia="仿宋_GB2312" w:cs="仿宋_GB2312"/>
          <w:sz w:val="32"/>
          <w:szCs w:val="32"/>
        </w:rPr>
        <w:t>支出，完成预算的</w:t>
      </w:r>
      <w:r>
        <w:rPr>
          <w:rFonts w:hint="eastAsia" w:ascii="仿宋_GB2312" w:hAnsi="仿宋_GB2312" w:eastAsia="仿宋_GB2312" w:cs="仿宋_GB2312"/>
          <w:sz w:val="32"/>
          <w:szCs w:val="32"/>
          <w:lang w:val="en-US" w:eastAsia="zh-CN"/>
        </w:rPr>
        <w:t>108.33</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24.67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56.61</w:t>
      </w:r>
      <w:r>
        <w:rPr>
          <w:rFonts w:hint="eastAsia" w:ascii="仿宋_GB2312" w:hAnsi="仿宋_GB2312" w:eastAsia="仿宋_GB2312" w:cs="仿宋_GB2312"/>
          <w:sz w:val="32"/>
          <w:szCs w:val="32"/>
        </w:rPr>
        <w:t>%。决算数大于预算数的主要原因是</w:t>
      </w:r>
      <w:r>
        <w:rPr>
          <w:rFonts w:hint="eastAsia" w:ascii="仿宋_GB2312" w:hAnsi="仿宋_GB2312" w:eastAsia="仿宋_GB2312" w:cs="仿宋_GB2312"/>
          <w:sz w:val="32"/>
          <w:szCs w:val="32"/>
          <w:lang w:val="en-US" w:eastAsia="zh-CN"/>
        </w:rPr>
        <w:t>2023年有未支付完的公务用车运维费，结转至2024年支付，所以导致本年的决算数大于上年决算数</w:t>
      </w:r>
      <w:r>
        <w:rPr>
          <w:rFonts w:hint="eastAsia" w:ascii="仿宋_GB2312" w:hAnsi="仿宋_GB2312" w:eastAsia="仿宋_GB2312" w:cs="仿宋_GB2312"/>
          <w:sz w:val="32"/>
          <w:szCs w:val="32"/>
        </w:rPr>
        <w:t>。决算数大于上年数的主要原因是</w:t>
      </w:r>
      <w:r>
        <w:rPr>
          <w:rFonts w:hint="eastAsia" w:ascii="仿宋_GB2312" w:hAnsi="仿宋_GB2312" w:eastAsia="仿宋_GB2312" w:cs="仿宋_GB2312"/>
          <w:sz w:val="32"/>
          <w:szCs w:val="32"/>
          <w:lang w:val="en-US" w:eastAsia="zh-CN"/>
        </w:rPr>
        <w:t>2023年有未支付完的公务用车运维费，结转至2024年支付，所以导致本年的决算数大于上年决算数</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2024年12月31日，我单位开支财政拨款的公务用车保有量为</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辆。</w:t>
      </w:r>
    </w:p>
    <w:p w14:paraId="039328FA">
      <w:pPr>
        <w:pStyle w:val="16"/>
        <w:overflowPunct w:val="0"/>
        <w:autoSpaceDE/>
        <w:autoSpaceDN/>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3.45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降低</w:t>
      </w:r>
      <w:r>
        <w:rPr>
          <w:rFonts w:hint="eastAsia" w:ascii="仿宋_GB2312" w:hAnsi="仿宋_GB2312" w:eastAsia="仿宋_GB2312" w:cs="仿宋_GB2312"/>
          <w:sz w:val="32"/>
          <w:szCs w:val="32"/>
          <w:lang w:val="en-US" w:eastAsia="zh-CN"/>
        </w:rPr>
        <w:t>91.27</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严格执行中央八项规定</w:t>
      </w:r>
      <w:r>
        <w:rPr>
          <w:rFonts w:hint="eastAsia" w:ascii="仿宋_GB2312" w:hAnsi="仿宋_GB2312" w:eastAsia="仿宋_GB2312" w:cs="仿宋_GB2312"/>
          <w:sz w:val="32"/>
          <w:szCs w:val="32"/>
        </w:rPr>
        <w:t>。决算数小于上年数的主要原因是</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按有关政策厉行节约，严控公务接待支出</w:t>
      </w:r>
      <w:r>
        <w:rPr>
          <w:rFonts w:hint="eastAsia" w:ascii="仿宋_GB2312" w:hAnsi="仿宋_GB2312" w:eastAsia="仿宋_GB2312" w:cs="仿宋_GB2312"/>
          <w:sz w:val="32"/>
          <w:szCs w:val="32"/>
        </w:rPr>
        <w:t>。2024年度共接待来访团组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val="en-US" w:eastAsia="zh-CN"/>
        </w:rPr>
        <w:t>衡阳市公路建设养护中心来我中心考察学习应急管理体系和能力建设内容；益阳市公路建设和养护中心来我中心考察农村公路建设、管理、养护的先进理念和工作经验，乡村振兴公务接待等</w:t>
      </w:r>
      <w:r>
        <w:rPr>
          <w:rFonts w:hint="eastAsia" w:ascii="仿宋_GB2312" w:hAnsi="仿宋_GB2312" w:eastAsia="仿宋_GB2312" w:cs="仿宋_GB2312"/>
          <w:sz w:val="32"/>
          <w:szCs w:val="32"/>
        </w:rPr>
        <w:t>发生的接待支出。</w:t>
      </w:r>
    </w:p>
    <w:p w14:paraId="3D06ACE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6"/>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812.81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比上年决算数增加</w:t>
      </w:r>
      <w:r>
        <w:rPr>
          <w:rFonts w:hint="eastAsia" w:ascii="仿宋_GB2312" w:hAnsi="仿宋_GB2312" w:eastAsia="仿宋_GB2312" w:cs="仿宋_GB2312"/>
          <w:sz w:val="32"/>
          <w:szCs w:val="32"/>
          <w:highlight w:val="none"/>
          <w:lang w:val="en-US" w:eastAsia="zh-CN"/>
        </w:rPr>
        <w:t>312.63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62.5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2023年我单位公用经费预算是按事业单位标准下达，我中心2024年已参公，2024年的预算是按照公务员的标准下达的，预算有所增加，加上2023年结转的公用经费，所以导致2024年的机关运行经费增加</w:t>
      </w:r>
      <w:r>
        <w:rPr>
          <w:rFonts w:hint="eastAsia" w:ascii="楷体" w:hAnsi="楷体" w:eastAsia="楷体" w:cs="楷体"/>
          <w:sz w:val="32"/>
          <w:szCs w:val="32"/>
        </w:rPr>
        <w:t>。</w:t>
      </w:r>
    </w:p>
    <w:p w14:paraId="39684EF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6"/>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年度，会议费年初预算0万元，支出决算为2.52万元，</w:t>
      </w:r>
      <w:r>
        <w:rPr>
          <w:rFonts w:hint="eastAsia" w:ascii="仿宋_GB2312" w:hAnsi="仿宋_GB2312" w:eastAsia="仿宋_GB2312" w:cs="仿宋_GB2312"/>
          <w:color w:val="000000"/>
          <w:kern w:val="0"/>
          <w:sz w:val="32"/>
          <w:szCs w:val="32"/>
          <w:lang w:val="en-US" w:eastAsia="zh-CN" w:bidi="ar-SA"/>
        </w:rPr>
        <w:t>因在年初预算压缩公用经费的时候，财政直接将本单位会议费预算压缩为0万元，所以无法计算完成年初预算的比例</w:t>
      </w:r>
      <w:r>
        <w:rPr>
          <w:rFonts w:hint="eastAsia" w:ascii="仿宋_GB2312" w:hAnsi="仿宋_GB2312" w:eastAsia="仿宋_GB2312" w:cs="仿宋_GB2312"/>
          <w:sz w:val="32"/>
          <w:szCs w:val="32"/>
          <w:lang w:val="en-US" w:eastAsia="zh-CN"/>
        </w:rPr>
        <w:t>。用于召开八一座谈会，</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邀请退役军人代表分享军旅生涯的感悟和转业后的工作体会，听取他们对单位发展的意见和建议等；</w:t>
      </w:r>
      <w:r>
        <w:rPr>
          <w:rFonts w:hint="eastAsia" w:ascii="仿宋_GB2312" w:hAnsi="仿宋_GB2312" w:eastAsia="仿宋_GB2312" w:cs="仿宋_GB2312"/>
          <w:color w:val="000000"/>
          <w:kern w:val="0"/>
          <w:sz w:val="32"/>
          <w:szCs w:val="32"/>
          <w:lang w:val="en-US" w:eastAsia="zh-CN" w:bidi="ar-SA"/>
        </w:rPr>
        <w:t>用于举办“公路大讲堂”集中学习7次，人数70人，内容为让岳阳楼记为你的人生正确导航、学习贯彻党的二十届三中全会精神、坚定不移解放思想，全力推进高质量发展、坚定不移做好新时代意识形态工作、新时代党支部工作务实、发展党员工作与党员档案管理等。</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万元，支出决算为6.64万元，因在预算压缩公用经费的时候，财政直接将本单位培训费预算压缩为0万元，所以无法计算完成年初预算的比例。用于开展农村公路培训，人数44人，内容为农村公路养护技术和年度业务培训；用于开展农村公路年报培训，人数30人，内容为农村公路数据系统调查培训；用于开展养护工作业务培训，人数77人，内容为公路养护相关政策、法规及技术标准解读，日常养护与巡查技能，专项工程与应急处治，安全生产与质量管理等内容；保密工作培训，人数40人，内容为通过宣讲政策、严明责任、分析形势、排查风险、给出对策，来进一步增强保密意识，坚守保密工作底线，严防发生保密工作中的失泄密事件，切实提高防范化解重大风险的水平能力等。</w:t>
      </w:r>
    </w:p>
    <w:p w14:paraId="39C2EAB5">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14:paraId="252D0BE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396.15</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106.93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91.3</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197.91</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396.15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396.15</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辆，其他用车主要是</w:t>
      </w:r>
      <w:r>
        <w:rPr>
          <w:rFonts w:hint="eastAsia" w:ascii="Times New Roman" w:hAnsi="Times New Roman" w:eastAsia="仿宋_GB2312"/>
          <w:sz w:val="32"/>
          <w:szCs w:val="32"/>
          <w:lang w:val="en-US" w:eastAsia="zh-CN"/>
        </w:rPr>
        <w:t>工程生产用车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hint="eastAsia" w:ascii="仿宋_GB2312" w:hAnsi="仿宋_GB2312" w:eastAsia="仿宋_GB2312" w:cs="仿宋_GB2312"/>
          <w:color w:val="auto"/>
          <w:kern w:val="0"/>
          <w:sz w:val="32"/>
          <w:szCs w:val="32"/>
          <w:lang w:val="en-US" w:eastAsia="zh-CN" w:bidi="ar-SA"/>
        </w:rPr>
        <w:t>组织对2024年度本部门（单位）整体支出开展绩效自评，涉及项目5个，共涉及资金1006.50万元。其中，一般公共预算项目5个1006.5万元，占一般公共预算支出总额的8.9%；政府性基金预算项目0个0万元，因政府性基金预算项目支出总额为0，故无法计算占政府性基金预算项目支出总额的比重；国有资本经营预算项目0个0万元，因国有资本经营预算项目支出总额为0，故无法计算占国有资本经营预算项目支出总额的比重；社会保险基金预算项目0个0万元，因社会保险基金预算项目支出总额为0，故无法计算占社会保险基金预算项目支出总额的比重。</w:t>
      </w:r>
    </w:p>
    <w:p w14:paraId="058C66A1">
      <w:pPr>
        <w:numPr>
          <w:ilvl w:val="0"/>
          <w:numId w:val="0"/>
        </w:numPr>
        <w:overflowPunct w:val="0"/>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部门评价开展情况。</w:t>
      </w:r>
      <w:r>
        <w:rPr>
          <w:rFonts w:hint="eastAsia" w:ascii="仿宋_GB2312" w:hAnsi="仿宋_GB2312" w:eastAsia="仿宋_GB2312" w:cs="仿宋_GB2312"/>
          <w:color w:val="auto"/>
          <w:kern w:val="0"/>
          <w:sz w:val="32"/>
          <w:szCs w:val="32"/>
          <w:lang w:val="en-US" w:eastAsia="zh-CN" w:bidi="ar-SA"/>
        </w:rPr>
        <w:t>本单位为二级预算单位，部门评价开展情况可详见上级部门决算公开说明。</w:t>
      </w:r>
    </w:p>
    <w:p w14:paraId="004D01B3">
      <w:pPr>
        <w:numPr>
          <w:ilvl w:val="0"/>
          <w:numId w:val="0"/>
        </w:numPr>
        <w:overflowPunct w:val="0"/>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highlight w:val="none"/>
          <w:lang w:val="en-US" w:eastAsia="zh-CN"/>
        </w:rPr>
        <w:t>本单位为二级预算单位，事前绩效评估开展情况可详见上级部门决算公开说明。</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hint="eastAsia" w:ascii="仿宋_GB2312" w:hAnsi="仿宋_GB2312" w:eastAsia="仿宋_GB2312" w:cs="仿宋_GB2312"/>
          <w:color w:val="auto"/>
          <w:kern w:val="0"/>
          <w:sz w:val="32"/>
          <w:szCs w:val="32"/>
          <w:lang w:val="en-US" w:eastAsia="zh-CN" w:bidi="ar-SA"/>
        </w:rPr>
        <w:t>2024年度本部门（单位）整体支出全年预算数11445.14万元，执行数11303.51万元，完成预算的98.76%，绩效自评得分99.88分，评价等级为“优”。绩效目标完成情况：一是严格执行预算要求。增强预算刚性约束，完善严控严管制度化。严格执行市财政局批准的预算，坚持先有预算后有支出，严禁超预算、无预算安排支出，严控预算追加，非法定程序新增预算一律不得追加；二是积极降低运行成本。严格按照厉行节约的要求，大力弘扬艰苦奋斗、勤俭节约的工作作风，在资金预算管理上，严控和压缩一般支出，大力压减非刚性、非重点项目和公用经费支出，减少不必要的行政支出，降低运行成本，合理配置，提高保障能力。三是着力提升管理质效。严格遵守财经纪律，加强预算执行监管，构建规范透明的财政管理环境，不断提升财政管理科学化、规范化水平，确保财经纪律执行到位，整改问题及时有效。发现的主要问题及原因：一是预算编制和执行缺乏准确性。由于部分项目执行中不确定性因素较多,因而造成预算编制数和实际发生数存在差异,影响了预算收支的准确性；二是养护工程地方配套资金长期缺位。部分公路养护工程（如危桥改造、安保工程提升、水毁恢复重建、预防性养护工程等）明确要求市县财政配套资金。然而，相关市县财政一直未能按承诺或规定安排足额的地方配套资金，这直接导致项目无法实施或半途停滞。地方配套资金不到位造成的项目停滞和安全隐患，必然影响我市在全省交通工作考核中排名，甚至影响争取上级支持的力度。下一步改进措施：一是加强项目绩效管理，完善目标申报与全过程监控。按照财政绩效管理要求，进一步强化绩效管理的责任意识，切实加强组织和领导，确保在申报项目预算时制定明确、细化、量化、合理的绩效目标。同时强化绩效运行监控，定期跟踪分析项目进展和绩效目标实现程度，对偏离目标的项目及时预警纠偏。加强绩效评价结果应用，将评价结果作为改进管理、调整政策和安排预算的重要依据；二是科学合理编制预算，严格执行预算并强化约束力。按照政策规定的发展计划，结合上年度预算执行情况及项目本身变化因素，科学、合理地编制本年预算草案及工作实施方案，保障部门预算支出进度。预算编制需充分论证、精打细算，提高预算编制的准确性和前瞻性。预算一经批复，必须严格执行，强化预算刚性约束，严禁无预算、超预算支出。建立预算执行分析通报机制，按季度（或月度）分析支出进度和预算执行情况，对执行缓慢的及时查找原因、制定措施，确保预算支出均衡、有效。三是细化、强化政府采购预算编制与执行管理。严格按照政府采购相关制度和规定，根据上年度部门政府采购情况，结合各部室意见，合理预测政单位采购需求，提高预算编制的精准性。采购预算编制需细化到具体采购品目、数量、金额、时间节点及采购方式。加强采购需求论证和市场调研，确保采购需求明确、参数合理、预算准确。依据批复的采购预算，及时制定详细的政府采购实施计划并严格执行，着力提升政府采购执行率，确保采购活动依法合规、高效完成。</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val="en-US" w:eastAsia="zh-CN"/>
        </w:rPr>
        <w:t>本单位为二级预算单位，部门评价结果可详见上级部门决算公开说明</w:t>
      </w:r>
      <w:r>
        <w:rPr>
          <w:rFonts w:hint="eastAsia" w:ascii="Times New Roman" w:hAnsi="Times New Roman" w:eastAsia="仿宋_GB2312" w:cs="Times New Roman"/>
          <w:sz w:val="32"/>
          <w:szCs w:val="32"/>
        </w:rPr>
        <w:t>。</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sz w:val="32"/>
          <w:szCs w:val="32"/>
          <w:lang w:val="en-US" w:eastAsia="zh-CN"/>
        </w:rPr>
        <w:t>本单位为二级预算单位，事前绩效评估结果可详见上级部门决算公开说明</w:t>
      </w:r>
      <w:r>
        <w:rPr>
          <w:rFonts w:hint="eastAsia" w:ascii="Times New Roman" w:hAnsi="Times New Roman" w:eastAsia="仿宋_GB2312" w:cs="Times New Roman"/>
          <w:kern w:val="0"/>
          <w:sz w:val="32"/>
          <w:szCs w:val="32"/>
          <w:highlight w:val="none"/>
          <w:lang w:val="en-US" w:eastAsia="zh-CN"/>
        </w:rPr>
        <w:t>。</w:t>
      </w:r>
    </w:p>
    <w:p w14:paraId="2C89E516">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692801A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我中心2024年度开展的绩效自评、部门评价以及事前绩效评价结果，为切实将绩效管理落到实处，提高财政资金使用效益，现就评价结果在2025年度预算安排、支出结构调整、资金管理和制度建设等方面的运用情况说明如下：</w:t>
      </w:r>
    </w:p>
    <w:p w14:paraId="0BA4BE9D">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1.运用于2025年度预算安排：一是优化增量资金分配： 对于2024年度绩效自评和部门评价结果优良的项目，在2025年度预算安排中予以优先保障或适度增加预算额度，确保高效项目持续发挥效益；二是压减或取消低效无效支出：对评价中发现实施效果不佳、绩效目标完成度差、与当前核心职能关联度不高的项目（如部分内容重复的专项调研、效益不明显的零星工程），在2025年度预算编制中予以大幅压减或不再安排预算。三是强化项目入库论证： 将“事前绩效评价”结果作为项目入库的前置条件。对于2025年拟新增的重大项目，严格依据事前评价结论进行决策。评价结果为“优”或“良”的项目方可优先纳入项目库并申请预算；评价结果为“中”的项目需优化方案后重新报审；评价结果为“差”的项目一律不予安排预算。</w:t>
      </w:r>
    </w:p>
    <w:p w14:paraId="0AC8CC9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运用于支出结构调整：向重点领域和薄弱环节倾斜：根据评价结果反映出的问题，优化内部支出结构。例如，针对部分路段养护不及时、应急保障能力不足等评价中指出的薄弱环节，在2025年度预算中适当增加“日常预防性养护”和“应急抢险设备购置与维护”方面的支出占比。</w:t>
      </w:r>
    </w:p>
    <w:p w14:paraId="268D9DF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运用于资金管理：一是加快预算执行进度：针对评价中发现的个别项目预算执行偏慢问题，2025年将进一步加强预算执行监控，建立“预算执行预警机制”，按月通报执行情况，压实各部门主体责任，确保资金及时形成实际支出和实物工作量；二是强化资金使用合规性：对照评价中提示的财务管理和资金使用风险点，2025年将严格资金支付审批流程，加强对工程项目合同、政府采购、费用报销等环节的审核，确保资金使用安全、规范、透明。</w:t>
      </w:r>
    </w:p>
    <w:p w14:paraId="308C5868">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运用于制度建设：一是完善内部绩效管理办法：根据2024年度绩效评价工作中积累的经验和暴露的不足，进一步明确各环节责任分工、操作流程和考核标准，使绩效管理更具可操作性；二是建立绩效评价结果与考核挂钩机制：将各项目、各科室的绩效评价结果纳入年度工作考核体系，与评优评先、绩效奖励等适度挂钩，增强全员绩效意识，形成“讲绩效、重绩效、用绩效”的良好氛围；三是健全项目全过程管理机制：强化绩效目标管理，要求所有申报项目必须设定清晰、可衡量的绩效目标。加强事中绩效监控，对偏离绩效目标的情况及时预警和纠偏。将绩效评价结果作为以后年度项目设立和预算安排的重要依据，形成管理闭环。</w:t>
      </w:r>
    </w:p>
    <w:p w14:paraId="2E1CBA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总之，我中心将高度重视并充分运用2024年度各项绩效评价结果，将其作为改进管理、提升效能的重要抓手，切实优化2025年及今后的资源配置和管理模式，推动公路建设与养护事业实现更高质量、更有效益、更可持续的发展。</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6"/>
        <w:jc w:val="both"/>
        <w:rPr>
          <w:rFonts w:hint="eastAsia" w:ascii="方正小标宋_GBK" w:hAnsi="方正小标宋_GBK" w:eastAsia="方正小标宋_GBK" w:cs="方正小标宋_GBK"/>
          <w:sz w:val="24"/>
          <w:szCs w:val="24"/>
        </w:rPr>
      </w:pPr>
    </w:p>
    <w:p w14:paraId="3D83FDA1">
      <w:pPr>
        <w:pStyle w:val="16"/>
        <w:jc w:val="center"/>
        <w:rPr>
          <w:rFonts w:hint="eastAsia" w:ascii="方正小标宋_GBK" w:hAnsi="方正小标宋_GBK" w:eastAsia="方正小标宋_GBK" w:cs="方正小标宋_GBK"/>
          <w:sz w:val="72"/>
          <w:szCs w:val="72"/>
        </w:rPr>
      </w:pPr>
    </w:p>
    <w:p w14:paraId="6FB6F211">
      <w:pPr>
        <w:pStyle w:val="16"/>
        <w:jc w:val="center"/>
        <w:rPr>
          <w:rFonts w:hint="eastAsia" w:ascii="方正小标宋_GBK" w:hAnsi="方正小标宋_GBK" w:eastAsia="方正小标宋_GBK" w:cs="方正小标宋_GBK"/>
          <w:sz w:val="72"/>
          <w:szCs w:val="72"/>
        </w:rPr>
      </w:pPr>
    </w:p>
    <w:p w14:paraId="3A01B6B0">
      <w:pPr>
        <w:pStyle w:val="16"/>
        <w:jc w:val="center"/>
        <w:rPr>
          <w:rFonts w:hint="eastAsia" w:ascii="方正小标宋_GBK" w:hAnsi="方正小标宋_GBK" w:eastAsia="方正小标宋_GBK" w:cs="方正小标宋_GBK"/>
          <w:sz w:val="72"/>
          <w:szCs w:val="72"/>
        </w:rPr>
      </w:pPr>
    </w:p>
    <w:p w14:paraId="475C1000">
      <w:pPr>
        <w:pStyle w:val="16"/>
        <w:jc w:val="center"/>
        <w:rPr>
          <w:rFonts w:hint="eastAsia" w:ascii="方正小标宋_GBK" w:hAnsi="方正小标宋_GBK" w:eastAsia="方正小标宋_GBK" w:cs="方正小标宋_GBK"/>
          <w:sz w:val="72"/>
          <w:szCs w:val="72"/>
        </w:rPr>
      </w:pPr>
    </w:p>
    <w:p w14:paraId="29320DF3">
      <w:pPr>
        <w:pStyle w:val="16"/>
        <w:jc w:val="center"/>
        <w:rPr>
          <w:rFonts w:hint="eastAsia" w:ascii="方正小标宋_GBK" w:hAnsi="方正小标宋_GBK" w:eastAsia="方正小标宋_GBK" w:cs="方正小标宋_GBK"/>
          <w:sz w:val="72"/>
          <w:szCs w:val="72"/>
        </w:rPr>
      </w:pPr>
    </w:p>
    <w:p w14:paraId="6181232A">
      <w:pPr>
        <w:pStyle w:val="16"/>
        <w:jc w:val="center"/>
        <w:rPr>
          <w:rFonts w:hint="eastAsia" w:ascii="方正小标宋_GBK" w:hAnsi="方正小标宋_GBK" w:eastAsia="方正小标宋_GBK" w:cs="方正小标宋_GBK"/>
          <w:sz w:val="72"/>
          <w:szCs w:val="72"/>
        </w:rPr>
      </w:pPr>
    </w:p>
    <w:p w14:paraId="28E1A6D6">
      <w:pPr>
        <w:pStyle w:val="16"/>
        <w:jc w:val="center"/>
        <w:rPr>
          <w:rFonts w:hint="eastAsia" w:ascii="方正小标宋_GBK" w:hAnsi="方正小标宋_GBK" w:eastAsia="方正小标宋_GBK" w:cs="方正小标宋_GBK"/>
          <w:sz w:val="72"/>
          <w:szCs w:val="72"/>
        </w:rPr>
      </w:pPr>
    </w:p>
    <w:p w14:paraId="6A5A782C">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2AE81CE8">
      <w:pPr>
        <w:pStyle w:val="16"/>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270B3064"/>
    <w:p w14:paraId="13B0DA1B">
      <w:pPr>
        <w:pStyle w:val="2"/>
      </w:pPr>
    </w:p>
    <w:p w14:paraId="40DF3CBA">
      <w:pPr>
        <w:pStyle w:val="3"/>
      </w:pPr>
    </w:p>
    <w:p w14:paraId="0ED55F66"/>
    <w:p w14:paraId="35385110">
      <w:pPr>
        <w:pStyle w:val="2"/>
      </w:pPr>
    </w:p>
    <w:p w14:paraId="57C81F10">
      <w:pPr>
        <w:pStyle w:val="3"/>
      </w:pPr>
    </w:p>
    <w:p w14:paraId="4F5F8C39"/>
    <w:p w14:paraId="724E0A54"/>
    <w:p w14:paraId="496F732E">
      <w:pPr>
        <w:pStyle w:val="2"/>
      </w:pPr>
    </w:p>
    <w:p w14:paraId="354ECFD8">
      <w:pPr>
        <w:pStyle w:val="3"/>
      </w:pPr>
    </w:p>
    <w:p w14:paraId="51C67B38"/>
    <w:p w14:paraId="4D131F3E"/>
    <w:p w14:paraId="7CFBCE3C">
      <w:pPr>
        <w:pStyle w:val="2"/>
      </w:pPr>
    </w:p>
    <w:p w14:paraId="7436C3F9">
      <w:pPr>
        <w:pStyle w:val="16"/>
        <w:jc w:val="both"/>
        <w:rPr>
          <w:rFonts w:hint="eastAsia" w:ascii="方正小标宋_GBK" w:hAnsi="方正小标宋_GBK" w:eastAsia="方正小标宋_GBK" w:cs="方正小标宋_GBK"/>
          <w:sz w:val="72"/>
          <w:szCs w:val="72"/>
        </w:rPr>
      </w:pPr>
      <w:bookmarkStart w:id="0" w:name="_GoBack"/>
      <w:bookmarkEnd w:id="0"/>
    </w:p>
    <w:p w14:paraId="0C1858E3">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6"/>
        <w:jc w:val="both"/>
        <w:rPr>
          <w:rFonts w:hint="eastAsia" w:ascii="方正小标宋_GBK" w:hAnsi="方正小标宋_GBK" w:eastAsia="方正小标宋_GBK" w:cs="方正小标宋_GBK"/>
          <w:sz w:val="70"/>
          <w:szCs w:val="70"/>
          <w:lang w:eastAsia="zh-CN"/>
        </w:rPr>
      </w:pPr>
    </w:p>
    <w:p w14:paraId="490142D3">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273CC"/>
    <w:rsid w:val="00040CBC"/>
    <w:rsid w:val="000415B7"/>
    <w:rsid w:val="00041E3F"/>
    <w:rsid w:val="00055DAA"/>
    <w:rsid w:val="00061F7B"/>
    <w:rsid w:val="000658A3"/>
    <w:rsid w:val="00074155"/>
    <w:rsid w:val="000A3F69"/>
    <w:rsid w:val="000A5ABD"/>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60F81"/>
    <w:rsid w:val="036F4D79"/>
    <w:rsid w:val="059958AD"/>
    <w:rsid w:val="05CD222A"/>
    <w:rsid w:val="06C857E7"/>
    <w:rsid w:val="075A0FD6"/>
    <w:rsid w:val="07634BF4"/>
    <w:rsid w:val="07D771A8"/>
    <w:rsid w:val="081C1092"/>
    <w:rsid w:val="08C24A73"/>
    <w:rsid w:val="08CE4E94"/>
    <w:rsid w:val="09827358"/>
    <w:rsid w:val="09D341AB"/>
    <w:rsid w:val="0ADB3054"/>
    <w:rsid w:val="0B022976"/>
    <w:rsid w:val="0C3D0AFC"/>
    <w:rsid w:val="0D57354A"/>
    <w:rsid w:val="0E5434E9"/>
    <w:rsid w:val="0FBD50BE"/>
    <w:rsid w:val="11944E2C"/>
    <w:rsid w:val="12583BA5"/>
    <w:rsid w:val="133D745B"/>
    <w:rsid w:val="13BA5B9C"/>
    <w:rsid w:val="14E31122"/>
    <w:rsid w:val="155D7127"/>
    <w:rsid w:val="15E1262B"/>
    <w:rsid w:val="169F72CB"/>
    <w:rsid w:val="17B60D70"/>
    <w:rsid w:val="18C13529"/>
    <w:rsid w:val="191A0E8B"/>
    <w:rsid w:val="196A0064"/>
    <w:rsid w:val="1A4268EB"/>
    <w:rsid w:val="1AE94FB9"/>
    <w:rsid w:val="1BCC7472"/>
    <w:rsid w:val="1C9040BD"/>
    <w:rsid w:val="1D97DEFF"/>
    <w:rsid w:val="1DFF72E5"/>
    <w:rsid w:val="1E5B5386"/>
    <w:rsid w:val="1EFC6F07"/>
    <w:rsid w:val="1F0527A6"/>
    <w:rsid w:val="22AC03C2"/>
    <w:rsid w:val="24375135"/>
    <w:rsid w:val="248A3369"/>
    <w:rsid w:val="276E51C4"/>
    <w:rsid w:val="283B15FE"/>
    <w:rsid w:val="2AD57308"/>
    <w:rsid w:val="2C534988"/>
    <w:rsid w:val="2FDF85B8"/>
    <w:rsid w:val="2FEC3129"/>
    <w:rsid w:val="2FFFEE04"/>
    <w:rsid w:val="300F0BC6"/>
    <w:rsid w:val="31540F86"/>
    <w:rsid w:val="31C95635"/>
    <w:rsid w:val="32FD11AA"/>
    <w:rsid w:val="33437504"/>
    <w:rsid w:val="34DF85B0"/>
    <w:rsid w:val="3700570C"/>
    <w:rsid w:val="37881E0B"/>
    <w:rsid w:val="37B54749"/>
    <w:rsid w:val="3B8F36BC"/>
    <w:rsid w:val="3C765A7D"/>
    <w:rsid w:val="41606017"/>
    <w:rsid w:val="41D659E7"/>
    <w:rsid w:val="43EB5BA5"/>
    <w:rsid w:val="45A46C77"/>
    <w:rsid w:val="46B74041"/>
    <w:rsid w:val="47485D7C"/>
    <w:rsid w:val="481903DC"/>
    <w:rsid w:val="48A57EC2"/>
    <w:rsid w:val="491FF225"/>
    <w:rsid w:val="49872224"/>
    <w:rsid w:val="4A3D2AA8"/>
    <w:rsid w:val="4AEC002A"/>
    <w:rsid w:val="4E6C5709"/>
    <w:rsid w:val="4EC310A1"/>
    <w:rsid w:val="4EEF00E8"/>
    <w:rsid w:val="4F167678"/>
    <w:rsid w:val="4FFD214C"/>
    <w:rsid w:val="510559A1"/>
    <w:rsid w:val="5352765A"/>
    <w:rsid w:val="53FF492A"/>
    <w:rsid w:val="54EF0E42"/>
    <w:rsid w:val="55BD4A9D"/>
    <w:rsid w:val="5777D4F5"/>
    <w:rsid w:val="57F22B6F"/>
    <w:rsid w:val="588C69A8"/>
    <w:rsid w:val="59DD8326"/>
    <w:rsid w:val="5C9522CF"/>
    <w:rsid w:val="5DEF592A"/>
    <w:rsid w:val="5E331DA0"/>
    <w:rsid w:val="5FC6BB1E"/>
    <w:rsid w:val="5FF720F1"/>
    <w:rsid w:val="618D1F43"/>
    <w:rsid w:val="622964C1"/>
    <w:rsid w:val="641C5084"/>
    <w:rsid w:val="671B1623"/>
    <w:rsid w:val="673D4A91"/>
    <w:rsid w:val="67FF5C0B"/>
    <w:rsid w:val="687228E0"/>
    <w:rsid w:val="6B4355EC"/>
    <w:rsid w:val="6BAA4A2F"/>
    <w:rsid w:val="6C4641B6"/>
    <w:rsid w:val="6D2F407A"/>
    <w:rsid w:val="6DDEC5C0"/>
    <w:rsid w:val="6EB30201"/>
    <w:rsid w:val="6ECD3B4B"/>
    <w:rsid w:val="6EFC0924"/>
    <w:rsid w:val="6FB74722"/>
    <w:rsid w:val="6FEF8B7E"/>
    <w:rsid w:val="711A6DEF"/>
    <w:rsid w:val="717FE77F"/>
    <w:rsid w:val="71A6591B"/>
    <w:rsid w:val="71CD5C10"/>
    <w:rsid w:val="722577FA"/>
    <w:rsid w:val="737D59BA"/>
    <w:rsid w:val="737F32B1"/>
    <w:rsid w:val="73BD3FCA"/>
    <w:rsid w:val="74681C20"/>
    <w:rsid w:val="7530098F"/>
    <w:rsid w:val="7583530C"/>
    <w:rsid w:val="776BDA01"/>
    <w:rsid w:val="777170B5"/>
    <w:rsid w:val="77C37683"/>
    <w:rsid w:val="79FF515B"/>
    <w:rsid w:val="7B5D1DB2"/>
    <w:rsid w:val="7C9B5288"/>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unhideWhenUsed/>
    <w:qFormat/>
    <w:uiPriority w:val="99"/>
    <w:pPr>
      <w:spacing w:after="120"/>
    </w:pPr>
  </w:style>
  <w:style w:type="paragraph" w:customStyle="1" w:styleId="6">
    <w:name w:val="正文首行缩进1"/>
    <w:basedOn w:val="1"/>
    <w:qFormat/>
    <w:uiPriority w:val="0"/>
    <w:pPr>
      <w:spacing w:after="120"/>
      <w:ind w:firstLine="420" w:firstLineChars="100"/>
    </w:pPr>
    <w:rPr>
      <w:rFonts w:ascii="Times New Roman" w:hAnsi="Times New Roman"/>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Lines="0" w:beforeAutospacing="1" w:after="100" w:afterLines="0" w:afterAutospacing="1"/>
      <w:jc w:val="left"/>
    </w:pPr>
    <w:rPr>
      <w:rFonts w:hint="eastAsia" w:ascii="宋体" w:hAnsi="宋体" w:cs="宋体"/>
      <w:kern w:val="0"/>
      <w:sz w:val="24"/>
      <w:szCs w:val="24"/>
    </w:rPr>
  </w:style>
  <w:style w:type="paragraph" w:styleId="11">
    <w:name w:val="Body Text First Indent"/>
    <w:basedOn w:val="5"/>
    <w:qFormat/>
    <w:uiPriority w:val="0"/>
    <w:pPr>
      <w:ind w:firstLine="420" w:firstLineChars="100"/>
    </w:p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9589</Words>
  <Characters>10314</Characters>
  <Lines>63</Lines>
  <Paragraphs>18</Paragraphs>
  <TotalTime>26</TotalTime>
  <ScaleCrop>false</ScaleCrop>
  <LinksUpToDate>false</LinksUpToDate>
  <CharactersWithSpaces>10332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吴晓娇</cp:lastModifiedBy>
  <cp:lastPrinted>2024-08-11T02:20:00Z</cp:lastPrinted>
  <dcterms:modified xsi:type="dcterms:W3CDTF">2025-09-29T03:11:48Z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eyJoZGlkIjoiMjJmMzkxZTMzNjUwNTA4ZTdmNTJlZTQwMmE4NGU2OGIiLCJ1c2VySWQiOiIxNDgxMDAxNTc4In0=</vt:lpwstr>
  </property>
</Properties>
</file>