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5"/>
        <w:jc w:val="center"/>
        <w:rPr>
          <w:sz w:val="56"/>
          <w:szCs w:val="56"/>
        </w:rPr>
      </w:pPr>
    </w:p>
    <w:p w14:paraId="3BDF5AB8">
      <w:pPr>
        <w:pStyle w:val="15"/>
        <w:jc w:val="center"/>
        <w:rPr>
          <w:sz w:val="56"/>
          <w:szCs w:val="56"/>
        </w:rPr>
      </w:pPr>
    </w:p>
    <w:p w14:paraId="60CA4575">
      <w:pPr>
        <w:pStyle w:val="15"/>
        <w:jc w:val="center"/>
        <w:rPr>
          <w:sz w:val="84"/>
          <w:szCs w:val="84"/>
        </w:rPr>
      </w:pPr>
    </w:p>
    <w:p w14:paraId="215EB31D">
      <w:pPr>
        <w:pStyle w:val="15"/>
        <w:jc w:val="center"/>
        <w:rPr>
          <w:sz w:val="84"/>
          <w:szCs w:val="84"/>
        </w:rPr>
      </w:pPr>
    </w:p>
    <w:p w14:paraId="376C860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岳阳市交通运输综合行政执法支队单位决</w:t>
      </w:r>
      <w:r>
        <w:rPr>
          <w:rFonts w:hint="eastAsia" w:ascii="方正小标宋_GBK" w:hAnsi="方正小标宋_GBK" w:eastAsia="方正小标宋_GBK" w:cs="方正小标宋_GBK"/>
          <w:sz w:val="84"/>
          <w:szCs w:val="84"/>
        </w:rPr>
        <w:t>算</w:t>
      </w:r>
    </w:p>
    <w:p w14:paraId="3A699C16">
      <w:pPr>
        <w:pStyle w:val="15"/>
        <w:jc w:val="center"/>
        <w:rPr>
          <w:rFonts w:hint="eastAsia" w:ascii="方正小标宋_GBK" w:hAnsi="方正小标宋_GBK" w:eastAsia="方正小标宋_GBK" w:cs="方正小标宋_GBK"/>
          <w:sz w:val="56"/>
          <w:szCs w:val="56"/>
        </w:rPr>
      </w:pPr>
    </w:p>
    <w:p w14:paraId="72C8FB58">
      <w:pPr>
        <w:pStyle w:val="15"/>
        <w:jc w:val="center"/>
        <w:rPr>
          <w:sz w:val="56"/>
          <w:szCs w:val="56"/>
        </w:rPr>
      </w:pPr>
    </w:p>
    <w:p w14:paraId="25018D25">
      <w:pPr>
        <w:pStyle w:val="15"/>
        <w:jc w:val="center"/>
        <w:rPr>
          <w:sz w:val="56"/>
          <w:szCs w:val="56"/>
        </w:rPr>
      </w:pPr>
    </w:p>
    <w:p w14:paraId="5EE73A38">
      <w:pPr>
        <w:pStyle w:val="15"/>
        <w:jc w:val="center"/>
        <w:rPr>
          <w:sz w:val="56"/>
          <w:szCs w:val="56"/>
        </w:rPr>
      </w:pPr>
    </w:p>
    <w:p w14:paraId="297571C5">
      <w:pPr>
        <w:pStyle w:val="15"/>
        <w:jc w:val="center"/>
        <w:rPr>
          <w:sz w:val="32"/>
          <w:szCs w:val="32"/>
        </w:rPr>
      </w:pPr>
    </w:p>
    <w:p w14:paraId="08493D1E">
      <w:pPr>
        <w:pStyle w:val="15"/>
        <w:jc w:val="center"/>
        <w:rPr>
          <w:sz w:val="32"/>
          <w:szCs w:val="32"/>
        </w:rPr>
      </w:pPr>
    </w:p>
    <w:p w14:paraId="5BD6E8BD">
      <w:pPr>
        <w:pStyle w:val="15"/>
        <w:jc w:val="center"/>
        <w:rPr>
          <w:sz w:val="32"/>
          <w:szCs w:val="32"/>
        </w:rPr>
      </w:pPr>
    </w:p>
    <w:p w14:paraId="50228290">
      <w:pPr>
        <w:pStyle w:val="15"/>
        <w:spacing w:line="540" w:lineRule="exact"/>
        <w:jc w:val="both"/>
        <w:rPr>
          <w:sz w:val="56"/>
          <w:szCs w:val="56"/>
        </w:rPr>
      </w:pPr>
    </w:p>
    <w:p w14:paraId="459C483D">
      <w:pPr>
        <w:pStyle w:val="15"/>
        <w:spacing w:line="500" w:lineRule="exact"/>
        <w:jc w:val="both"/>
        <w:rPr>
          <w:b/>
          <w:sz w:val="36"/>
          <w:szCs w:val="28"/>
        </w:rPr>
      </w:pPr>
    </w:p>
    <w:p w14:paraId="54149151">
      <w:pPr>
        <w:pStyle w:val="15"/>
        <w:spacing w:line="500" w:lineRule="exact"/>
        <w:jc w:val="center"/>
        <w:rPr>
          <w:rFonts w:hint="eastAsia"/>
          <w:b/>
          <w:sz w:val="36"/>
          <w:szCs w:val="28"/>
        </w:rPr>
      </w:pPr>
    </w:p>
    <w:p w14:paraId="24F3309B">
      <w:pPr>
        <w:pStyle w:val="15"/>
        <w:spacing w:line="500" w:lineRule="exact"/>
        <w:jc w:val="center"/>
        <w:rPr>
          <w:rFonts w:hint="eastAsia"/>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0969E93F">
      <w:pPr>
        <w:pStyle w:val="15"/>
        <w:spacing w:line="500" w:lineRule="exact"/>
        <w:jc w:val="center"/>
        <w:rPr>
          <w:rFonts w:hint="eastAsia"/>
          <w:b/>
          <w:sz w:val="36"/>
          <w:szCs w:val="28"/>
        </w:rPr>
      </w:pPr>
    </w:p>
    <w:p w14:paraId="6CBD0C2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岳阳市交通运输综合行政执法支队</w:t>
      </w:r>
      <w:r>
        <w:rPr>
          <w:rFonts w:hint="eastAsia" w:ascii="黑体" w:hAnsi="黑体" w:eastAsia="黑体" w:cs="黑体"/>
          <w:b w:val="0"/>
          <w:bCs/>
          <w:sz w:val="28"/>
          <w:szCs w:val="28"/>
        </w:rPr>
        <w:t>概况</w:t>
      </w:r>
    </w:p>
    <w:p w14:paraId="060CB1D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5"/>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5"/>
        <w:jc w:val="center"/>
        <w:rPr>
          <w:rFonts w:hint="eastAsia" w:ascii="方正小标宋_GBK" w:hAnsi="方正小标宋_GBK" w:eastAsia="方正小标宋_GBK" w:cs="方正小标宋_GBK"/>
          <w:sz w:val="84"/>
          <w:szCs w:val="84"/>
        </w:rPr>
      </w:pPr>
    </w:p>
    <w:p w14:paraId="1095DEAB">
      <w:pPr>
        <w:pStyle w:val="15"/>
        <w:jc w:val="center"/>
        <w:rPr>
          <w:rFonts w:hint="eastAsia" w:ascii="方正小标宋_GBK" w:hAnsi="方正小标宋_GBK" w:eastAsia="方正小标宋_GBK" w:cs="方正小标宋_GBK"/>
          <w:sz w:val="84"/>
          <w:szCs w:val="84"/>
        </w:rPr>
      </w:pPr>
    </w:p>
    <w:p w14:paraId="0DEEC24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5"/>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岳阳市交通运输行政执法支队</w:t>
      </w:r>
      <w:r>
        <w:rPr>
          <w:rFonts w:hint="eastAsia" w:ascii="方正小标宋_GBK" w:hAnsi="方正小标宋_GBK" w:eastAsia="方正小标宋_GBK" w:cs="方正小标宋_GBK"/>
          <w:sz w:val="84"/>
          <w:szCs w:val="84"/>
        </w:rPr>
        <w:t>单位概况</w:t>
      </w:r>
    </w:p>
    <w:p w14:paraId="77A0C778">
      <w:pPr>
        <w:pStyle w:val="9"/>
        <w:rPr>
          <w:rFonts w:hint="eastAsia" w:ascii="方正小标宋_GBK" w:hAnsi="方正小标宋_GBK" w:eastAsia="方正小标宋_GBK" w:cs="方正小标宋_GBK"/>
          <w:sz w:val="84"/>
          <w:szCs w:val="84"/>
        </w:rPr>
      </w:pPr>
    </w:p>
    <w:p w14:paraId="1469560B">
      <w:pPr>
        <w:pStyle w:val="5"/>
        <w:ind w:left="0" w:leftChars="0" w:firstLine="0" w:firstLineChars="0"/>
        <w:rPr>
          <w:rFonts w:hint="eastAsia" w:ascii="方正小标宋_GBK" w:hAnsi="方正小标宋_GBK" w:eastAsia="方正小标宋_GBK" w:cs="方正小标宋_GBK"/>
          <w:sz w:val="84"/>
          <w:szCs w:val="84"/>
        </w:rPr>
      </w:pPr>
    </w:p>
    <w:p w14:paraId="4D6D73CF">
      <w:pPr>
        <w:pStyle w:val="9"/>
        <w:rPr>
          <w:rFonts w:hint="eastAsia" w:ascii="方正小标宋_GBK" w:hAnsi="方正小标宋_GBK" w:eastAsia="方正小标宋_GBK" w:cs="方正小标宋_GBK"/>
          <w:sz w:val="84"/>
          <w:szCs w:val="84"/>
        </w:rPr>
      </w:pPr>
    </w:p>
    <w:p w14:paraId="76E63EF2">
      <w:pPr>
        <w:pStyle w:val="5"/>
        <w:rPr>
          <w:rFonts w:hint="eastAsia"/>
        </w:rPr>
      </w:pPr>
    </w:p>
    <w:p w14:paraId="55E857AF">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DDD79C3">
      <w:pPr>
        <w:numPr>
          <w:ilvl w:val="0"/>
          <w:numId w:val="0"/>
        </w:numPr>
        <w:wordWrap/>
        <w:autoSpaceDE w:val="0"/>
        <w:autoSpaceDN w:val="0"/>
        <w:spacing w:before="40" w:after="0" w:line="553" w:lineRule="atLeast"/>
        <w:ind w:leftChars="0" w:right="560" w:rightChars="0" w:firstLine="960" w:firstLineChars="300"/>
        <w:jc w:val="left"/>
        <w:textAlignment w:val="auto"/>
        <w:rPr>
          <w:rFonts w:hint="eastAsia" w:ascii="仿宋" w:hAnsi="仿宋" w:eastAsia="仿宋" w:cs="仿宋"/>
          <w:b w:val="0"/>
          <w:bCs/>
          <w:sz w:val="32"/>
        </w:rPr>
      </w:pPr>
      <w:r>
        <w:rPr>
          <w:rFonts w:hint="eastAsia" w:ascii="仿宋" w:hAnsi="仿宋" w:eastAsia="仿宋" w:cs="仿宋"/>
          <w:b w:val="0"/>
          <w:bCs/>
          <w:i w:val="0"/>
          <w:color w:val="000000"/>
          <w:sz w:val="32"/>
        </w:rPr>
        <w:t>市交通运输执法支队以市交通运输局名义对外开展行政执法活动。在履职过程中，贯彻落实党中央关于交通运输综合行政执法工作的方针政策和省委、市委决策部署，坚持和加强党对交通运输综合行政执法工作的集中统一领导，为政府治理体系和治理能力现代化提供有力支撑。主要职责是：</w:t>
      </w:r>
    </w:p>
    <w:p w14:paraId="53AA2B16">
      <w:pPr>
        <w:numPr>
          <w:ilvl w:val="0"/>
          <w:numId w:val="0"/>
        </w:numPr>
        <w:wordWrap/>
        <w:autoSpaceDE w:val="0"/>
        <w:autoSpaceDN w:val="0"/>
        <w:spacing w:before="0" w:after="0" w:line="560" w:lineRule="atLeast"/>
        <w:ind w:leftChars="0" w:right="700" w:rightChars="0" w:firstLine="640" w:firstLineChars="200"/>
        <w:jc w:val="left"/>
        <w:textAlignment w:val="auto"/>
        <w:rPr>
          <w:rFonts w:hint="eastAsia" w:ascii="仿宋" w:hAnsi="仿宋" w:eastAsia="仿宋" w:cs="仿宋"/>
          <w:b w:val="0"/>
          <w:bCs/>
          <w:sz w:val="32"/>
        </w:rPr>
      </w:pPr>
      <w:r>
        <w:rPr>
          <w:rFonts w:hint="eastAsia" w:ascii="仿宋" w:hAnsi="仿宋" w:eastAsia="仿宋" w:cs="仿宋"/>
          <w:b w:val="0"/>
          <w:bCs/>
          <w:i w:val="0"/>
          <w:color w:val="000000"/>
          <w:sz w:val="32"/>
        </w:rPr>
        <w:t>(一)贯彻执行国家、省、市和上级交通主管部门有关交通运输工作的法律、法规、规章和政策规定；参与拟订全市交通运输综合行政执法相关的地方性法规、规章、规范性文件、总体规划和年度计划，并组织实施。</w:t>
      </w:r>
    </w:p>
    <w:p w14:paraId="0DC0A058">
      <w:pPr>
        <w:numPr>
          <w:ilvl w:val="0"/>
          <w:numId w:val="0"/>
        </w:numPr>
        <w:wordWrap/>
        <w:autoSpaceDE w:val="0"/>
        <w:autoSpaceDN w:val="0"/>
        <w:spacing w:before="20" w:after="0" w:line="560" w:lineRule="atLeast"/>
        <w:ind w:leftChars="0" w:right="700" w:rightChars="0" w:firstLine="640" w:firstLineChars="200"/>
        <w:jc w:val="left"/>
        <w:textAlignment w:val="auto"/>
        <w:rPr>
          <w:rFonts w:hint="eastAsia" w:ascii="仿宋" w:hAnsi="仿宋" w:eastAsia="仿宋" w:cs="仿宋"/>
          <w:b w:val="0"/>
          <w:bCs/>
          <w:sz w:val="31"/>
        </w:rPr>
      </w:pPr>
      <w:r>
        <w:rPr>
          <w:rFonts w:hint="eastAsia" w:ascii="仿宋" w:hAnsi="仿宋" w:eastAsia="仿宋" w:cs="仿宋"/>
          <w:b w:val="0"/>
          <w:bCs/>
          <w:i w:val="0"/>
          <w:color w:val="000000"/>
          <w:sz w:val="32"/>
        </w:rPr>
        <w:t>(二)承担市本级和市辖区范围内(含岳阳经济技术开发区、南湖新区和城陵矶新港区)交通运输综合行政执法工作；代表市交通运输局对县(市)、屈原管理区交通运输行政执法工作进行指导、考核；承担全市高速公路的公路管理、</w:t>
      </w:r>
      <w:r>
        <w:rPr>
          <w:rFonts w:hint="eastAsia" w:ascii="仿宋" w:hAnsi="仿宋" w:eastAsia="仿宋" w:cs="仿宋"/>
          <w:b w:val="0"/>
          <w:bCs/>
          <w:i w:val="0"/>
          <w:color w:val="000000"/>
          <w:sz w:val="31"/>
        </w:rPr>
        <w:t>道路运输管理执法，G107公路管理执法，专用铁路与铁路专用线管理执法，全市水运工程、国省干线公路建设及养护、农村公路大桥及以上工程的质量安全监督执法。</w:t>
      </w:r>
    </w:p>
    <w:p w14:paraId="7E10926D">
      <w:pPr>
        <w:numPr>
          <w:ilvl w:val="0"/>
          <w:numId w:val="0"/>
        </w:numPr>
        <w:wordWrap/>
        <w:autoSpaceDE w:val="0"/>
        <w:autoSpaceDN w:val="0"/>
        <w:spacing w:before="60" w:after="0" w:line="548" w:lineRule="atLeast"/>
        <w:ind w:leftChars="0" w:right="1060" w:rightChars="0" w:firstLine="620" w:firstLineChars="200"/>
        <w:jc w:val="both"/>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三)承担权限内道路运输管理(不含岳阳火车站地区)、公路管理、水路运输管理、航道管理、港口管理、海事管理、交通建设工程质量安全监督、专用铁路与铁路专用线管理的行政处罚及相应的行政检查、行政强制等行政执法工作。</w:t>
      </w:r>
    </w:p>
    <w:p w14:paraId="49791B33">
      <w:pPr>
        <w:numPr>
          <w:ilvl w:val="0"/>
          <w:numId w:val="0"/>
        </w:numPr>
        <w:wordWrap/>
        <w:autoSpaceDE w:val="0"/>
        <w:autoSpaceDN w:val="0"/>
        <w:spacing w:before="60" w:after="0" w:line="540" w:lineRule="atLeast"/>
        <w:ind w:leftChars="0" w:right="1060" w:rightChars="0" w:firstLine="620" w:firstLineChars="200"/>
        <w:jc w:val="both"/>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(四)对权限内交通运输市场主体及从业人员的经营行为实施监督检查，查处违法违规经营行为；治理货运车辆超限运输，联合整治非法营运，维护交通运输市场秩序。</w:t>
      </w:r>
    </w:p>
    <w:p w14:paraId="1C26683E">
      <w:pPr>
        <w:numPr>
          <w:ilvl w:val="0"/>
          <w:numId w:val="0"/>
        </w:numPr>
        <w:wordWrap/>
        <w:autoSpaceDE w:val="0"/>
        <w:autoSpaceDN w:val="0"/>
        <w:spacing w:before="20" w:after="0" w:line="547" w:lineRule="atLeast"/>
        <w:ind w:leftChars="0" w:right="1100" w:rightChars="0" w:firstLine="620" w:firstLineChars="200"/>
        <w:jc w:val="left"/>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(五)拟定全市交通运输综合行政执法的程序、标准；承办全市重大复杂交通运输违法案件；组织实施跨行业、跨区域联合执法行动。</w:t>
      </w:r>
    </w:p>
    <w:p w14:paraId="586405F3">
      <w:pPr>
        <w:numPr>
          <w:ilvl w:val="0"/>
          <w:numId w:val="0"/>
        </w:numPr>
        <w:wordWrap/>
        <w:autoSpaceDE w:val="0"/>
        <w:autoSpaceDN w:val="0"/>
        <w:spacing w:before="20" w:after="0" w:line="560" w:lineRule="atLeast"/>
        <w:ind w:leftChars="0" w:right="1080" w:rightChars="0" w:firstLine="620" w:firstLineChars="200"/>
        <w:jc w:val="left"/>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(六)承担交通运输综合行政执法有关信访举报、服务投诉及违法违规行为抄告等事项的受理、处理等工作。</w:t>
      </w:r>
    </w:p>
    <w:p w14:paraId="312E709F">
      <w:pPr>
        <w:numPr>
          <w:ilvl w:val="0"/>
          <w:numId w:val="0"/>
        </w:numPr>
        <w:wordWrap/>
        <w:autoSpaceDE w:val="0"/>
        <w:autoSpaceDN w:val="0"/>
        <w:spacing w:before="20" w:after="0" w:line="560" w:lineRule="atLeast"/>
        <w:ind w:leftChars="0" w:right="1060" w:rightChars="0" w:firstLine="620" w:firstLineChars="200"/>
        <w:jc w:val="left"/>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(七)参与交通运输行业平安建设、诚信体系建设；承担本单位安全生产工作。</w:t>
      </w:r>
    </w:p>
    <w:p w14:paraId="5F77FBD0">
      <w:pPr>
        <w:numPr>
          <w:ilvl w:val="0"/>
          <w:numId w:val="0"/>
        </w:numPr>
        <w:wordWrap/>
        <w:autoSpaceDE w:val="0"/>
        <w:autoSpaceDN w:val="0"/>
        <w:spacing w:before="20" w:after="0" w:line="547" w:lineRule="atLeast"/>
        <w:ind w:leftChars="0" w:right="1100" w:rightChars="0" w:firstLine="620" w:firstLineChars="200"/>
        <w:jc w:val="both"/>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(八)参与全市节假日运输、重大物资运输、抢险救灾、交通战备等应急运输保障工作；配合相关部门做好联合运输工作。</w:t>
      </w:r>
    </w:p>
    <w:p w14:paraId="2F856BB5">
      <w:pPr>
        <w:numPr>
          <w:ilvl w:val="0"/>
          <w:numId w:val="0"/>
        </w:numPr>
        <w:wordWrap/>
        <w:autoSpaceDE w:val="0"/>
        <w:autoSpaceDN w:val="0"/>
        <w:spacing w:before="200" w:after="0" w:line="380" w:lineRule="atLeast"/>
        <w:ind w:leftChars="0" w:right="0" w:rightChars="0" w:firstLine="620" w:firstLineChars="200"/>
        <w:jc w:val="both"/>
        <w:textAlignment w:val="auto"/>
        <w:rPr>
          <w:rFonts w:hint="eastAsia" w:ascii="仿宋" w:hAnsi="仿宋" w:eastAsia="仿宋" w:cs="仿宋"/>
          <w:b w:val="0"/>
          <w:bCs/>
          <w:sz w:val="31"/>
        </w:rPr>
      </w:pPr>
      <w:r>
        <w:rPr>
          <w:rFonts w:hint="eastAsia" w:ascii="仿宋" w:hAnsi="仿宋" w:eastAsia="仿宋" w:cs="仿宋"/>
          <w:b w:val="0"/>
          <w:bCs/>
          <w:i w:val="0"/>
          <w:color w:val="000000"/>
          <w:sz w:val="31"/>
        </w:rPr>
        <w:t>(九)完成市交通运输局交办的其他工作。</w:t>
      </w:r>
    </w:p>
    <w:p w14:paraId="3B781941">
      <w:pPr>
        <w:widowControl/>
        <w:spacing w:line="600" w:lineRule="exact"/>
        <w:rPr>
          <w:rFonts w:hint="eastAsia" w:ascii="黑体" w:hAnsi="黑体" w:eastAsia="黑体" w:cs="黑体"/>
          <w:b w:val="0"/>
          <w:bCs/>
          <w:kern w:val="0"/>
          <w:sz w:val="32"/>
          <w:szCs w:val="32"/>
        </w:rPr>
      </w:pPr>
    </w:p>
    <w:p w14:paraId="2DC82B10">
      <w:pPr>
        <w:widowControl/>
        <w:numPr>
          <w:ilvl w:val="0"/>
          <w:numId w:val="2"/>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机构设置及决算单位构成</w:t>
      </w:r>
    </w:p>
    <w:p w14:paraId="06788831">
      <w:pPr>
        <w:pStyle w:val="2"/>
        <w:numPr>
          <w:ilvl w:val="0"/>
          <w:numId w:val="0"/>
        </w:numPr>
        <w:rPr>
          <w:rFonts w:hint="eastAsia"/>
        </w:rPr>
      </w:pPr>
    </w:p>
    <w:p w14:paraId="3AD8DA9D">
      <w:pPr>
        <w:spacing w:line="600" w:lineRule="exact"/>
        <w:ind w:firstLine="640" w:firstLineChars="200"/>
        <w:rPr>
          <w:rFonts w:hint="eastAsia" w:ascii="宋体" w:hAnsi="宋体" w:eastAsia="宋体" w:cs="宋体"/>
          <w:b w:val="0"/>
          <w:bCs w:val="0"/>
          <w:kern w:val="0"/>
          <w:sz w:val="28"/>
          <w:szCs w:val="28"/>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岳阳市交通运输综合行政执法支队</w:t>
      </w:r>
      <w:r>
        <w:rPr>
          <w:rFonts w:hint="eastAsia" w:ascii="Times New Roman" w:hAnsi="Times New Roman" w:eastAsia="仿宋_GB2312" w:cs="仿宋_GB2312"/>
          <w:bCs/>
          <w:kern w:val="0"/>
          <w:sz w:val="32"/>
          <w:szCs w:val="32"/>
        </w:rPr>
        <w:t>单位内设机构包括：</w:t>
      </w:r>
      <w:r>
        <w:rPr>
          <w:rFonts w:hint="eastAsia" w:ascii="仿宋" w:hAnsi="仿宋" w:eastAsia="仿宋" w:cs="仿宋"/>
          <w:b w:val="0"/>
          <w:bCs w:val="0"/>
          <w:sz w:val="32"/>
          <w:szCs w:val="32"/>
        </w:rPr>
        <w:t>综合科、财务科、执法协调科、</w:t>
      </w:r>
      <w:r>
        <w:rPr>
          <w:rFonts w:hint="eastAsia" w:ascii="仿宋" w:hAnsi="仿宋" w:eastAsia="仿宋" w:cs="仿宋"/>
          <w:b w:val="0"/>
          <w:bCs w:val="0"/>
          <w:sz w:val="32"/>
          <w:szCs w:val="32"/>
          <w:lang w:val="en-US" w:eastAsia="zh-CN"/>
        </w:rPr>
        <w:t>道路</w:t>
      </w:r>
      <w:r>
        <w:rPr>
          <w:rFonts w:hint="eastAsia" w:ascii="仿宋" w:hAnsi="仿宋" w:eastAsia="仿宋" w:cs="仿宋"/>
          <w:b w:val="0"/>
          <w:bCs w:val="0"/>
          <w:sz w:val="32"/>
          <w:szCs w:val="32"/>
        </w:rPr>
        <w:t>运输市场秩序科、路域</w:t>
      </w:r>
      <w:r>
        <w:rPr>
          <w:rFonts w:hint="eastAsia" w:ascii="仿宋" w:hAnsi="仿宋" w:eastAsia="仿宋" w:cs="仿宋"/>
          <w:b w:val="0"/>
          <w:bCs w:val="0"/>
          <w:sz w:val="32"/>
          <w:szCs w:val="32"/>
          <w:lang w:val="en-US" w:eastAsia="zh-CN"/>
        </w:rPr>
        <w:t>水域</w:t>
      </w:r>
      <w:r>
        <w:rPr>
          <w:rFonts w:hint="eastAsia" w:ascii="仿宋" w:hAnsi="仿宋" w:eastAsia="仿宋" w:cs="仿宋"/>
          <w:b w:val="0"/>
          <w:bCs w:val="0"/>
          <w:sz w:val="32"/>
          <w:szCs w:val="32"/>
        </w:rPr>
        <w:t>环境科、党委办公室、退休人员管理服务科。下设</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个直属机构，分别为</w:t>
      </w:r>
      <w:r>
        <w:rPr>
          <w:rFonts w:hint="eastAsia" w:ascii="仿宋" w:hAnsi="仿宋" w:eastAsia="仿宋" w:cs="仿宋"/>
          <w:b w:val="0"/>
          <w:bCs w:val="0"/>
          <w:sz w:val="32"/>
          <w:szCs w:val="32"/>
          <w:lang w:val="en-US" w:eastAsia="zh-CN"/>
        </w:rPr>
        <w:t>岳阳楼大队、云溪大队、君山大队、法治大队、高速公路执法大队、水上执法大队、行政处罚执法大队、公路路政和超限治理执法大队、道路运政执法大队、公交执法大队</w:t>
      </w:r>
      <w:r>
        <w:rPr>
          <w:rFonts w:hint="eastAsia" w:ascii="宋体" w:hAnsi="宋体" w:eastAsia="宋体" w:cs="宋体"/>
          <w:b w:val="0"/>
          <w:bCs w:val="0"/>
          <w:kern w:val="0"/>
          <w:sz w:val="28"/>
          <w:szCs w:val="28"/>
          <w:lang w:eastAsia="zh-CN"/>
        </w:rPr>
        <w:t>。</w:t>
      </w:r>
    </w:p>
    <w:p w14:paraId="40E8B4A7">
      <w:pPr>
        <w:pStyle w:val="2"/>
        <w:rPr>
          <w:rFonts w:hint="eastAsia"/>
        </w:rPr>
      </w:pPr>
    </w:p>
    <w:p w14:paraId="40DCB25C">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岳阳市交通运输综合行政执法支队</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仿宋"/>
          <w:bCs/>
          <w:kern w:val="0"/>
          <w:sz w:val="32"/>
          <w:szCs w:val="32"/>
          <w:lang w:val="en-US" w:eastAsia="zh-CN"/>
        </w:rPr>
        <w:t>岳阳市交通运输综合行政执法支队</w:t>
      </w:r>
      <w:r>
        <w:rPr>
          <w:rFonts w:hint="eastAsia" w:ascii="仿宋" w:hAnsi="仿宋" w:eastAsia="仿宋" w:cs="仿宋"/>
          <w:bCs/>
          <w:kern w:val="0"/>
          <w:sz w:val="32"/>
          <w:szCs w:val="32"/>
        </w:rPr>
        <w:t>单位本级</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本单位无独立核算的下属单位，2024年度部门决算汇总公开单位仅包括岳阳市交通运输综合行政执法支队单位本级。</w:t>
      </w:r>
    </w:p>
    <w:p w14:paraId="746F0959">
      <w:pPr>
        <w:widowControl/>
        <w:spacing w:line="600" w:lineRule="exact"/>
        <w:rPr>
          <w:rFonts w:hint="eastAsia" w:ascii="Times New Roman" w:hAnsi="Times New Roman" w:eastAsia="仿宋_GB2312" w:cs="仿宋_GB2312"/>
          <w:bCs/>
          <w:kern w:val="0"/>
          <w:sz w:val="32"/>
          <w:szCs w:val="32"/>
        </w:rPr>
      </w:pPr>
    </w:p>
    <w:p w14:paraId="38152785"/>
    <w:p w14:paraId="3CE56614">
      <w:pPr>
        <w:pStyle w:val="9"/>
      </w:pPr>
    </w:p>
    <w:p w14:paraId="70B4D569">
      <w:pPr>
        <w:pStyle w:val="5"/>
      </w:pPr>
    </w:p>
    <w:p w14:paraId="5B1D6CBC"/>
    <w:p w14:paraId="7D6C31E4">
      <w:pPr>
        <w:pStyle w:val="9"/>
      </w:pPr>
    </w:p>
    <w:p w14:paraId="056E4ECA">
      <w:pPr>
        <w:pStyle w:val="5"/>
      </w:pPr>
    </w:p>
    <w:p w14:paraId="3288C9C5"/>
    <w:p w14:paraId="14507043">
      <w:pPr>
        <w:pStyle w:val="9"/>
      </w:pPr>
    </w:p>
    <w:p w14:paraId="465EA8BD">
      <w:pPr>
        <w:pStyle w:val="5"/>
      </w:pPr>
    </w:p>
    <w:p w14:paraId="49E51758"/>
    <w:p w14:paraId="3DC8C6CD">
      <w:pPr>
        <w:pStyle w:val="9"/>
      </w:pPr>
    </w:p>
    <w:p w14:paraId="36E702E5">
      <w:pPr>
        <w:pStyle w:val="5"/>
      </w:pPr>
    </w:p>
    <w:p w14:paraId="0416550A"/>
    <w:p w14:paraId="28B49BCE">
      <w:pPr>
        <w:pStyle w:val="9"/>
      </w:pPr>
    </w:p>
    <w:p w14:paraId="43291855">
      <w:pPr>
        <w:pStyle w:val="5"/>
      </w:pPr>
    </w:p>
    <w:p w14:paraId="7CD92489"/>
    <w:p w14:paraId="5267F12B">
      <w:pPr>
        <w:pStyle w:val="9"/>
      </w:pPr>
    </w:p>
    <w:p w14:paraId="28828498">
      <w:pPr>
        <w:pStyle w:val="5"/>
      </w:pPr>
    </w:p>
    <w:p w14:paraId="04E62672"/>
    <w:p w14:paraId="1D6D7A8B">
      <w:pPr>
        <w:pStyle w:val="9"/>
      </w:pPr>
    </w:p>
    <w:p w14:paraId="2E47952B">
      <w:pPr>
        <w:pStyle w:val="5"/>
      </w:pPr>
    </w:p>
    <w:p w14:paraId="18A19BE5"/>
    <w:p w14:paraId="661BBFC8">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5"/>
        <w:jc w:val="center"/>
        <w:rPr>
          <w:rFonts w:hint="eastAsia" w:ascii="方正小标宋_GBK" w:hAnsi="方正小标宋_GBK" w:eastAsia="方正小标宋_GBK" w:cs="方正小标宋_GBK"/>
          <w:sz w:val="84"/>
          <w:szCs w:val="84"/>
        </w:rPr>
      </w:pPr>
    </w:p>
    <w:p w14:paraId="3860F18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5"/>
        <w:jc w:val="center"/>
        <w:rPr>
          <w:rFonts w:hint="eastAsia" w:ascii="仿宋_GB2312" w:hAnsi="仿宋_GB2312" w:eastAsia="仿宋_GB2312" w:cs="仿宋_GB2312"/>
          <w:b w:val="0"/>
          <w:bCs w:val="0"/>
          <w:sz w:val="72"/>
          <w:szCs w:val="72"/>
          <w:lang w:eastAsia="zh-CN"/>
        </w:rPr>
      </w:pPr>
    </w:p>
    <w:p w14:paraId="0568D1B8">
      <w:pPr>
        <w:pStyle w:val="15"/>
        <w:jc w:val="center"/>
        <w:rPr>
          <w:rFonts w:hint="eastAsia" w:ascii="仿宋_GB2312" w:hAnsi="仿宋_GB2312" w:eastAsia="仿宋_GB2312" w:cs="仿宋_GB2312"/>
          <w:b w:val="0"/>
          <w:bCs w:val="0"/>
          <w:sz w:val="72"/>
          <w:szCs w:val="72"/>
          <w:lang w:eastAsia="zh-CN"/>
        </w:rPr>
      </w:pPr>
    </w:p>
    <w:p w14:paraId="5C65B646">
      <w:pPr>
        <w:pStyle w:val="15"/>
        <w:jc w:val="center"/>
        <w:rPr>
          <w:rFonts w:hint="eastAsia" w:ascii="仿宋_GB2312" w:hAnsi="仿宋_GB2312" w:eastAsia="仿宋_GB2312" w:cs="仿宋_GB2312"/>
          <w:b w:val="0"/>
          <w:bCs w:val="0"/>
          <w:sz w:val="72"/>
          <w:szCs w:val="72"/>
          <w:lang w:eastAsia="zh-CN"/>
        </w:rPr>
      </w:pPr>
    </w:p>
    <w:p w14:paraId="29D6FC7A">
      <w:pPr>
        <w:pStyle w:val="15"/>
        <w:jc w:val="both"/>
        <w:rPr>
          <w:rFonts w:hint="eastAsia" w:ascii="方正小标宋_GBK" w:hAnsi="方正小标宋_GBK" w:eastAsia="方正小标宋_GBK" w:cs="方正小标宋_GBK"/>
          <w:sz w:val="72"/>
          <w:szCs w:val="72"/>
        </w:rPr>
      </w:pPr>
    </w:p>
    <w:p w14:paraId="60C89C13">
      <w:pPr>
        <w:pStyle w:val="15"/>
        <w:jc w:val="center"/>
        <w:rPr>
          <w:rFonts w:hint="eastAsia" w:ascii="方正小标宋_GBK" w:hAnsi="方正小标宋_GBK" w:eastAsia="方正小标宋_GBK" w:cs="方正小标宋_GBK"/>
          <w:sz w:val="72"/>
          <w:szCs w:val="72"/>
        </w:rPr>
      </w:pPr>
    </w:p>
    <w:p w14:paraId="1CD18ACB">
      <w:pPr>
        <w:pStyle w:val="15"/>
        <w:jc w:val="center"/>
        <w:rPr>
          <w:rFonts w:hint="eastAsia" w:ascii="方正小标宋_GBK" w:hAnsi="方正小标宋_GBK" w:eastAsia="方正小标宋_GBK" w:cs="方正小标宋_GBK"/>
          <w:sz w:val="72"/>
          <w:szCs w:val="72"/>
        </w:rPr>
      </w:pPr>
    </w:p>
    <w:p w14:paraId="7804FBAA">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5"/>
        <w:jc w:val="center"/>
        <w:rPr>
          <w:rFonts w:hint="eastAsia" w:ascii="方正小标宋_GBK" w:hAnsi="方正小标宋_GBK" w:eastAsia="方正小标宋_GBK" w:cs="方正小标宋_GBK"/>
          <w:sz w:val="70"/>
          <w:szCs w:val="70"/>
        </w:rPr>
      </w:pPr>
    </w:p>
    <w:p w14:paraId="4F77A5A6">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5"/>
        <w:jc w:val="center"/>
        <w:rPr>
          <w:rFonts w:hint="eastAsia" w:ascii="方正小标宋_GBK" w:hAnsi="方正小标宋_GBK" w:eastAsia="方正小标宋_GBK" w:cs="方正小标宋_GBK"/>
          <w:sz w:val="70"/>
          <w:szCs w:val="70"/>
        </w:rPr>
      </w:pPr>
    </w:p>
    <w:p w14:paraId="6EEC30AB">
      <w:pPr>
        <w:pStyle w:val="15"/>
        <w:jc w:val="center"/>
        <w:rPr>
          <w:rFonts w:hint="eastAsia" w:ascii="方正小标宋_GBK" w:hAnsi="方正小标宋_GBK" w:eastAsia="方正小标宋_GBK" w:cs="方正小标宋_GBK"/>
          <w:sz w:val="70"/>
          <w:szCs w:val="70"/>
        </w:rPr>
      </w:pPr>
    </w:p>
    <w:p w14:paraId="417367C1">
      <w:pPr>
        <w:pStyle w:val="15"/>
        <w:jc w:val="center"/>
        <w:rPr>
          <w:rFonts w:hint="eastAsia" w:ascii="方正小标宋_GBK" w:hAnsi="方正小标宋_GBK" w:eastAsia="方正小标宋_GBK" w:cs="方正小标宋_GBK"/>
          <w:sz w:val="70"/>
          <w:szCs w:val="70"/>
        </w:rPr>
      </w:pPr>
    </w:p>
    <w:p w14:paraId="5EF1049C">
      <w:pPr>
        <w:pStyle w:val="15"/>
        <w:jc w:val="center"/>
        <w:rPr>
          <w:rFonts w:hint="eastAsia" w:ascii="方正小标宋_GBK" w:hAnsi="方正小标宋_GBK" w:eastAsia="方正小标宋_GBK" w:cs="方正小标宋_GBK"/>
          <w:sz w:val="70"/>
          <w:szCs w:val="70"/>
        </w:rPr>
      </w:pPr>
    </w:p>
    <w:p w14:paraId="7E4B3CF9">
      <w:pPr>
        <w:pStyle w:val="15"/>
        <w:jc w:val="center"/>
        <w:rPr>
          <w:rFonts w:hint="eastAsia" w:ascii="方正小标宋_GBK" w:hAnsi="方正小标宋_GBK" w:eastAsia="方正小标宋_GBK" w:cs="方正小标宋_GBK"/>
          <w:sz w:val="70"/>
          <w:szCs w:val="70"/>
        </w:rPr>
      </w:pPr>
    </w:p>
    <w:p w14:paraId="514C0722">
      <w:pPr>
        <w:pStyle w:val="15"/>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70FF0E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9979.33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301.12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3.11%</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val="en-US" w:eastAsia="zh-CN"/>
        </w:rPr>
        <w:t>是因为：一是为做好交通运输综合执法改革，从市水运事务中心转隶17人至支队，相关人员经费收支增加；二是政策性人员经费增加。</w:t>
      </w:r>
    </w:p>
    <w:p w14:paraId="07DA9E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128467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9976.88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9911.87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99.35%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65.01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w:t>
      </w:r>
    </w:p>
    <w:p w14:paraId="2D1A2B4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9979.33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9631.27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96.51%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348.06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3.49</w:t>
      </w:r>
      <w:r>
        <w:rPr>
          <w:rFonts w:hint="eastAsia" w:ascii="仿宋_GB2312" w:hAnsi="仿宋_GB2312" w:eastAsia="仿宋_GB2312" w:cs="仿宋_GB2312"/>
          <w:sz w:val="32"/>
          <w:szCs w:val="32"/>
        </w:rPr>
        <w:t>%；上缴上级支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08BA7D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9911.87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277.12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一是为做好交通运输综合执法改革，从市水运事务中心转隶17人至支队，相关人员经费收支增加；二是政策性人员经费增加。</w:t>
      </w:r>
    </w:p>
    <w:p w14:paraId="4BB30A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50303EC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9911.87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99.32%</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277.12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一是为做好交通运输综合执法改革，从市水运事务中心转隶17人至支队，相关人员经费收支增加；二是政策性人员经费增加。</w:t>
      </w:r>
    </w:p>
    <w:p w14:paraId="66C54C8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2AAFB7D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9911.87</w:t>
      </w:r>
      <w:r>
        <w:rPr>
          <w:rFonts w:hint="eastAsia" w:ascii="仿宋_GB2312" w:hAnsi="仿宋_GB2312" w:eastAsia="仿宋_GB2312" w:cs="仿宋_GB2312"/>
          <w:sz w:val="32"/>
          <w:szCs w:val="32"/>
        </w:rPr>
        <w:t>万元，主要用于以下方面：</w:t>
      </w: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val="en-US" w:eastAsia="zh-CN"/>
        </w:rPr>
        <w:t>机关事业单位基本养老保险缴费支出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743.61</w:t>
      </w:r>
      <w:r>
        <w:rPr>
          <w:rFonts w:hint="eastAsia" w:ascii="仿宋" w:hAnsi="仿宋" w:eastAsia="仿宋" w:cs="仿宋"/>
          <w:sz w:val="32"/>
          <w:szCs w:val="32"/>
          <w:lang w:val="en-US" w:eastAsia="zh-CN"/>
        </w:rPr>
        <w:t>万元，占比7.50%；</w:t>
      </w:r>
      <w:r>
        <w:rPr>
          <w:rFonts w:hint="eastAsia" w:ascii="仿宋" w:hAnsi="仿宋" w:eastAsia="仿宋" w:cs="仿宋"/>
          <w:sz w:val="32"/>
          <w:szCs w:val="32"/>
        </w:rPr>
        <w:t>社会保障和就业支出（类）抚恤（款）其他优抚支出（项）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31.92</w:t>
      </w:r>
      <w:r>
        <w:rPr>
          <w:rFonts w:hint="eastAsia" w:ascii="仿宋" w:hAnsi="仿宋" w:eastAsia="仿宋" w:cs="仿宋"/>
          <w:sz w:val="32"/>
          <w:szCs w:val="32"/>
          <w:lang w:val="en-US" w:eastAsia="zh-CN"/>
        </w:rPr>
        <w:t>万元，占比0.32%；</w:t>
      </w: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残疾人事业</w:t>
      </w:r>
      <w:r>
        <w:rPr>
          <w:rFonts w:hint="eastAsia" w:ascii="仿宋" w:hAnsi="仿宋" w:eastAsia="仿宋" w:cs="仿宋"/>
          <w:sz w:val="32"/>
          <w:szCs w:val="32"/>
        </w:rPr>
        <w:t>（款）其他</w:t>
      </w:r>
      <w:r>
        <w:rPr>
          <w:rFonts w:hint="eastAsia" w:ascii="仿宋" w:hAnsi="仿宋" w:eastAsia="仿宋" w:cs="仿宋"/>
          <w:sz w:val="32"/>
          <w:szCs w:val="32"/>
          <w:lang w:val="en-US" w:eastAsia="zh-CN"/>
        </w:rPr>
        <w:t>残疾人事业支出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35.27</w:t>
      </w:r>
      <w:r>
        <w:rPr>
          <w:rFonts w:hint="eastAsia" w:ascii="仿宋" w:hAnsi="仿宋" w:eastAsia="仿宋" w:cs="仿宋"/>
          <w:sz w:val="32"/>
          <w:szCs w:val="32"/>
          <w:lang w:val="en-US" w:eastAsia="zh-CN"/>
        </w:rPr>
        <w:t>万元，占比0.36%；</w:t>
      </w:r>
      <w:r>
        <w:rPr>
          <w:rFonts w:hint="eastAsia" w:ascii="仿宋" w:hAnsi="仿宋" w:eastAsia="仿宋" w:cs="仿宋"/>
          <w:sz w:val="32"/>
          <w:szCs w:val="32"/>
        </w:rPr>
        <w:t>社会保障和就业支出（类）其他社会保障和就业支出（款）其他社会保障和就业支出（项）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213.52</w:t>
      </w:r>
      <w:r>
        <w:rPr>
          <w:rFonts w:hint="eastAsia" w:ascii="仿宋" w:hAnsi="仿宋" w:eastAsia="仿宋" w:cs="仿宋"/>
          <w:sz w:val="32"/>
          <w:szCs w:val="32"/>
          <w:lang w:val="en-US" w:eastAsia="zh-CN"/>
        </w:rPr>
        <w:t>万元，占比2.15%；卫生健康支出（类）行政事业单位医疗（款）事业单位医疗（项）</w:t>
      </w:r>
      <w:r>
        <w:rPr>
          <w:rFonts w:hint="eastAsia" w:ascii="仿宋" w:hAnsi="仿宋" w:eastAsia="仿宋" w:cs="仿宋"/>
          <w:color w:val="auto"/>
          <w:sz w:val="32"/>
          <w:szCs w:val="32"/>
          <w:lang w:val="en-US" w:eastAsia="zh-CN"/>
        </w:rPr>
        <w:t>509.77</w:t>
      </w:r>
      <w:r>
        <w:rPr>
          <w:rFonts w:hint="eastAsia" w:ascii="仿宋" w:hAnsi="仿宋" w:eastAsia="仿宋" w:cs="仿宋"/>
          <w:sz w:val="32"/>
          <w:szCs w:val="32"/>
          <w:lang w:val="en-US" w:eastAsia="zh-CN"/>
        </w:rPr>
        <w:t>万元，占比5.14%；城乡社区支出（类）城乡社区规划与管理（款）城乡社区规划与管理（项）</w:t>
      </w:r>
      <w:r>
        <w:rPr>
          <w:rFonts w:hint="eastAsia" w:ascii="仿宋" w:hAnsi="仿宋" w:eastAsia="仿宋" w:cs="仿宋"/>
          <w:color w:val="auto"/>
          <w:sz w:val="32"/>
          <w:szCs w:val="32"/>
          <w:lang w:val="en-US" w:eastAsia="zh-CN"/>
        </w:rPr>
        <w:t>18.78</w:t>
      </w:r>
      <w:r>
        <w:rPr>
          <w:rFonts w:hint="eastAsia" w:ascii="仿宋" w:hAnsi="仿宋" w:eastAsia="仿宋" w:cs="仿宋"/>
          <w:sz w:val="32"/>
          <w:szCs w:val="32"/>
          <w:lang w:val="en-US" w:eastAsia="zh-CN"/>
        </w:rPr>
        <w:t>万元，占比0.19%；</w:t>
      </w:r>
      <w:r>
        <w:rPr>
          <w:rFonts w:hint="eastAsia" w:ascii="仿宋" w:hAnsi="仿宋" w:eastAsia="仿宋" w:cs="仿宋"/>
          <w:sz w:val="32"/>
          <w:szCs w:val="32"/>
        </w:rPr>
        <w:t>交通运输支出（类）公路水路运输（款）行政运行（项）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7012.35</w:t>
      </w:r>
      <w:r>
        <w:rPr>
          <w:rFonts w:hint="eastAsia" w:ascii="仿宋" w:hAnsi="仿宋" w:eastAsia="仿宋" w:cs="仿宋"/>
          <w:sz w:val="32"/>
          <w:szCs w:val="32"/>
          <w:lang w:val="en-US" w:eastAsia="zh-CN"/>
        </w:rPr>
        <w:t>万元，占比70.75%；</w:t>
      </w:r>
      <w:r>
        <w:rPr>
          <w:rFonts w:hint="eastAsia" w:ascii="仿宋" w:hAnsi="仿宋" w:eastAsia="仿宋" w:cs="仿宋"/>
          <w:sz w:val="32"/>
          <w:szCs w:val="32"/>
        </w:rPr>
        <w:t>交通运输支出（类）公路水路运输（款）</w:t>
      </w:r>
      <w:r>
        <w:rPr>
          <w:rFonts w:hint="eastAsia" w:ascii="仿宋" w:hAnsi="仿宋" w:eastAsia="仿宋" w:cs="仿宋"/>
          <w:sz w:val="32"/>
          <w:szCs w:val="32"/>
          <w:lang w:val="en-US" w:eastAsia="zh-CN"/>
        </w:rPr>
        <w:t>一般行政管理事务（项）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34.62</w:t>
      </w:r>
      <w:r>
        <w:rPr>
          <w:rFonts w:hint="eastAsia" w:ascii="仿宋" w:hAnsi="仿宋" w:eastAsia="仿宋" w:cs="仿宋"/>
          <w:sz w:val="32"/>
          <w:szCs w:val="32"/>
          <w:lang w:val="en-US" w:eastAsia="zh-CN"/>
        </w:rPr>
        <w:t>万元，占比0.35%；</w:t>
      </w:r>
      <w:r>
        <w:rPr>
          <w:rFonts w:hint="eastAsia" w:ascii="仿宋" w:hAnsi="仿宋" w:eastAsia="仿宋" w:cs="仿宋"/>
          <w:sz w:val="32"/>
          <w:szCs w:val="32"/>
        </w:rPr>
        <w:t>交通运输支出（类）公路水路运输（款）</w:t>
      </w:r>
      <w:r>
        <w:rPr>
          <w:rFonts w:hint="eastAsia" w:ascii="仿宋" w:hAnsi="仿宋" w:eastAsia="仿宋" w:cs="仿宋"/>
          <w:sz w:val="32"/>
          <w:szCs w:val="32"/>
          <w:lang w:val="en-US" w:eastAsia="zh-CN"/>
        </w:rPr>
        <w:t>其他公路水路运输支出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45.35</w:t>
      </w:r>
      <w:r>
        <w:rPr>
          <w:rFonts w:hint="eastAsia" w:ascii="仿宋" w:hAnsi="仿宋" w:eastAsia="仿宋" w:cs="仿宋"/>
          <w:sz w:val="32"/>
          <w:szCs w:val="32"/>
          <w:lang w:val="en-US" w:eastAsia="zh-CN"/>
        </w:rPr>
        <w:t>万元，占比0.46%；</w:t>
      </w:r>
      <w:r>
        <w:rPr>
          <w:rFonts w:hint="eastAsia" w:ascii="仿宋" w:hAnsi="仿宋" w:eastAsia="仿宋" w:cs="仿宋"/>
          <w:sz w:val="32"/>
          <w:szCs w:val="32"/>
        </w:rPr>
        <w:t>交通运输支出（类）</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（款）</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670.16</w:t>
      </w:r>
      <w:r>
        <w:rPr>
          <w:rFonts w:hint="eastAsia" w:ascii="仿宋" w:hAnsi="仿宋" w:eastAsia="仿宋" w:cs="仿宋"/>
          <w:sz w:val="32"/>
          <w:szCs w:val="32"/>
          <w:lang w:val="en-US" w:eastAsia="zh-CN"/>
        </w:rPr>
        <w:t>万元，占比6.76%；商业服务业等支出</w:t>
      </w:r>
      <w:r>
        <w:rPr>
          <w:rFonts w:hint="eastAsia" w:ascii="仿宋" w:hAnsi="仿宋" w:eastAsia="仿宋" w:cs="仿宋"/>
          <w:sz w:val="32"/>
          <w:szCs w:val="32"/>
        </w:rPr>
        <w:t>（类）</w:t>
      </w:r>
      <w:r>
        <w:rPr>
          <w:rFonts w:hint="eastAsia" w:ascii="仿宋" w:hAnsi="仿宋" w:eastAsia="仿宋" w:cs="仿宋"/>
          <w:sz w:val="32"/>
          <w:szCs w:val="32"/>
          <w:lang w:val="en-US" w:eastAsia="zh-CN"/>
        </w:rPr>
        <w:t>其他商业服务业等支出</w:t>
      </w:r>
      <w:r>
        <w:rPr>
          <w:rFonts w:hint="eastAsia" w:ascii="仿宋" w:hAnsi="仿宋" w:eastAsia="仿宋" w:cs="仿宋"/>
          <w:sz w:val="32"/>
          <w:szCs w:val="32"/>
        </w:rPr>
        <w:t>（款）</w:t>
      </w:r>
      <w:r>
        <w:rPr>
          <w:rFonts w:hint="eastAsia" w:ascii="仿宋" w:hAnsi="仿宋" w:eastAsia="仿宋" w:cs="仿宋"/>
          <w:sz w:val="32"/>
          <w:szCs w:val="32"/>
          <w:lang w:val="en-US" w:eastAsia="zh-CN"/>
        </w:rPr>
        <w:t>其他商业服务业等支出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color w:val="auto"/>
          <w:sz w:val="32"/>
          <w:szCs w:val="32"/>
          <w:lang w:val="en-US" w:eastAsia="zh-CN"/>
        </w:rPr>
        <w:t>4</w:t>
      </w:r>
      <w:r>
        <w:rPr>
          <w:rFonts w:hint="eastAsia" w:ascii="仿宋" w:hAnsi="仿宋" w:eastAsia="仿宋" w:cs="仿宋"/>
          <w:sz w:val="32"/>
          <w:szCs w:val="32"/>
          <w:lang w:val="en-US" w:eastAsia="zh-CN"/>
        </w:rPr>
        <w:t>万元，占比0.04%；住房保障支出（类）住房改革支出（款）住房公积金（项）</w:t>
      </w:r>
      <w:r>
        <w:rPr>
          <w:rFonts w:hint="eastAsia" w:ascii="仿宋" w:hAnsi="仿宋" w:eastAsia="仿宋" w:cs="仿宋"/>
          <w:color w:val="auto"/>
          <w:sz w:val="32"/>
          <w:szCs w:val="32"/>
          <w:lang w:val="en-US" w:eastAsia="zh-CN"/>
        </w:rPr>
        <w:t>592.52</w:t>
      </w:r>
      <w:r>
        <w:rPr>
          <w:rFonts w:hint="eastAsia" w:ascii="仿宋" w:hAnsi="仿宋" w:eastAsia="仿宋" w:cs="仿宋"/>
          <w:sz w:val="32"/>
          <w:szCs w:val="32"/>
          <w:lang w:val="en-US" w:eastAsia="zh-CN"/>
        </w:rPr>
        <w:t>万元，占比5.98%。</w:t>
      </w:r>
    </w:p>
    <w:p w14:paraId="5CDBADF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9911.87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9911.87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237A4D6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val="en-US" w:eastAsia="zh-CN"/>
        </w:rPr>
        <w:t>机关事业单位基本养老保险缴费支出</w:t>
      </w:r>
      <w:r>
        <w:rPr>
          <w:rFonts w:hint="eastAsia" w:ascii="仿宋" w:hAnsi="仿宋" w:eastAsia="仿宋" w:cs="仿宋"/>
          <w:sz w:val="32"/>
          <w:szCs w:val="32"/>
        </w:rPr>
        <w:t>（项）</w:t>
      </w:r>
      <w:r>
        <w:rPr>
          <w:rFonts w:hint="eastAsia" w:ascii="仿宋_GB2312" w:hAnsi="仿宋_GB2312" w:eastAsia="仿宋_GB2312" w:cs="仿宋_GB2312"/>
          <w:sz w:val="32"/>
          <w:szCs w:val="32"/>
        </w:rPr>
        <w:t>。</w:t>
      </w:r>
    </w:p>
    <w:p w14:paraId="7523608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743.61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743.61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3443D2A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社会保障和就业支出（类）抚恤（款）其他优抚支出（项）</w:t>
      </w:r>
      <w:r>
        <w:rPr>
          <w:rFonts w:hint="eastAsia" w:ascii="仿宋_GB2312" w:hAnsi="仿宋_GB2312" w:eastAsia="仿宋_GB2312" w:cs="仿宋_GB2312"/>
          <w:sz w:val="32"/>
          <w:szCs w:val="32"/>
        </w:rPr>
        <w:t>。</w:t>
      </w:r>
    </w:p>
    <w:p w14:paraId="6D40D85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31.92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31.92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79EDCE68">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残疾人事业</w:t>
      </w:r>
      <w:r>
        <w:rPr>
          <w:rFonts w:hint="eastAsia" w:ascii="仿宋" w:hAnsi="仿宋" w:eastAsia="仿宋" w:cs="仿宋"/>
          <w:sz w:val="32"/>
          <w:szCs w:val="32"/>
        </w:rPr>
        <w:t>（款）其他</w:t>
      </w:r>
      <w:r>
        <w:rPr>
          <w:rFonts w:hint="eastAsia" w:ascii="仿宋" w:hAnsi="仿宋" w:eastAsia="仿宋" w:cs="仿宋"/>
          <w:sz w:val="32"/>
          <w:szCs w:val="32"/>
          <w:lang w:val="en-US" w:eastAsia="zh-CN"/>
        </w:rPr>
        <w:t>残疾人事业支出</w:t>
      </w:r>
      <w:r>
        <w:rPr>
          <w:rFonts w:hint="eastAsia" w:ascii="仿宋" w:hAnsi="仿宋" w:eastAsia="仿宋" w:cs="仿宋"/>
          <w:sz w:val="32"/>
          <w:szCs w:val="32"/>
        </w:rPr>
        <w:t>（项）</w:t>
      </w:r>
    </w:p>
    <w:p w14:paraId="681EF95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35.27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3DF4B03C">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社会保障和就业支出（类）其他社会保障和就业支出（款）其他社会保障和就业支出（项）</w:t>
      </w:r>
    </w:p>
    <w:p w14:paraId="07DB98D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213.52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213.52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13B87A19">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卫生健康支出（类）行政事业单位医疗（款）事业单位医疗（项）</w:t>
      </w:r>
    </w:p>
    <w:p w14:paraId="1329FF6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509.77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509.77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044A7D22">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城乡社区支出（类）城乡社区规划与管理（款）城乡社区规划与管理（项）</w:t>
      </w:r>
    </w:p>
    <w:p w14:paraId="6D76BE1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18.78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18.78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422BE98D">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交通运输支出（类）公路水路运输（款）行政运行（项）</w:t>
      </w:r>
    </w:p>
    <w:p w14:paraId="125E581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7012.35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7012.35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1EAAE556">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交通运输支出（类）公路水路运输（款）</w:t>
      </w:r>
      <w:r>
        <w:rPr>
          <w:rFonts w:hint="eastAsia" w:ascii="仿宋" w:hAnsi="仿宋" w:eastAsia="仿宋" w:cs="仿宋"/>
          <w:sz w:val="32"/>
          <w:szCs w:val="32"/>
          <w:lang w:val="en-US" w:eastAsia="zh-CN"/>
        </w:rPr>
        <w:t>一般行政管理事务（项）</w:t>
      </w:r>
    </w:p>
    <w:p w14:paraId="542083E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34.62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6BF9D201">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交通运输支出（类）公路水路运输（款）</w:t>
      </w:r>
      <w:r>
        <w:rPr>
          <w:rFonts w:hint="eastAsia" w:ascii="仿宋" w:hAnsi="仿宋" w:eastAsia="仿宋" w:cs="仿宋"/>
          <w:sz w:val="32"/>
          <w:szCs w:val="32"/>
          <w:lang w:val="en-US" w:eastAsia="zh-CN"/>
        </w:rPr>
        <w:t>其他公路水路运输支出</w:t>
      </w:r>
      <w:r>
        <w:rPr>
          <w:rFonts w:hint="eastAsia" w:ascii="仿宋" w:hAnsi="仿宋" w:eastAsia="仿宋" w:cs="仿宋"/>
          <w:sz w:val="32"/>
          <w:szCs w:val="32"/>
        </w:rPr>
        <w:t>（项）</w:t>
      </w:r>
    </w:p>
    <w:p w14:paraId="1D878A2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45.35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60A6ABB1">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交通运输支出（类）</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（款）</w:t>
      </w:r>
      <w:r>
        <w:rPr>
          <w:rFonts w:hint="eastAsia" w:ascii="仿宋" w:hAnsi="仿宋" w:eastAsia="仿宋" w:cs="仿宋"/>
          <w:sz w:val="32"/>
          <w:szCs w:val="32"/>
          <w:lang w:val="en-US" w:eastAsia="zh-CN"/>
        </w:rPr>
        <w:t>其他交通运输支出</w:t>
      </w:r>
      <w:r>
        <w:rPr>
          <w:rFonts w:hint="eastAsia" w:ascii="仿宋" w:hAnsi="仿宋" w:eastAsia="仿宋" w:cs="仿宋"/>
          <w:sz w:val="32"/>
          <w:szCs w:val="32"/>
        </w:rPr>
        <w:t>（项）</w:t>
      </w:r>
    </w:p>
    <w:p w14:paraId="40F1A98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670.16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670.16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20D1344D">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商业服务业等支出</w:t>
      </w:r>
      <w:r>
        <w:rPr>
          <w:rFonts w:hint="eastAsia" w:ascii="仿宋" w:hAnsi="仿宋" w:eastAsia="仿宋" w:cs="仿宋"/>
          <w:sz w:val="32"/>
          <w:szCs w:val="32"/>
        </w:rPr>
        <w:t>（类）</w:t>
      </w:r>
      <w:r>
        <w:rPr>
          <w:rFonts w:hint="eastAsia" w:ascii="仿宋" w:hAnsi="仿宋" w:eastAsia="仿宋" w:cs="仿宋"/>
          <w:sz w:val="32"/>
          <w:szCs w:val="32"/>
          <w:lang w:val="en-US" w:eastAsia="zh-CN"/>
        </w:rPr>
        <w:t>其他商业服务业等支出</w:t>
      </w:r>
      <w:r>
        <w:rPr>
          <w:rFonts w:hint="eastAsia" w:ascii="仿宋" w:hAnsi="仿宋" w:eastAsia="仿宋" w:cs="仿宋"/>
          <w:sz w:val="32"/>
          <w:szCs w:val="32"/>
        </w:rPr>
        <w:t>（款）</w:t>
      </w:r>
      <w:r>
        <w:rPr>
          <w:rFonts w:hint="eastAsia" w:ascii="仿宋" w:hAnsi="仿宋" w:eastAsia="仿宋" w:cs="仿宋"/>
          <w:sz w:val="32"/>
          <w:szCs w:val="32"/>
          <w:lang w:val="en-US" w:eastAsia="zh-CN"/>
        </w:rPr>
        <w:t>其他商业服务业等支出</w:t>
      </w:r>
      <w:r>
        <w:rPr>
          <w:rFonts w:hint="eastAsia" w:ascii="仿宋" w:hAnsi="仿宋" w:eastAsia="仿宋" w:cs="仿宋"/>
          <w:sz w:val="32"/>
          <w:szCs w:val="32"/>
        </w:rPr>
        <w:t>（项）</w:t>
      </w:r>
    </w:p>
    <w:p w14:paraId="3EE0360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68958260">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住房保障支出（类）住房改革支出（款）住房公积金（项）</w:t>
      </w:r>
    </w:p>
    <w:p w14:paraId="4F90FF4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592.52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592.52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等于年</w:t>
      </w:r>
      <w:r>
        <w:rPr>
          <w:rFonts w:hint="eastAsia" w:ascii="仿宋_GB2312" w:hAnsi="仿宋_GB2312" w:eastAsia="仿宋_GB2312" w:cs="仿宋_GB2312"/>
          <w:sz w:val="32"/>
          <w:szCs w:val="32"/>
        </w:rPr>
        <w:t>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w:t>
      </w:r>
    </w:p>
    <w:p w14:paraId="373E8BA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9563.81</w:t>
      </w:r>
      <w:r>
        <w:rPr>
          <w:rFonts w:hint="eastAsia" w:ascii="仿宋_GB2312" w:hAnsi="仿宋_GB2312" w:eastAsia="仿宋_GB2312" w:cs="仿宋_GB2312"/>
          <w:sz w:val="32"/>
          <w:szCs w:val="32"/>
        </w:rPr>
        <w:t>万元，其中：</w:t>
      </w:r>
    </w:p>
    <w:p w14:paraId="715A3E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8866.25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92.71%</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绩效工资、</w:t>
      </w:r>
      <w:r>
        <w:rPr>
          <w:rFonts w:hint="eastAsia" w:ascii="Times New Roman" w:hAnsi="Times New Roman" w:eastAsia="仿宋_GB2312"/>
          <w:sz w:val="32"/>
          <w:szCs w:val="32"/>
          <w:lang w:val="en-US" w:eastAsia="zh-CN"/>
        </w:rPr>
        <w:t>机关事业单位基本养老保险缴费、职工基本医疗保险缴费、其他社会保障缴费、住房公积金、医疗费、其他工资福利支出、退休费、抚恤金、生活补助、医疗费补助、奖励金，其他对个人和家庭的补助</w:t>
      </w:r>
      <w:r>
        <w:rPr>
          <w:rFonts w:hint="eastAsia" w:ascii="Times New Roman" w:hAnsi="Times New Roman" w:eastAsia="仿宋_GB2312"/>
          <w:sz w:val="32"/>
          <w:szCs w:val="32"/>
          <w:lang w:eastAsia="zh-CN"/>
        </w:rPr>
        <w:t>。</w:t>
      </w:r>
    </w:p>
    <w:p w14:paraId="1BEC47F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697.56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7.29%</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w:t>
      </w:r>
      <w:r>
        <w:rPr>
          <w:rFonts w:hint="eastAsia" w:ascii="Times New Roman" w:hAnsi="Times New Roman" w:eastAsia="仿宋_GB2312"/>
          <w:sz w:val="32"/>
          <w:szCs w:val="32"/>
          <w:highlight w:val="none"/>
          <w:lang w:val="en-US" w:eastAsia="zh-CN"/>
        </w:rPr>
        <w:t>水费、电费、邮电费、物业管理费、差旅费、维修（护）费、租赁费、会议费、培训费、公务接待费、专业材料费、专用燃料费、劳务费、委托业务费、工会经费、公务用车运行维护费、其他交通费用、其他商品和服务支出、办公设备购置。</w:t>
      </w:r>
    </w:p>
    <w:p w14:paraId="238B27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BAE16F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本单位2024年度无政府性基金收支。</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4CC7F4F">
      <w:pPr>
        <w:widowControl w:val="0"/>
        <w:autoSpaceDE w:val="0"/>
        <w:autoSpaceDN w:val="0"/>
        <w:adjustRightInd w:val="0"/>
        <w:ind w:firstLine="640" w:firstLineChars="200"/>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；年末结转和结余0万元。本单位2024年度无国有资本经营预算财政拨款支出。</w:t>
      </w:r>
    </w:p>
    <w:p w14:paraId="5876C25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126.42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52.22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29.23%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我单位严格按照预算执行决算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2024年度较2023年度减少了公务用车购置费用</w:t>
      </w:r>
      <w:r>
        <w:rPr>
          <w:rFonts w:ascii="Times New Roman" w:hAnsi="Times New Roman" w:eastAsia="仿宋_GB2312" w:cs="Times New Roman"/>
          <w:sz w:val="32"/>
          <w:szCs w:val="32"/>
        </w:rPr>
        <w:t>。</w:t>
      </w:r>
    </w:p>
    <w:p w14:paraId="352D03A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5C7B0183">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65978CA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126.28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8.44%</w:t>
      </w:r>
      <w:r>
        <w:rPr>
          <w:rFonts w:ascii="Times New Roman" w:hAnsi="Times New Roman" w:eastAsia="仿宋_GB2312" w:cs="Times New Roman"/>
          <w:sz w:val="32"/>
          <w:szCs w:val="32"/>
        </w:rPr>
        <w:t>。其中：</w:t>
      </w:r>
    </w:p>
    <w:p w14:paraId="07AF86A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2024年度无公务用车购置计划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岳阳市交通运输综合行政执法支队2024年度</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1D42295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126.28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126.28</w:t>
      </w:r>
      <w:r>
        <w:rPr>
          <w:rFonts w:ascii="Times New Roman" w:hAnsi="Times New Roman" w:eastAsia="仿宋_GB2312" w:cs="Times New Roman"/>
          <w:sz w:val="32"/>
          <w:szCs w:val="32"/>
        </w:rPr>
        <w:t>万元，</w:t>
      </w:r>
    </w:p>
    <w:p w14:paraId="75A272CE">
      <w:pPr>
        <w:pStyle w:val="15"/>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用于车辆燃料费、车辆维修费、车辆保险费、车辆通行费和车辆年检费等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8.44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我单位严格按预算执行决算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auto"/>
          <w:sz w:val="32"/>
          <w:szCs w:val="32"/>
          <w:lang w:val="en-US" w:eastAsia="zh-CN"/>
        </w:rPr>
        <w:t>按有关政策厉行节约，严控“三公经费”支出。</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辆。</w:t>
      </w:r>
    </w:p>
    <w:p w14:paraId="039328FA">
      <w:pPr>
        <w:numPr>
          <w:ilvl w:val="0"/>
          <w:numId w:val="4"/>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我单位严格按预算执行决算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auto"/>
          <w:sz w:val="32"/>
          <w:szCs w:val="32"/>
          <w:lang w:val="en-US" w:eastAsia="zh-CN"/>
        </w:rPr>
        <w:t>按有关政策厉行节约，严控“三公经费”支出。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用于省道路运输管理局春运站检查工作和省公路事务中心督导全省治超执法队伍比武准备情况</w:t>
      </w:r>
      <w:r>
        <w:rPr>
          <w:rFonts w:ascii="Times New Roman" w:hAnsi="Times New Roman" w:eastAsia="仿宋_GB2312" w:cs="Times New Roman"/>
          <w:sz w:val="32"/>
          <w:szCs w:val="32"/>
        </w:rPr>
        <w:t>发生的接待支出。</w:t>
      </w:r>
    </w:p>
    <w:p w14:paraId="3D06AC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A348099">
      <w:pPr>
        <w:pStyle w:val="15"/>
        <w:ind w:firstLine="640" w:firstLineChars="200"/>
        <w:rPr>
          <w:rFonts w:hint="default" w:ascii="仿宋_GB2312" w:hAnsi="仿宋_GB2312" w:eastAsia="仿宋_GB2312" w:cs="仿宋_GB2312"/>
          <w:b w:val="0"/>
          <w:bCs w:val="0"/>
          <w:i w:val="0"/>
          <w:iCs/>
          <w:color w:val="auto"/>
          <w:kern w:val="0"/>
          <w:sz w:val="32"/>
          <w:szCs w:val="32"/>
          <w:lang w:val="en-US" w:eastAsia="zh-CN" w:bidi="ar-SA"/>
        </w:rPr>
      </w:pPr>
      <w:r>
        <w:rPr>
          <w:rFonts w:hint="eastAsia" w:ascii="仿宋_GB2312" w:hAnsi="仿宋_GB2312" w:eastAsia="仿宋_GB2312" w:cs="仿宋_GB2312"/>
          <w:b w:val="0"/>
          <w:bCs w:val="0"/>
          <w:i w:val="0"/>
          <w:iCs/>
          <w:color w:val="auto"/>
          <w:kern w:val="0"/>
          <w:sz w:val="32"/>
          <w:szCs w:val="32"/>
          <w:lang w:val="en-US" w:eastAsia="zh-CN" w:bidi="ar-SA"/>
        </w:rPr>
        <w:t>本级和所属单位均为事业单位，按照机关运行经费的口径，本年度机关运行经费为0。</w:t>
      </w:r>
    </w:p>
    <w:p w14:paraId="39684E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5"/>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年度，会议费年初预算0.98万元，支出决算为0.98万元，完成年初预算的100%。用于召开交通运输执法会议和支队党员代表大会会议，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2024年度执法工作会议、交通运输综合执法暨环保推进会</w:t>
      </w:r>
      <w:r>
        <w:rPr>
          <w:rFonts w:hint="eastAsia" w:ascii="仿宋_GB2312" w:hAnsi="仿宋_GB2312" w:eastAsia="仿宋_GB2312" w:cs="仿宋_GB2312"/>
          <w:sz w:val="32"/>
          <w:szCs w:val="32"/>
          <w:lang w:eastAsia="zh-CN"/>
        </w:rPr>
        <w:t>。</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培训费年初预算12.67万元，支出决算为12.67万元，完成年初预算的100%。用于开展</w:t>
      </w:r>
      <w:r>
        <w:rPr>
          <w:rFonts w:hint="eastAsia" w:ascii="Times New Roman" w:hAnsi="Times New Roman" w:eastAsia="仿宋_GB2312"/>
          <w:sz w:val="32"/>
          <w:szCs w:val="32"/>
          <w:lang w:val="en-US" w:eastAsia="zh-CN"/>
        </w:rPr>
        <w:t>党员干部党风廉政建设暨行政执法</w:t>
      </w:r>
      <w:r>
        <w:rPr>
          <w:rFonts w:hint="eastAsia" w:ascii="Times New Roman" w:hAnsi="Times New Roman" w:eastAsia="仿宋_GB2312"/>
          <w:sz w:val="32"/>
          <w:szCs w:val="32"/>
        </w:rPr>
        <w:t>培训</w:t>
      </w:r>
      <w:r>
        <w:rPr>
          <w:rFonts w:hint="eastAsia" w:ascii="仿宋_GB2312" w:hAnsi="仿宋_GB2312" w:eastAsia="仿宋_GB2312" w:cs="仿宋_GB2312"/>
          <w:color w:val="000000"/>
          <w:kern w:val="0"/>
          <w:sz w:val="32"/>
          <w:szCs w:val="32"/>
          <w:lang w:val="en-US" w:eastAsia="zh-CN" w:bidi="ar-SA"/>
        </w:rPr>
        <w:t>，人数480人，内容为开展党建活动支出、执法工作培训。</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14:paraId="252D0BE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871.09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216.68</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16.74</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637.67</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642.29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73.73%</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593.44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68.13%</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w:t>
      </w:r>
      <w:bookmarkStart w:id="0" w:name="_GoBack"/>
      <w:bookmarkEnd w:id="0"/>
    </w:p>
    <w:p w14:paraId="246A0DF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E97E872">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348.06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348.06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w:t>
      </w:r>
      <w:r>
        <w:rPr>
          <w:rFonts w:hint="eastAsia" w:ascii="仿宋_GB2312" w:hAnsi="仿宋_GB2312" w:eastAsia="仿宋_GB2312" w:cs="仿宋_GB2312"/>
          <w:b w:val="0"/>
          <w:bCs w:val="0"/>
          <w:color w:val="000000"/>
          <w:kern w:val="0"/>
          <w:sz w:val="32"/>
          <w:szCs w:val="32"/>
          <w:lang w:val="en-US" w:eastAsia="zh-CN" w:bidi="ar-SA"/>
        </w:rPr>
        <w:t>绩效目标完成情况：</w:t>
      </w:r>
      <w:r>
        <w:rPr>
          <w:rFonts w:hint="eastAsia" w:ascii="仿宋" w:hAnsi="仿宋" w:eastAsia="仿宋" w:cs="仿宋"/>
          <w:sz w:val="32"/>
          <w:szCs w:val="32"/>
          <w:lang w:val="en-US" w:eastAsia="zh-CN"/>
        </w:rPr>
        <w:t>2024年度</w:t>
      </w:r>
      <w:r>
        <w:rPr>
          <w:rFonts w:hint="eastAsia" w:ascii="仿宋" w:hAnsi="仿宋" w:eastAsia="仿宋" w:cs="仿宋"/>
          <w:sz w:val="32"/>
          <w:szCs w:val="32"/>
        </w:rPr>
        <w:t>绩效总目标按照</w:t>
      </w:r>
      <w:r>
        <w:rPr>
          <w:rFonts w:hint="eastAsia" w:ascii="仿宋" w:hAnsi="仿宋" w:eastAsia="仿宋" w:cs="仿宋"/>
          <w:sz w:val="32"/>
          <w:szCs w:val="32"/>
          <w:lang w:val="en-US" w:eastAsia="zh-CN"/>
        </w:rPr>
        <w:t>支队</w:t>
      </w:r>
      <w:r>
        <w:rPr>
          <w:rFonts w:hint="eastAsia" w:ascii="仿宋" w:hAnsi="仿宋" w:eastAsia="仿宋" w:cs="仿宋"/>
          <w:sz w:val="32"/>
          <w:szCs w:val="32"/>
        </w:rPr>
        <w:t>制定的规划实施，符合</w:t>
      </w:r>
      <w:r>
        <w:rPr>
          <w:rFonts w:hint="eastAsia" w:ascii="仿宋" w:hAnsi="仿宋" w:eastAsia="仿宋" w:cs="仿宋"/>
          <w:sz w:val="32"/>
          <w:szCs w:val="32"/>
          <w:lang w:val="en-US" w:eastAsia="zh-CN"/>
        </w:rPr>
        <w:t>支队</w:t>
      </w:r>
      <w:r>
        <w:rPr>
          <w:rFonts w:hint="eastAsia" w:ascii="仿宋" w:hAnsi="仿宋" w:eastAsia="仿宋" w:cs="仿宋"/>
          <w:sz w:val="32"/>
          <w:szCs w:val="32"/>
        </w:rPr>
        <w:t>“三定”方案确定的职责范围。</w:t>
      </w: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sz w:val="32"/>
          <w:szCs w:val="32"/>
        </w:rPr>
        <w:t>运行成本方面，</w:t>
      </w:r>
      <w:r>
        <w:rPr>
          <w:rFonts w:hint="eastAsia" w:ascii="仿宋" w:hAnsi="仿宋" w:eastAsia="仿宋" w:cs="仿宋"/>
          <w:sz w:val="32"/>
          <w:szCs w:val="32"/>
          <w:lang w:val="en-US" w:eastAsia="zh-CN"/>
        </w:rPr>
        <w:t>支队</w:t>
      </w:r>
      <w:r>
        <w:rPr>
          <w:rFonts w:hint="eastAsia" w:ascii="仿宋" w:hAnsi="仿宋" w:eastAsia="仿宋" w:cs="仿宋"/>
          <w:sz w:val="32"/>
          <w:szCs w:val="32"/>
        </w:rPr>
        <w:t>对在职人员成本的控制措施得当。管理效率方面，</w:t>
      </w:r>
      <w:r>
        <w:rPr>
          <w:rFonts w:hint="eastAsia" w:ascii="仿宋" w:hAnsi="仿宋" w:eastAsia="仿宋" w:cs="仿宋"/>
          <w:sz w:val="32"/>
          <w:szCs w:val="32"/>
          <w:lang w:val="en-US" w:eastAsia="zh-CN"/>
        </w:rPr>
        <w:t>支队</w:t>
      </w:r>
      <w:r>
        <w:rPr>
          <w:rFonts w:hint="eastAsia" w:ascii="仿宋" w:hAnsi="仿宋" w:eastAsia="仿宋" w:cs="仿宋"/>
          <w:sz w:val="32"/>
          <w:szCs w:val="32"/>
        </w:rPr>
        <w:t>严格执行部门经费支出管理制度要求，加强“三公经费”管理，严格执行“三公经费”预算管理要求，厉行节约反对浪费；同时按照政府信息公开有关规定公开相关预决算信息，保证</w:t>
      </w:r>
      <w:r>
        <w:rPr>
          <w:rFonts w:hint="eastAsia" w:ascii="仿宋" w:hAnsi="仿宋" w:eastAsia="仿宋" w:cs="仿宋"/>
          <w:sz w:val="32"/>
          <w:szCs w:val="32"/>
          <w:lang w:val="en-US" w:eastAsia="zh-CN"/>
        </w:rPr>
        <w:t>支队</w:t>
      </w:r>
      <w:r>
        <w:rPr>
          <w:rFonts w:hint="eastAsia" w:ascii="仿宋" w:hAnsi="仿宋" w:eastAsia="仿宋" w:cs="仿宋"/>
          <w:sz w:val="32"/>
          <w:szCs w:val="32"/>
        </w:rPr>
        <w:t>预决算管理的公开透明</w:t>
      </w: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sz w:val="32"/>
          <w:szCs w:val="32"/>
        </w:rPr>
        <w:t>履职效能方面，</w:t>
      </w:r>
      <w:r>
        <w:rPr>
          <w:rFonts w:hint="eastAsia" w:ascii="仿宋" w:hAnsi="仿宋" w:eastAsia="仿宋" w:cs="仿宋"/>
          <w:sz w:val="32"/>
          <w:szCs w:val="32"/>
          <w:lang w:val="en-US" w:eastAsia="zh-CN"/>
        </w:rPr>
        <w:t>支队</w:t>
      </w:r>
      <w:r>
        <w:rPr>
          <w:rFonts w:hint="eastAsia" w:ascii="仿宋" w:hAnsi="仿宋" w:eastAsia="仿宋" w:cs="仿宋"/>
          <w:sz w:val="32"/>
          <w:szCs w:val="32"/>
        </w:rPr>
        <w:t>紧扣年度工作主线和工作任务，</w:t>
      </w:r>
      <w:r>
        <w:rPr>
          <w:rFonts w:hint="eastAsia" w:ascii="仿宋" w:hAnsi="仿宋" w:eastAsia="仿宋" w:cs="仿宋"/>
          <w:sz w:val="32"/>
          <w:szCs w:val="32"/>
          <w:lang w:eastAsia="zh-CN"/>
        </w:rPr>
        <w:t>开展</w:t>
      </w:r>
      <w:r>
        <w:rPr>
          <w:rFonts w:hint="eastAsia" w:ascii="仿宋" w:hAnsi="仿宋" w:eastAsia="仿宋" w:cs="仿宋"/>
          <w:sz w:val="32"/>
          <w:szCs w:val="32"/>
        </w:rPr>
        <w:t>日常</w:t>
      </w:r>
      <w:r>
        <w:rPr>
          <w:rFonts w:hint="eastAsia" w:ascii="仿宋" w:hAnsi="仿宋" w:eastAsia="仿宋" w:cs="仿宋"/>
          <w:sz w:val="32"/>
          <w:szCs w:val="32"/>
          <w:lang w:val="en-US" w:eastAsia="zh-CN"/>
        </w:rPr>
        <w:t>执法</w:t>
      </w:r>
      <w:r>
        <w:rPr>
          <w:rFonts w:hint="eastAsia" w:ascii="仿宋" w:hAnsi="仿宋" w:eastAsia="仿宋" w:cs="仿宋"/>
          <w:sz w:val="32"/>
          <w:szCs w:val="32"/>
        </w:rPr>
        <w:t>工作，</w:t>
      </w:r>
      <w:r>
        <w:rPr>
          <w:rFonts w:hint="eastAsia" w:ascii="仿宋" w:hAnsi="仿宋" w:eastAsia="仿宋" w:cs="仿宋"/>
          <w:sz w:val="32"/>
          <w:szCs w:val="32"/>
          <w:lang w:eastAsia="zh-CN"/>
        </w:rPr>
        <w:t>落实上级部署的各项专项行动，</w:t>
      </w:r>
      <w:r>
        <w:rPr>
          <w:rFonts w:hint="eastAsia" w:ascii="仿宋" w:hAnsi="仿宋" w:eastAsia="仿宋" w:cs="仿宋"/>
          <w:sz w:val="32"/>
          <w:szCs w:val="32"/>
          <w:lang w:val="en-US" w:eastAsia="zh-CN"/>
        </w:rPr>
        <w:t>圆满完成各项工作任务；三是服务对象满意度方面，</w:t>
      </w:r>
      <w:r>
        <w:rPr>
          <w:rFonts w:hint="eastAsia" w:ascii="仿宋" w:hAnsi="仿宋" w:eastAsia="仿宋" w:cs="仿宋"/>
          <w:color w:val="auto"/>
          <w:sz w:val="32"/>
          <w:szCs w:val="32"/>
          <w:lang w:eastAsia="zh-CN"/>
        </w:rPr>
        <w:t>切实</w:t>
      </w:r>
      <w:r>
        <w:rPr>
          <w:rFonts w:hint="eastAsia" w:ascii="仿宋" w:hAnsi="仿宋" w:eastAsia="仿宋" w:cs="仿宋"/>
          <w:color w:val="auto"/>
          <w:sz w:val="32"/>
          <w:szCs w:val="32"/>
        </w:rPr>
        <w:t>提高服务水平</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rPr>
        <w:t>提升群众满意度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2024年支队</w:t>
      </w:r>
      <w:r>
        <w:rPr>
          <w:rFonts w:hint="eastAsia" w:ascii="仿宋" w:hAnsi="仿宋" w:eastAsia="仿宋" w:cs="仿宋"/>
          <w:color w:val="auto"/>
          <w:sz w:val="32"/>
          <w:szCs w:val="32"/>
        </w:rPr>
        <w:t>解决</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民诉求不敷衍、不推诿，</w:t>
      </w:r>
      <w:r>
        <w:rPr>
          <w:rFonts w:hint="eastAsia" w:ascii="仿宋" w:hAnsi="仿宋" w:eastAsia="仿宋" w:cs="仿宋"/>
          <w:color w:val="auto"/>
          <w:sz w:val="32"/>
          <w:szCs w:val="32"/>
          <w:lang w:val="en-US" w:eastAsia="zh-CN"/>
        </w:rPr>
        <w:t>全年共受理各类投诉666起</w:t>
      </w:r>
      <w:r>
        <w:rPr>
          <w:rFonts w:hint="eastAsia" w:ascii="仿宋" w:hAnsi="仿宋" w:eastAsia="仿宋" w:cs="仿宋"/>
          <w:color w:val="auto"/>
          <w:sz w:val="32"/>
          <w:szCs w:val="32"/>
        </w:rPr>
        <w:t>，处理率100%，回复率100%，满意率99%。</w:t>
      </w:r>
    </w:p>
    <w:p w14:paraId="179A66FA">
      <w:pPr>
        <w:numPr>
          <w:ilvl w:val="0"/>
          <w:numId w:val="5"/>
        </w:num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r>
        <w:rPr>
          <w:rFonts w:ascii="Times New Roman" w:hAnsi="Times New Roman" w:eastAsia="仿宋_GB2312" w:cs="Times New Roman"/>
          <w:kern w:val="0"/>
          <w:sz w:val="32"/>
          <w:szCs w:val="32"/>
        </w:rPr>
        <w:t>。</w:t>
      </w:r>
    </w:p>
    <w:p w14:paraId="004D01B3">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6547985A">
      <w:pPr>
        <w:ind w:firstLine="640" w:firstLineChars="200"/>
        <w:rPr>
          <w:rFonts w:hint="eastAsia" w:ascii="仿宋" w:hAnsi="仿宋" w:eastAsia="仿宋" w:cs="仿宋"/>
          <w:sz w:val="32"/>
          <w:szCs w:val="32"/>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9977.33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9979.32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 w:hAnsi="仿宋" w:eastAsia="仿宋" w:cs="仿宋"/>
          <w:sz w:val="32"/>
          <w:szCs w:val="32"/>
          <w:lang w:val="en-US" w:eastAsia="zh-CN"/>
        </w:rPr>
        <w:t>2024年度</w:t>
      </w:r>
      <w:r>
        <w:rPr>
          <w:rFonts w:hint="eastAsia" w:ascii="仿宋" w:hAnsi="仿宋" w:eastAsia="仿宋" w:cs="仿宋"/>
          <w:sz w:val="32"/>
          <w:szCs w:val="32"/>
        </w:rPr>
        <w:t>绩效总目标按照</w:t>
      </w:r>
      <w:r>
        <w:rPr>
          <w:rFonts w:hint="eastAsia" w:ascii="仿宋" w:hAnsi="仿宋" w:eastAsia="仿宋" w:cs="仿宋"/>
          <w:sz w:val="32"/>
          <w:szCs w:val="32"/>
          <w:lang w:val="en-US" w:eastAsia="zh-CN"/>
        </w:rPr>
        <w:t>支队</w:t>
      </w:r>
      <w:r>
        <w:rPr>
          <w:rFonts w:hint="eastAsia" w:ascii="仿宋" w:hAnsi="仿宋" w:eastAsia="仿宋" w:cs="仿宋"/>
          <w:sz w:val="32"/>
          <w:szCs w:val="32"/>
        </w:rPr>
        <w:t>制定的规划实施，符合</w:t>
      </w:r>
      <w:r>
        <w:rPr>
          <w:rFonts w:hint="eastAsia" w:ascii="仿宋" w:hAnsi="仿宋" w:eastAsia="仿宋" w:cs="仿宋"/>
          <w:sz w:val="32"/>
          <w:szCs w:val="32"/>
          <w:lang w:val="en-US" w:eastAsia="zh-CN"/>
        </w:rPr>
        <w:t>支队</w:t>
      </w:r>
      <w:r>
        <w:rPr>
          <w:rFonts w:hint="eastAsia" w:ascii="仿宋" w:hAnsi="仿宋" w:eastAsia="仿宋" w:cs="仿宋"/>
          <w:sz w:val="32"/>
          <w:szCs w:val="32"/>
        </w:rPr>
        <w:t>“三定”方案确定的职责范围。运行成本方面，</w:t>
      </w:r>
      <w:r>
        <w:rPr>
          <w:rFonts w:hint="eastAsia" w:ascii="仿宋" w:hAnsi="仿宋" w:eastAsia="仿宋" w:cs="仿宋"/>
          <w:sz w:val="32"/>
          <w:szCs w:val="32"/>
          <w:lang w:val="en-US" w:eastAsia="zh-CN"/>
        </w:rPr>
        <w:t>支队</w:t>
      </w:r>
      <w:r>
        <w:rPr>
          <w:rFonts w:hint="eastAsia" w:ascii="仿宋" w:hAnsi="仿宋" w:eastAsia="仿宋" w:cs="仿宋"/>
          <w:sz w:val="32"/>
          <w:szCs w:val="32"/>
        </w:rPr>
        <w:t>对在职人员成本的控制措施得当。管理效率方面，</w:t>
      </w:r>
      <w:r>
        <w:rPr>
          <w:rFonts w:hint="eastAsia" w:ascii="仿宋" w:hAnsi="仿宋" w:eastAsia="仿宋" w:cs="仿宋"/>
          <w:sz w:val="32"/>
          <w:szCs w:val="32"/>
          <w:lang w:val="en-US" w:eastAsia="zh-CN"/>
        </w:rPr>
        <w:t>支队</w:t>
      </w:r>
      <w:r>
        <w:rPr>
          <w:rFonts w:hint="eastAsia" w:ascii="仿宋" w:hAnsi="仿宋" w:eastAsia="仿宋" w:cs="仿宋"/>
          <w:sz w:val="32"/>
          <w:szCs w:val="32"/>
        </w:rPr>
        <w:t>严格执行部门经费支出管理制度要求，加强“三公经费”管理，严格执行“三公经费”预算管理要求，厉行节约反对浪费；同时按照政府信息公开有关规定公开相关预决算信息，保证</w:t>
      </w:r>
      <w:r>
        <w:rPr>
          <w:rFonts w:hint="eastAsia" w:ascii="仿宋" w:hAnsi="仿宋" w:eastAsia="仿宋" w:cs="仿宋"/>
          <w:sz w:val="32"/>
          <w:szCs w:val="32"/>
          <w:lang w:val="en-US" w:eastAsia="zh-CN"/>
        </w:rPr>
        <w:t>支队</w:t>
      </w:r>
      <w:r>
        <w:rPr>
          <w:rFonts w:hint="eastAsia" w:ascii="仿宋" w:hAnsi="仿宋" w:eastAsia="仿宋" w:cs="仿宋"/>
          <w:sz w:val="32"/>
          <w:szCs w:val="32"/>
        </w:rPr>
        <w:t>预决算管理的公开透明。履职效能方面，</w:t>
      </w:r>
      <w:r>
        <w:rPr>
          <w:rFonts w:hint="eastAsia" w:ascii="仿宋" w:hAnsi="仿宋" w:eastAsia="仿宋" w:cs="仿宋"/>
          <w:sz w:val="32"/>
          <w:szCs w:val="32"/>
          <w:lang w:val="en-US" w:eastAsia="zh-CN"/>
        </w:rPr>
        <w:t>支队</w:t>
      </w:r>
      <w:r>
        <w:rPr>
          <w:rFonts w:hint="eastAsia" w:ascii="仿宋" w:hAnsi="仿宋" w:eastAsia="仿宋" w:cs="仿宋"/>
          <w:sz w:val="32"/>
          <w:szCs w:val="32"/>
        </w:rPr>
        <w:t>紧扣年度工作主线和工作任务，</w:t>
      </w:r>
      <w:r>
        <w:rPr>
          <w:rFonts w:hint="eastAsia" w:ascii="仿宋" w:hAnsi="仿宋" w:eastAsia="仿宋" w:cs="仿宋"/>
          <w:sz w:val="32"/>
          <w:szCs w:val="32"/>
          <w:lang w:eastAsia="zh-CN"/>
        </w:rPr>
        <w:t>开展</w:t>
      </w:r>
      <w:r>
        <w:rPr>
          <w:rFonts w:hint="eastAsia" w:ascii="仿宋" w:hAnsi="仿宋" w:eastAsia="仿宋" w:cs="仿宋"/>
          <w:sz w:val="32"/>
          <w:szCs w:val="32"/>
        </w:rPr>
        <w:t>日常</w:t>
      </w:r>
      <w:r>
        <w:rPr>
          <w:rFonts w:hint="eastAsia" w:ascii="仿宋" w:hAnsi="仿宋" w:eastAsia="仿宋" w:cs="仿宋"/>
          <w:sz w:val="32"/>
          <w:szCs w:val="32"/>
          <w:lang w:val="en-US" w:eastAsia="zh-CN"/>
        </w:rPr>
        <w:t>执法</w:t>
      </w:r>
      <w:r>
        <w:rPr>
          <w:rFonts w:hint="eastAsia" w:ascii="仿宋" w:hAnsi="仿宋" w:eastAsia="仿宋" w:cs="仿宋"/>
          <w:sz w:val="32"/>
          <w:szCs w:val="32"/>
        </w:rPr>
        <w:t>工作，</w:t>
      </w:r>
      <w:r>
        <w:rPr>
          <w:rFonts w:hint="eastAsia" w:ascii="仿宋" w:hAnsi="仿宋" w:eastAsia="仿宋" w:cs="仿宋"/>
          <w:sz w:val="32"/>
          <w:szCs w:val="32"/>
          <w:lang w:eastAsia="zh-CN"/>
        </w:rPr>
        <w:t>落实上级部署的各项专项行动，</w:t>
      </w:r>
      <w:r>
        <w:rPr>
          <w:rFonts w:hint="eastAsia" w:ascii="仿宋" w:hAnsi="仿宋" w:eastAsia="仿宋" w:cs="仿宋"/>
          <w:sz w:val="32"/>
          <w:szCs w:val="32"/>
          <w:lang w:val="en-US" w:eastAsia="zh-CN"/>
        </w:rPr>
        <w:t>圆满完成各项工作任务。</w:t>
      </w:r>
    </w:p>
    <w:p w14:paraId="6B12267C">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 w:val="0"/>
          <w:bCs w:val="0"/>
          <w:sz w:val="32"/>
          <w:szCs w:val="32"/>
          <w:lang w:val="en-US" w:eastAsia="zh-CN"/>
        </w:rPr>
        <w:t>一是预算编制具体项目的精准度和合理性有待进一步提高，二是绩效目标设立需进一步细化和量化。下一步改进措施：一是</w:t>
      </w:r>
      <w:r>
        <w:rPr>
          <w:rFonts w:hint="eastAsia" w:ascii="仿宋_GB2312" w:hAnsi="仿宋_GB2312" w:eastAsia="仿宋_GB2312" w:cs="仿宋_GB2312"/>
          <w:sz w:val="32"/>
          <w:szCs w:val="32"/>
          <w:lang w:val="en-US" w:eastAsia="zh-CN"/>
        </w:rPr>
        <w:t>严格遵循预算编制合法性、完整性、真实性、稳妥性、绩效性原则，保证预算编制的质量。二是进一步加强预算绩效管理，提高资金的使用效益。</w:t>
      </w:r>
    </w:p>
    <w:p w14:paraId="50936FD1">
      <w:pPr>
        <w:pStyle w:val="16"/>
        <w:numPr>
          <w:ilvl w:val="0"/>
          <w:numId w:val="0"/>
        </w:numPr>
        <w:ind w:left="0" w:leftChars="0" w:firstLine="640" w:firstLineChars="200"/>
        <w:rPr>
          <w:rFonts w:hint="default"/>
        </w:rPr>
      </w:pPr>
      <w:r>
        <w:rPr>
          <w:rFonts w:ascii="Times New Roman" w:hAnsi="Times New Roman" w:eastAsia="仿宋_GB2312" w:cs="Times New Roman"/>
          <w:sz w:val="32"/>
          <w:szCs w:val="32"/>
        </w:rPr>
        <w:t>下一步改进措施：</w:t>
      </w:r>
      <w:r>
        <w:rPr>
          <w:rFonts w:hint="eastAsia" w:ascii="仿宋" w:hAnsi="仿宋" w:eastAsia="仿宋" w:cs="仿宋"/>
          <w:sz w:val="32"/>
          <w:szCs w:val="32"/>
          <w:lang w:val="en-US" w:eastAsia="zh-CN"/>
        </w:rPr>
        <w:t>一是单位要加强绩效目标细化和量化工作的力度，进一步提高及资金使用效率。二是财务人员应进一步加强学习，多进行调查研究，更好地结合单位实际情况编制单位预算，提高预算编制的细化程度、精准度和合理性，提高资金使用的使用效率。</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color w:val="auto"/>
          <w:kern w:val="0"/>
          <w:sz w:val="32"/>
          <w:szCs w:val="32"/>
          <w:lang w:val="en-US" w:eastAsia="zh-CN"/>
        </w:rPr>
        <w:t>本单位为二级预算单位，部门评价结果可详见上级部门决算公开说明。</w:t>
      </w:r>
    </w:p>
    <w:p w14:paraId="594CEC69">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color w:val="auto"/>
          <w:kern w:val="0"/>
          <w:sz w:val="32"/>
          <w:szCs w:val="32"/>
          <w:lang w:val="en-US" w:eastAsia="zh-CN"/>
        </w:rPr>
        <w:t>本单位为二级预算单位，事前绩效评估结果可详见上级部门决算公开说明。</w:t>
      </w:r>
    </w:p>
    <w:p w14:paraId="5DC4775D">
      <w:pPr>
        <w:pStyle w:val="15"/>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14:paraId="2C89E516">
      <w:pPr>
        <w:numPr>
          <w:ilvl w:val="0"/>
          <w:numId w:val="6"/>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E1CBAA7">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根据2024年度绩效自评结果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在2025年度的预算安排方面做如下调整：</w:t>
      </w:r>
      <w:r>
        <w:rPr>
          <w:rFonts w:hint="eastAsia" w:ascii="Times New Roman" w:hAnsi="Times New Roman" w:eastAsia="仿宋_GB2312" w:cs="Times New Roman"/>
          <w:color w:val="auto"/>
          <w:sz w:val="32"/>
          <w:szCs w:val="32"/>
          <w:highlight w:val="none"/>
        </w:rPr>
        <w:t>1. 资金规模调整：依据2024年度绩效自评结果，参考</w:t>
      </w:r>
      <w:r>
        <w:rPr>
          <w:rFonts w:hint="eastAsia" w:ascii="Times New Roman" w:hAnsi="Times New Roman"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rPr>
        <w:t>评价结果中关于各项目对部门整体目标贡献程度的分析，将有限的资金重点投向对</w:t>
      </w:r>
      <w:r>
        <w:rPr>
          <w:rFonts w:hint="eastAsia" w:ascii="Times New Roman" w:hAnsi="Times New Roman"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rPr>
        <w:t>核心职能履行、战略目标实现有关键作用的项目领域，确保资金投入与</w:t>
      </w:r>
      <w:r>
        <w:rPr>
          <w:rFonts w:hint="eastAsia" w:ascii="Times New Roman" w:hAnsi="Times New Roman"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rPr>
        <w:t>发展战略紧密契合。2. 项目优先级排序：结合事前绩效评价结果，对</w:t>
      </w:r>
      <w:r>
        <w:rPr>
          <w:rFonts w:hint="eastAsia" w:ascii="Times New Roman" w:hAnsi="Times New Roman" w:eastAsia="仿宋_GB2312" w:cs="Times New Roman"/>
          <w:color w:val="auto"/>
          <w:sz w:val="32"/>
          <w:szCs w:val="32"/>
          <w:highlight w:val="none"/>
          <w:lang w:val="en-US" w:eastAsia="zh-CN"/>
        </w:rPr>
        <w:t>所有</w:t>
      </w:r>
      <w:r>
        <w:rPr>
          <w:rFonts w:hint="eastAsia" w:ascii="Times New Roman" w:hAnsi="Times New Roman" w:eastAsia="仿宋_GB2312" w:cs="Times New Roman"/>
          <w:color w:val="auto"/>
          <w:sz w:val="32"/>
          <w:szCs w:val="32"/>
          <w:highlight w:val="none"/>
        </w:rPr>
        <w:t>申报项目进行优先级排序。将那些预期经济效益显著、社会效益突出、可行性高且风险可控的项目，列为2025年度预算安排的重点支持对象，优先保障其资金需求。而对于一些预期效益不明确、可行性存疑或与部门发展方向不符的项目，则降低其优先级或不予安排预算，避免资金的盲目投入和无效使用 。</w:t>
      </w:r>
      <w:r>
        <w:rPr>
          <w:rFonts w:hint="eastAsia" w:ascii="Times New Roman" w:hAnsi="Times New Roman"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rPr>
        <w:t>支出结构</w:t>
      </w:r>
      <w:r>
        <w:rPr>
          <w:rFonts w:hint="eastAsia" w:ascii="Times New Roman" w:hAnsi="Times New Roman" w:eastAsia="仿宋_GB2312" w:cs="Times New Roman"/>
          <w:color w:val="auto"/>
          <w:sz w:val="32"/>
          <w:szCs w:val="32"/>
          <w:highlight w:val="none"/>
          <w:lang w:val="en-US" w:eastAsia="zh-CN"/>
        </w:rPr>
        <w:t>方面做如下</w:t>
      </w:r>
      <w:r>
        <w:rPr>
          <w:rFonts w:hint="eastAsia" w:ascii="Times New Roman" w:hAnsi="Times New Roman" w:eastAsia="仿宋_GB2312" w:cs="Times New Roman"/>
          <w:color w:val="auto"/>
          <w:sz w:val="32"/>
          <w:szCs w:val="32"/>
          <w:highlight w:val="none"/>
        </w:rPr>
        <w:t>调整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1. 优化资源配置：基于2024年度绩效自评中反映出的支出结构不合理问题，在2025年度压缩一般性</w:t>
      </w:r>
      <w:r>
        <w:rPr>
          <w:rFonts w:hint="eastAsia" w:ascii="Times New Roman" w:hAnsi="Times New Roman" w:eastAsia="仿宋_GB2312" w:cs="Times New Roman"/>
          <w:color w:val="auto"/>
          <w:sz w:val="32"/>
          <w:szCs w:val="32"/>
          <w:highlight w:val="none"/>
          <w:lang w:val="en-US" w:eastAsia="zh-CN"/>
        </w:rPr>
        <w:t>事业</w:t>
      </w:r>
      <w:r>
        <w:rPr>
          <w:rFonts w:hint="eastAsia" w:ascii="Times New Roman" w:hAnsi="Times New Roman" w:eastAsia="仿宋_GB2312" w:cs="Times New Roman"/>
          <w:color w:val="auto"/>
          <w:sz w:val="32"/>
          <w:szCs w:val="32"/>
          <w:highlight w:val="none"/>
        </w:rPr>
        <w:t>支出，包括会议费、差旅费、办公费等。2. 加强重点领域保障：根据事前绩效评价对项目重要性和紧迫性的判断，在2025年度预算支出结构中，优先保障重点领域和关键项目的资金需求。对于涉及民生保障等重要领域的项目，确保其资金足额、及时到位，保障项目顺利实施，充分发挥财政资金的社会效益和经济效益 。</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9"/>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5"/>
        <w:jc w:val="both"/>
        <w:rPr>
          <w:rFonts w:hint="eastAsia" w:ascii="方正小标宋_GBK" w:hAnsi="方正小标宋_GBK" w:eastAsia="方正小标宋_GBK" w:cs="方正小标宋_GBK"/>
          <w:sz w:val="24"/>
          <w:szCs w:val="24"/>
        </w:rPr>
      </w:pPr>
    </w:p>
    <w:p w14:paraId="3D83FDA1">
      <w:pPr>
        <w:pStyle w:val="15"/>
        <w:jc w:val="center"/>
        <w:rPr>
          <w:rFonts w:hint="eastAsia" w:ascii="方正小标宋_GBK" w:hAnsi="方正小标宋_GBK" w:eastAsia="方正小标宋_GBK" w:cs="方正小标宋_GBK"/>
          <w:sz w:val="72"/>
          <w:szCs w:val="72"/>
        </w:rPr>
      </w:pPr>
    </w:p>
    <w:p w14:paraId="6FB6F211">
      <w:pPr>
        <w:pStyle w:val="15"/>
        <w:jc w:val="center"/>
        <w:rPr>
          <w:rFonts w:hint="eastAsia" w:ascii="方正小标宋_GBK" w:hAnsi="方正小标宋_GBK" w:eastAsia="方正小标宋_GBK" w:cs="方正小标宋_GBK"/>
          <w:sz w:val="72"/>
          <w:szCs w:val="72"/>
        </w:rPr>
      </w:pPr>
    </w:p>
    <w:p w14:paraId="3A01B6B0">
      <w:pPr>
        <w:pStyle w:val="15"/>
        <w:jc w:val="center"/>
        <w:rPr>
          <w:rFonts w:hint="eastAsia" w:ascii="方正小标宋_GBK" w:hAnsi="方正小标宋_GBK" w:eastAsia="方正小标宋_GBK" w:cs="方正小标宋_GBK"/>
          <w:sz w:val="72"/>
          <w:szCs w:val="72"/>
        </w:rPr>
      </w:pPr>
    </w:p>
    <w:p w14:paraId="475C1000">
      <w:pPr>
        <w:pStyle w:val="15"/>
        <w:jc w:val="center"/>
        <w:rPr>
          <w:rFonts w:hint="eastAsia" w:ascii="方正小标宋_GBK" w:hAnsi="方正小标宋_GBK" w:eastAsia="方正小标宋_GBK" w:cs="方正小标宋_GBK"/>
          <w:sz w:val="72"/>
          <w:szCs w:val="72"/>
        </w:rPr>
      </w:pPr>
    </w:p>
    <w:p w14:paraId="6A5A782C">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9"/>
      </w:pPr>
    </w:p>
    <w:p w14:paraId="5331F884">
      <w:pPr>
        <w:pStyle w:val="5"/>
      </w:pPr>
    </w:p>
    <w:p w14:paraId="2CCAD852"/>
    <w:p w14:paraId="440E89DF">
      <w:pPr>
        <w:pStyle w:val="9"/>
      </w:pPr>
    </w:p>
    <w:p w14:paraId="645B9B76">
      <w:pPr>
        <w:pStyle w:val="5"/>
      </w:pPr>
    </w:p>
    <w:p w14:paraId="539F25AC"/>
    <w:p w14:paraId="47AFAB8F">
      <w:pPr>
        <w:pStyle w:val="9"/>
      </w:pPr>
    </w:p>
    <w:p w14:paraId="479D6353">
      <w:pPr>
        <w:pStyle w:val="5"/>
      </w:pPr>
    </w:p>
    <w:p w14:paraId="648103ED"/>
    <w:p w14:paraId="08A5EA8F">
      <w:pPr>
        <w:pStyle w:val="9"/>
      </w:pPr>
    </w:p>
    <w:p w14:paraId="3FD0BAB6">
      <w:pPr>
        <w:pStyle w:val="5"/>
      </w:pPr>
    </w:p>
    <w:p w14:paraId="1CAE18D7"/>
    <w:p w14:paraId="5994BDDC">
      <w:pPr>
        <w:pStyle w:val="9"/>
      </w:pPr>
    </w:p>
    <w:p w14:paraId="51F60F8D">
      <w:pPr>
        <w:pStyle w:val="5"/>
      </w:pPr>
    </w:p>
    <w:p w14:paraId="715B8195"/>
    <w:p w14:paraId="3F608935">
      <w:pPr>
        <w:pStyle w:val="9"/>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9"/>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57075E8E">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 w:hAnsi="仿宋" w:eastAsia="仿宋" w:cs="仿宋"/>
          <w:sz w:val="32"/>
          <w:szCs w:val="32"/>
          <w:lang w:eastAsia="zh-CN"/>
        </w:rPr>
        <w:t>公用</w:t>
      </w:r>
      <w:r>
        <w:rPr>
          <w:rFonts w:hint="eastAsia" w:ascii="仿宋" w:hAnsi="仿宋" w:eastAsia="仿宋" w:cs="仿宋"/>
          <w:sz w:val="32"/>
          <w:szCs w:val="32"/>
        </w:rPr>
        <w:t>经费：是指各部门的公用经费，包括办公及印刷费、邮电费、差旅费、会议费、福利费、日常维修费、一般设备购置费、办公用房水电费、办公用房物业管理费、公务用车运行维护费以及其他费用。</w:t>
      </w:r>
    </w:p>
    <w:p w14:paraId="160C0BA2">
      <w:pPr>
        <w:ind w:firstLine="640" w:firstLineChars="200"/>
        <w:jc w:val="left"/>
        <w:rPr>
          <w:rFonts w:hint="eastAsia" w:ascii="仿宋_GB2312" w:hAnsi="仿宋_GB2312" w:eastAsia="仿宋_GB2312" w:cs="仿宋_GB2312"/>
          <w:color w:val="000000"/>
          <w:kern w:val="0"/>
          <w:sz w:val="32"/>
          <w:szCs w:val="32"/>
          <w:lang w:eastAsia="zh-CN"/>
        </w:rPr>
      </w:pP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1D47518A">
      <w:pPr>
        <w:pStyle w:val="5"/>
      </w:pPr>
    </w:p>
    <w:p w14:paraId="580CF8E4"/>
    <w:p w14:paraId="0C17744C">
      <w:pPr>
        <w:pStyle w:val="9"/>
      </w:pPr>
    </w:p>
    <w:p w14:paraId="7B8BABF4">
      <w:pPr>
        <w:pStyle w:val="5"/>
      </w:pPr>
    </w:p>
    <w:p w14:paraId="1942C0DC"/>
    <w:p w14:paraId="6E2D1EEF">
      <w:pPr>
        <w:pStyle w:val="9"/>
      </w:pPr>
    </w:p>
    <w:p w14:paraId="5F6ABC3B">
      <w:pPr>
        <w:pStyle w:val="5"/>
      </w:pPr>
    </w:p>
    <w:p w14:paraId="51BE6437"/>
    <w:p w14:paraId="05344CBA">
      <w:pPr>
        <w:pStyle w:val="9"/>
      </w:pPr>
    </w:p>
    <w:p w14:paraId="5C9170AD">
      <w:pPr>
        <w:pStyle w:val="5"/>
      </w:pPr>
    </w:p>
    <w:p w14:paraId="29D3A91E"/>
    <w:p w14:paraId="0D2A994E">
      <w:pPr>
        <w:pStyle w:val="9"/>
      </w:pPr>
    </w:p>
    <w:p w14:paraId="59CBCCA7">
      <w:pPr>
        <w:pStyle w:val="5"/>
      </w:pPr>
    </w:p>
    <w:p w14:paraId="67806EBD"/>
    <w:p w14:paraId="7C18BB03">
      <w:pPr>
        <w:pStyle w:val="9"/>
      </w:pPr>
    </w:p>
    <w:p w14:paraId="29230CAD">
      <w:pPr>
        <w:pStyle w:val="5"/>
      </w:pPr>
    </w:p>
    <w:p w14:paraId="724E0A54"/>
    <w:p w14:paraId="496F732E">
      <w:pPr>
        <w:pStyle w:val="9"/>
      </w:pPr>
    </w:p>
    <w:p w14:paraId="354ECFD8">
      <w:pPr>
        <w:pStyle w:val="5"/>
      </w:pPr>
    </w:p>
    <w:p w14:paraId="51C67B38"/>
    <w:p w14:paraId="4D131F3E"/>
    <w:p w14:paraId="7CFBCE3C">
      <w:pPr>
        <w:pStyle w:val="9"/>
      </w:pPr>
    </w:p>
    <w:p w14:paraId="5C3DE094">
      <w:pPr>
        <w:pStyle w:val="15"/>
        <w:jc w:val="both"/>
        <w:rPr>
          <w:rFonts w:hint="eastAsia" w:ascii="方正小标宋_GBK" w:hAnsi="方正小标宋_GBK" w:eastAsia="方正小标宋_GBK" w:cs="方正小标宋_GBK"/>
          <w:sz w:val="72"/>
          <w:szCs w:val="72"/>
        </w:rPr>
      </w:pPr>
    </w:p>
    <w:p w14:paraId="0C1858E3">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5"/>
        <w:jc w:val="both"/>
        <w:rPr>
          <w:rFonts w:hint="eastAsia" w:ascii="方正小标宋_GBK" w:hAnsi="方正小标宋_GBK" w:eastAsia="方正小标宋_GBK" w:cs="方正小标宋_GBK"/>
          <w:sz w:val="70"/>
          <w:szCs w:val="70"/>
          <w:lang w:eastAsia="zh-CN"/>
        </w:rPr>
      </w:pPr>
    </w:p>
    <w:p w14:paraId="490142D3">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AAFF5DBF"/>
    <w:multiLevelType w:val="singleLevel"/>
    <w:tmpl w:val="AAFF5DBF"/>
    <w:lvl w:ilvl="0" w:tentative="0">
      <w:start w:val="3"/>
      <w:numFmt w:val="decimal"/>
      <w:suff w:val="nothing"/>
      <w:lvlText w:val="%1、"/>
      <w:lvlJc w:val="left"/>
    </w:lvl>
  </w:abstractNum>
  <w:abstractNum w:abstractNumId="2">
    <w:nsid w:val="E3CBC331"/>
    <w:multiLevelType w:val="singleLevel"/>
    <w:tmpl w:val="E3CBC331"/>
    <w:lvl w:ilvl="0" w:tentative="0">
      <w:start w:val="3"/>
      <w:numFmt w:val="decimal"/>
      <w:lvlText w:val="%1."/>
      <w:lvlJc w:val="left"/>
      <w:pPr>
        <w:tabs>
          <w:tab w:val="left" w:pos="312"/>
        </w:tabs>
      </w:pPr>
    </w:lvl>
  </w:abstractNum>
  <w:abstractNum w:abstractNumId="3">
    <w:nsid w:val="025FB9DF"/>
    <w:multiLevelType w:val="singleLevel"/>
    <w:tmpl w:val="025FB9DF"/>
    <w:lvl w:ilvl="0" w:tentative="0">
      <w:start w:val="2"/>
      <w:numFmt w:val="decimal"/>
      <w:lvlText w:val="%1."/>
      <w:lvlJc w:val="left"/>
      <w:pPr>
        <w:tabs>
          <w:tab w:val="left" w:pos="312"/>
        </w:tabs>
      </w:pPr>
    </w:lvl>
  </w:abstractNum>
  <w:abstractNum w:abstractNumId="4">
    <w:nsid w:val="1DB4E18E"/>
    <w:multiLevelType w:val="singleLevel"/>
    <w:tmpl w:val="1DB4E18E"/>
    <w:lvl w:ilvl="0" w:tentative="0">
      <w:start w:val="2"/>
      <w:numFmt w:val="chineseCounting"/>
      <w:suff w:val="nothing"/>
      <w:lvlText w:val="%1、"/>
      <w:lvlJc w:val="left"/>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9845E6"/>
    <w:rsid w:val="06C857E7"/>
    <w:rsid w:val="08C24A73"/>
    <w:rsid w:val="0C562D07"/>
    <w:rsid w:val="11944E2C"/>
    <w:rsid w:val="12583BA5"/>
    <w:rsid w:val="13BA5B9C"/>
    <w:rsid w:val="16010EF2"/>
    <w:rsid w:val="1D97DEFF"/>
    <w:rsid w:val="1DFF72E5"/>
    <w:rsid w:val="1EFC6F07"/>
    <w:rsid w:val="1F0527A6"/>
    <w:rsid w:val="22AC03C2"/>
    <w:rsid w:val="283B15FE"/>
    <w:rsid w:val="2B6E4619"/>
    <w:rsid w:val="2C1501F3"/>
    <w:rsid w:val="2FDF85B8"/>
    <w:rsid w:val="2FFFEE04"/>
    <w:rsid w:val="31C95635"/>
    <w:rsid w:val="34DF85B0"/>
    <w:rsid w:val="3B8F36BC"/>
    <w:rsid w:val="40193E6E"/>
    <w:rsid w:val="43EB5BA5"/>
    <w:rsid w:val="491FF225"/>
    <w:rsid w:val="4EC310A1"/>
    <w:rsid w:val="4FFD214C"/>
    <w:rsid w:val="5352765A"/>
    <w:rsid w:val="5777D4F5"/>
    <w:rsid w:val="57F22B6F"/>
    <w:rsid w:val="59DD8326"/>
    <w:rsid w:val="5DEF592A"/>
    <w:rsid w:val="5F592DFB"/>
    <w:rsid w:val="5FC6BB1E"/>
    <w:rsid w:val="5FD56E87"/>
    <w:rsid w:val="5FF720F1"/>
    <w:rsid w:val="622964C1"/>
    <w:rsid w:val="624A590A"/>
    <w:rsid w:val="67FF5C0B"/>
    <w:rsid w:val="69280415"/>
    <w:rsid w:val="6BAA4A2F"/>
    <w:rsid w:val="6DDEC5C0"/>
    <w:rsid w:val="6EFC0924"/>
    <w:rsid w:val="6FB74722"/>
    <w:rsid w:val="6FEF8B7E"/>
    <w:rsid w:val="717FE77F"/>
    <w:rsid w:val="71A6591B"/>
    <w:rsid w:val="737D59BA"/>
    <w:rsid w:val="737F32B1"/>
    <w:rsid w:val="73BD3FCA"/>
    <w:rsid w:val="74EC0E73"/>
    <w:rsid w:val="776BDA01"/>
    <w:rsid w:val="77C37683"/>
    <w:rsid w:val="794F1B9D"/>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Body Text First Indent"/>
    <w:basedOn w:val="3"/>
    <w:qFormat/>
    <w:uiPriority w:val="0"/>
    <w:pPr>
      <w:ind w:firstLine="420" w:firstLineChars="100"/>
    </w:p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8022</Words>
  <Characters>8791</Characters>
  <Lines>63</Lines>
  <Paragraphs>18</Paragraphs>
  <TotalTime>6</TotalTime>
  <ScaleCrop>false</ScaleCrop>
  <LinksUpToDate>false</LinksUpToDate>
  <CharactersWithSpaces>8828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张瑞</cp:lastModifiedBy>
  <cp:lastPrinted>2024-08-11T02:20:00Z</cp:lastPrinted>
  <dcterms:modified xsi:type="dcterms:W3CDTF">2025-09-24T04:18:08Z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AB722EE6067F4075B9A83738EDFFEBD6_13</vt:lpwstr>
  </property>
  <property fmtid="{D5CDD505-2E9C-101B-9397-08002B2CF9AE}" pid="4" name="KSOTemplateDocerSaveRecord">
    <vt:lpwstr>eyJoZGlkIjoiZWEwMzUxN2YzYWRmN2JiY2NhNWFjNzU0MjQ1MjYxYWIiLCJ1c2VySWQiOiIxNjU3ODExNzY5In0=</vt:lpwstr>
  </property>
</Properties>
</file>