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岳阳市洞庭湖大桥养护中心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spacing w:line="500" w:lineRule="exact"/>
        <w:jc w:val="both"/>
        <w:rPr>
          <w:b/>
          <w:sz w:val="36"/>
          <w:szCs w:val="28"/>
        </w:rPr>
      </w:pPr>
    </w:p>
    <w:p>
      <w:pPr>
        <w:pStyle w:val="13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岳阳市洞庭湖大桥养护中心单位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岳阳市洞庭湖大桥养护中心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单位概况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国家、省、市关于公路桥梁养护工作有关法律法规、方针政策，开展政策法规宣传；参与拟订大桥管养、安全风险防控等行业规划计划、政策及规范性文件，并协助组织实施。承担大桥日常养护、大中修、新建、改造工程的组织实施，桥区绿化美化亮化等技术支撑工作；承担桥梁养护市场监管行政辅助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担大桥管养等行政执法、行政许可的事务性、技术性、辅助性工作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大桥区域内安全生产、平安建设、桥面安全运行、桥梁运行安全风险防控和隐患治理等工作；承担大桥结构安全检测等技术支撑工作；承担大桥路产维护及巡察的行政辅助工作；配合执法机构对大桥路产损坏补偿进行调查取证，执行路产恢复预算与计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（三）承担大桥结构健康监测、数据统计及科学管养等技术支撑工作，承担大桥实时监控及“两客一危”、超限运输车辆治理等行政辅助工作。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（四）承担大桥节假日运输、抢险救灾、反恐防暴、交通备战、处置突发事件等应急保障工作。</w:t>
      </w:r>
    </w:p>
    <w:p>
      <w:pPr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800" w:firstLineChars="25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（五）完成市交通运输局交办的其他任务。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岳阳市洞庭湖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大桥养护中心单位内设机构包括：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个内设机构及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个分支机构，其中：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个内设机构为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综合部、人事部、财务部、养护技术部、工程计划部、安全生产部、战备应急部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个分支机构为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路产维护站、桥梁健康监测站（市洞庭湖大桥数据中心）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岳阳市洞庭湖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大桥养护中心单位202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年部门决算汇总公开单位构成包括：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本单位无独立核算的下属单位，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2024年度部门决算汇总公开单位仅包括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岳阳市洞庭湖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大桥养护中心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单位本级。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bookmarkStart w:id="0" w:name="_GoBack"/>
      <w:bookmarkEnd w:id="0"/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3947.89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1703.51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洞庭湖大桥维修加固工程支付项目款减少。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3947.89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98.95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3947.89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1384.90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35.08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2562.99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64.92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30.20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洞庭湖大桥维修加固工程支付项目款减少。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98.95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1690.51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30.20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洞庭湖大桥维修加固工程支付项目款减少。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</w:t>
      </w:r>
      <w:r>
        <w:rPr>
          <w:rFonts w:hint="eastAsia" w:ascii="Times New Roman" w:hAnsi="Times New Roman" w:eastAsia="仿宋_GB2312"/>
          <w:sz w:val="32"/>
          <w:szCs w:val="32"/>
        </w:rPr>
        <w:t>社会保障和就业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支出123.73万元，占3.18%；卫生健康（类）支出60.41万元，占1.54%；交通运输（类）支出3590.11万元，占91.90%；住房保障（类）支出75.06万元，占1.92%；灾害防治及应急管理（类）支出56.99万元，占1.46%。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1443.55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3906.29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270.60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1、社会保障和就业支出（类）行政事业单位养老支出（款）机关事业单位基本养老保险缴费支出（项）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97.40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单位退休人员增加。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2、社会保障和就业支出（类）行政事业单位养老支出（款）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事业单位离退休（项）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147.26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单位退休人员增加。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3、社会保障和就业支出（类）抚恤（款）其他优抚支出（项）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0.35万元，决算数大于年初预算数的主要原因是：存在优抚支出，进行了基数调整。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4、社会保障和就业支出（类）残疾人事业（款）其他残疾人事业支出（项）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7.56万元，支出决算为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6.83万元，完成年初预算的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90.34%，决算数小于年初预算数的主要原因是：个别基数调整。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5、社会保障和就业支出（类）其他社会保障和就业支出（款）其他社会保障和就业支出（项）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年初预算为1.91万元，支出决算为1.91万元，完成年初预算的100%，决算数等于年初预算数的主要原因是：严格按预算执行支付。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6、卫生健康支出（类）行政事业单位医疗（款）事业单位医疗（项）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年初预算为60.41万元，支出决算为60.41万元，完成年初预算的100%，决算数等于年初预算数的主要原因是：严格按预算执行支付。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7、交通运输支出（类）公路水路运输（款）行政运行（项）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年初预算为948.50万元，支出决算为966.63万元，完成年初预算的101.91%，决算数大于年初预算数的主要原因是：个别基数调整。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8、交通运输支出（类）公路水路运输（款）公路养护（项）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年初预算为0万元，支出决算为45.95万元，决算数大于年初预算数的主要原因是：交通专项追加预算。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9、交通运输支出（类）公路水路运输（款）其他公路水路运输支出（项）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年初预算为0万元，支出决算为2267.26万元，决算数大于年初预算数的主要原因是：洞庭湖大桥维修加固工程追加预算。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10、交通运输支出（类）其他交通运输支出（款）其他交通运输支出（项）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年初预算为236.98万元，支出决算为310.23万元，完成年初预算的130.91%，决算数大于年初预算数的主要原因是：日常维修及桥梁伸缩缝维修工程等项目的增加。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11、住房保障支出（类）住房改革支出（款）住房公积金（项）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年初预算为75.06万元，支出决算为75.06万元，完成年初预算的100%，决算数等于年初预算数的主要原因是：严格按预算执行支付。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12、灾害防治及应急管理支出（类）自然灾害救灾及恢复重建支出（款）  自然灾害救灾补助（项）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年初预算为0万元，支出决算为56.99万元，决算数大于年初预算数的主要原因是：抗冰保畅追加预算。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1343.29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1208.53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89.97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奖金、伙食补助费、绩效工资、机关事业单位基本养老保险缴费、职业年金缴费、职工基本医疗保险缴费、其他社会保障缴费、住房公积金、医疗费、其他工资福利支出、退休费、生活补助、医疗费补助、奖励金、其他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134.76万元，占基本支出的10.03%，主要包括办公费、印刷费、咨询费、水费、电费、邮电费、物业管理费、差旅费、维修（护）费、培训费、专用燃料费、工会经费、福利费、公务用车运行维护费、其他交通费用、其他商品和服务支出、办公设备购置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2024年度国有资本经营预算财政拨款收入0万元；年初结转和结余0万；支出0万元，其中：基本支出0万元，项目支出0万元；年末结转和结余0万元。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12.19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2"/>
          <w:szCs w:val="32"/>
        </w:rPr>
        <w:t>万元。决算数小于预算数的主要原因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是单位车辆为特种作业车，列入了其他交通费用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做账时租车费计入了</w:t>
      </w:r>
      <w:r>
        <w:rPr>
          <w:rFonts w:ascii="Times New Roman" w:hAnsi="Times New Roman" w:eastAsia="仿宋_GB2312" w:cs="Times New Roman"/>
          <w:sz w:val="32"/>
          <w:szCs w:val="32"/>
        </w:rPr>
        <w:t>公务用车运行维护费。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2"/>
          <w:szCs w:val="32"/>
        </w:rPr>
        <w:t>万元。其中：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租车费用</w:t>
      </w:r>
      <w:r>
        <w:rPr>
          <w:rFonts w:ascii="Times New Roman" w:hAnsi="Times New Roman" w:eastAsia="仿宋_GB2312" w:cs="Times New Roman"/>
          <w:sz w:val="32"/>
          <w:szCs w:val="32"/>
        </w:rPr>
        <w:t>支出，完成预算的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2"/>
          <w:szCs w:val="32"/>
        </w:rPr>
        <w:t>万元。决算数小于预算数的主要原因是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单位车辆为特种作业车，列入了其他交通费用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做账时租车费计入了</w:t>
      </w:r>
      <w:r>
        <w:rPr>
          <w:rFonts w:ascii="Times New Roman" w:hAnsi="Times New Roman" w:eastAsia="仿宋_GB2312" w:cs="Times New Roman"/>
          <w:sz w:val="32"/>
          <w:szCs w:val="32"/>
        </w:rPr>
        <w:t>公务用车运行维护费。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截止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决算数小于预算数，主要原因是严格执行中央八项规定；与上年一致，无增减变动，主要原因是按有关政策厉行节约，严控公务接待支出。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2024年度共接待来访团组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</w:t>
      </w:r>
      <w:r>
        <w:rPr>
          <w:rFonts w:hint="eastAsia" w:ascii="Times New Roman" w:hAnsi="Times New Roman" w:eastAsia="仿宋_GB2312"/>
          <w:sz w:val="32"/>
          <w:szCs w:val="32"/>
        </w:rPr>
        <w:t>本单位无会议费的预算和支出决算数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培训费年初预算4.63万元，支出决算为1.21万元，完成年初预算的26.13%。</w:t>
      </w:r>
      <w:r>
        <w:rPr>
          <w:rFonts w:hint="eastAsia" w:ascii="Times New Roman" w:hAnsi="Times New Roman" w:eastAsia="仿宋_GB2312"/>
          <w:sz w:val="32"/>
          <w:szCs w:val="32"/>
        </w:rPr>
        <w:t>用于开展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党员教育</w:t>
      </w:r>
      <w:r>
        <w:rPr>
          <w:rFonts w:hint="eastAsia" w:ascii="Times New Roman" w:hAnsi="Times New Roman" w:eastAsia="仿宋_GB2312"/>
          <w:sz w:val="32"/>
          <w:szCs w:val="32"/>
        </w:rPr>
        <w:t>培训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1次</w:t>
      </w:r>
      <w:r>
        <w:rPr>
          <w:rFonts w:hint="eastAsia" w:ascii="Times New Roman" w:hAnsi="Times New Roman" w:eastAsia="仿宋_GB2312"/>
          <w:sz w:val="32"/>
          <w:szCs w:val="32"/>
        </w:rPr>
        <w:t>，人数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_GB2312"/>
          <w:sz w:val="32"/>
          <w:szCs w:val="32"/>
        </w:rPr>
        <w:t>人，内容为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参观红色教育基地，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用于安全教育培训1次，人数67人，内容为消防应急演练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本单位无举办节庆、晚会、论坛、赛事等活动的预算和支出决算数。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394.167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120.301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79.686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394.167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394.167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621.98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533.29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20.81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由于政府性基金预算项目支出总额为0，故无法计算占政府性基金预算项目支出总额的比重）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由于国有资本经营预算项目支出总额为0，故无法计算占国有资本经营预算项目支出总额的比重）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由于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支出总额为0，故无法计算占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支出总额的比重）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>
      <w:pPr>
        <w:numPr>
          <w:numId w:val="0"/>
        </w:num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本单位为二级预算单位，部门评价开展情况可详见上级部门决算公开说明。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本单位为二级预算单位，事前绩效评估开展情况可详见上级部门决算公开说明。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5384.53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3947.89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73.32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97.33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</w:rPr>
        <w:t>按时发放工资，又防止突破规范，同时严格控制非生产性开支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eastAsia" w:ascii="仿宋_GB2312" w:eastAsia="仿宋_GB2312"/>
          <w:sz w:val="32"/>
          <w:szCs w:val="32"/>
        </w:rPr>
        <w:t>我们严格预算管理，从严控制计划，强化了预算执行跟踪监控。</w:t>
      </w: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桥梁</w:t>
      </w:r>
      <w:r>
        <w:rPr>
          <w:rFonts w:hint="eastAsia" w:ascii="仿宋_GB2312" w:eastAsia="仿宋_GB2312"/>
          <w:sz w:val="32"/>
          <w:szCs w:val="32"/>
        </w:rPr>
        <w:t>养护工作没有</w:t>
      </w:r>
      <w:r>
        <w:rPr>
          <w:rFonts w:hint="eastAsia" w:ascii="仿宋_GB2312" w:eastAsia="仿宋_GB2312"/>
          <w:sz w:val="32"/>
          <w:szCs w:val="32"/>
          <w:lang w:eastAsia="zh-CN"/>
        </w:rPr>
        <w:t>足额</w:t>
      </w:r>
      <w:r>
        <w:rPr>
          <w:rFonts w:hint="eastAsia" w:ascii="仿宋_GB2312" w:eastAsia="仿宋_GB2312"/>
          <w:sz w:val="32"/>
          <w:szCs w:val="32"/>
        </w:rPr>
        <w:t>预算安排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eastAsia" w:ascii="仿宋_GB2312" w:eastAsia="仿宋_GB2312"/>
          <w:sz w:val="32"/>
          <w:szCs w:val="32"/>
          <w:lang w:eastAsia="zh-CN"/>
        </w:rPr>
        <w:t>车辆使用经费明显不足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增加桥梁养护资金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eastAsia" w:ascii="仿宋_GB2312" w:eastAsia="仿宋_GB2312"/>
          <w:sz w:val="32"/>
          <w:szCs w:val="32"/>
          <w:lang w:eastAsia="zh-CN"/>
        </w:rPr>
        <w:t>建议增加特种车辆使用经费。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本单位为二级预算单位，部门评价结果可详见上级部门决算公开说明。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本单位为二级预算单位，事前绩效评估结果可详见上级部门决算公开说明。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绩效目标和指标根据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项目的实际完成情况制定，对项目执行过程有效约束，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绩效考评指标的设计得到改进，绩效指标体系得到完善。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三、基本支出：指为保障机构正常运转，完成日常工作任务而发生的各项支出，包括人员经费支出和公用经费支出。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>
      <w:pPr>
        <w:pStyle w:val="2"/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317331D"/>
    <w:rsid w:val="059958AD"/>
    <w:rsid w:val="06C857E7"/>
    <w:rsid w:val="08C24A73"/>
    <w:rsid w:val="11944E2C"/>
    <w:rsid w:val="12583BA5"/>
    <w:rsid w:val="13BA5B9C"/>
    <w:rsid w:val="16BE02A6"/>
    <w:rsid w:val="1B756F73"/>
    <w:rsid w:val="1D97DEFF"/>
    <w:rsid w:val="1DFF72E5"/>
    <w:rsid w:val="1EFC6F07"/>
    <w:rsid w:val="1F0527A6"/>
    <w:rsid w:val="1F332CF3"/>
    <w:rsid w:val="22AC03C2"/>
    <w:rsid w:val="254D369B"/>
    <w:rsid w:val="283B15FE"/>
    <w:rsid w:val="2FDF85B8"/>
    <w:rsid w:val="2FFFEE04"/>
    <w:rsid w:val="309E7254"/>
    <w:rsid w:val="30AB05A1"/>
    <w:rsid w:val="3179263A"/>
    <w:rsid w:val="31C95635"/>
    <w:rsid w:val="335E5CD2"/>
    <w:rsid w:val="34DF85B0"/>
    <w:rsid w:val="386756FB"/>
    <w:rsid w:val="3B8F36BC"/>
    <w:rsid w:val="3BBD0A7D"/>
    <w:rsid w:val="3CD03C77"/>
    <w:rsid w:val="40424F9C"/>
    <w:rsid w:val="41321107"/>
    <w:rsid w:val="43EB5BA5"/>
    <w:rsid w:val="491FF225"/>
    <w:rsid w:val="4BDC598C"/>
    <w:rsid w:val="4EC310A1"/>
    <w:rsid w:val="4F1C5BA3"/>
    <w:rsid w:val="4FFD214C"/>
    <w:rsid w:val="5352765A"/>
    <w:rsid w:val="5777D4F5"/>
    <w:rsid w:val="57F22B6F"/>
    <w:rsid w:val="59DD8326"/>
    <w:rsid w:val="5DEF592A"/>
    <w:rsid w:val="5E8E1293"/>
    <w:rsid w:val="5FC6BB1E"/>
    <w:rsid w:val="5FF720F1"/>
    <w:rsid w:val="60212904"/>
    <w:rsid w:val="60DE68AA"/>
    <w:rsid w:val="622964C1"/>
    <w:rsid w:val="63E541F4"/>
    <w:rsid w:val="679D5E42"/>
    <w:rsid w:val="67FF5C0B"/>
    <w:rsid w:val="68F51D27"/>
    <w:rsid w:val="6BAA4A2F"/>
    <w:rsid w:val="6BD22C1E"/>
    <w:rsid w:val="6D5A05FA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76BDA01"/>
    <w:rsid w:val="77C37683"/>
    <w:rsid w:val="79FF515B"/>
    <w:rsid w:val="7A283249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1347</Words>
  <Characters>7679</Characters>
  <Lines>63</Lines>
  <Paragraphs>18</Paragraphs>
  <TotalTime>20</TotalTime>
  <ScaleCrop>false</ScaleCrop>
  <LinksUpToDate>false</LinksUpToDate>
  <CharactersWithSpaces>9008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Administrator</cp:lastModifiedBy>
  <cp:lastPrinted>2024-08-11T02:20:00Z</cp:lastPrinted>
  <dcterms:modified xsi:type="dcterms:W3CDTF">2025-09-22T02:17:01Z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98623D6660B449428EB8E073C6C952EA</vt:lpwstr>
  </property>
</Properties>
</file>