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岳阳市水运事务中心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spacing w:line="540" w:lineRule="exact"/>
        <w:jc w:val="center"/>
        <w:rPr>
          <w:sz w:val="56"/>
          <w:szCs w:val="56"/>
        </w:rPr>
      </w:pPr>
    </w:p>
    <w:p>
      <w:pPr>
        <w:pStyle w:val="12"/>
        <w:spacing w:line="500" w:lineRule="exact"/>
        <w:jc w:val="both"/>
        <w:rPr>
          <w:b/>
          <w:sz w:val="36"/>
          <w:szCs w:val="28"/>
        </w:rPr>
      </w:pPr>
    </w:p>
    <w:p>
      <w:pPr>
        <w:pStyle w:val="12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岳阳市水运事务中心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2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2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岳阳市水运事务中心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（一）为机关提供支持保障的职能。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1、参与拟订水路交通发展规划、地方性法规、规章技术规范相关事务性工作。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负责水上交通通航及通航环境管理、港口码头及其作业污染水域、水上水下施工作业、工程管理及水路危货运输、监督管理的行政辅助工作，负责组织水上搜救、沉船沉物打捞及水上救援等技术支撑工作，负责水上交通、船舶污染和港口污染事故调查处理的技术支撑工作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3、负责权限范围内船员、船舶登记、船舶安全监督和船舶进出港报告管理的行政辅助工作。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4、负责船舶（含渔船）、水上设施和船用产品法定检验的事务性工作等；负责船舶法定检验质量管理体系运行的指导协调工作；按规定权限对船舶设计图纸提出审查建议意见。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5、负责水路运输及运输辅助业市场、港口搬运市场、船舶交易市场管理相关事务性工作；负责防汛抢险和水路战备运输等应急运输保障的行政辅助工作。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6、负责地方航道管理的行政辅助工作；负责地方航道通航条件影响评价的技术支撑工作；负责所辖地方航道航标及助航标志的设置；参与协调水资源综合利用事务。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7、负责港口建设工程施工许可、竣工验收的行政辅助工作；负责水路交通运输行业相关信息收集、统计工作。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8、负责全市水路交通领域安全巡查、宣传教育工作。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（二）面向社会提供公益服务的职能。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1、负责发布航道通告和航道水情通报，向进出港船舶船员发布航行有关安全信息和提供咨询服务等工作。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（三）完成市交通运输局交办的其他任务。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岳阳市水运事务中心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内设机构包括：岳阳市水运事务中心包括7个内设机构：综合部、人事部、安全法务部、船舶船员部、港航运输部、装备信息部、水上环保事务部；2个分支机构：市水上交通应急救援指挥所、市沿江港口事务所；1各下属正科级事业单位：岳阳市船舶检验服务中心。根据中共岳阳市委机构编制委员会岳编发【2023】21号，本年度内设机构增加人事部，撤销原是船舶检验所，新设下属正科级事业单位岳阳市船舶检验服务中心。</w:t>
      </w:r>
    </w:p>
    <w:p>
      <w:pPr>
        <w:widowControl/>
        <w:spacing w:line="600" w:lineRule="exact"/>
        <w:rPr>
          <w:rFonts w:hint="default" w:ascii="Times New Roman" w:hAnsi="Times New Roman" w:eastAsia="仿宋_GB2312" w:cs="仿宋_GB2312"/>
          <w:bCs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本单位无独立核算的下属单位，2024年度部门决算汇总公开单位仅包括岳阳市水运事务中心本级。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i/>
          <w:i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年度收、支总计1997.19万元。与上年相比，减少568.35万元，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22.15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%，主要是因为1、本年度未开展“长江--洞庭湖应急综合演练”费用，节省开支150万元；2、因2023年度多支付了2022上半年未结清船舶污染物转运、处置经费181万元，故导致2023年公用经费虚高181万元。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万元，与上年相比，减少568.35万元,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22.15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%，主要是因为1、本年度未开展“长江--洞庭湖应急综合演练”费用，节省开支150万元；2、因2023年度多支付了2022上半年未结清船舶污染物转运、处置经费181万元，故导致2023年公用经费虚高181万元。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%，与上年相比，财政拨款支出减少568.35万元,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22.15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%，主要是因为1、本年度未开展“长江--洞庭湖应急综合演练”费用，节省开支150万元；2、因2023年度多支付了2022上半年未结清船舶污染物转运、处置经费181万元，故导致2023年公用经费虚高181万元。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交通运输支出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1399.76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%；节能环保支出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181.55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%；城乡社区支出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179.19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%；住房保障支出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83.69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2205.13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90.57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行政事业单位养老支出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机关事业单位基本养老缴费支出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141.00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115.14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81.66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2024年1月有部分员工因编制调整调入其他单位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抚恤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其他优抚支出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该款项为年中追加在职病故员工抚恤金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残疾人事业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其他残疾人事业支出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我单位严格按照预算执行缴纳残保金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节能环保支出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污染防治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水体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：该款项为年中追加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2023年下半年船舶污染物接收、处理费用。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城乡社区支出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其他城乡社区支出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其他城乡社区支出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179.19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年初预算数的主要原因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是：该款项为年中追加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2024年上半年船舶污染物接收、处理费用。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交通运输支出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公路水路运输支出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行政运行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1926.00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1340.07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69.58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2024年1月有部分员工因编制调整调入其他单位，相应公用经费转出至其他单位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交通运输支出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公路水路运输支出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其他公路水路支出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15.75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：该项目为年中追加预算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交通运输支出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其他交通运输支出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其他交通运输支出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43.94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年初预算数的主要原因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是：该项目为年中追加预算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住房保障支出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住房改革支出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（款）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住房公积金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（项）。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101.69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83.69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82.30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小于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年初预算数的主要原因是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2024年1月有部分员工因编制调整调入其他单位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1997.19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1214.87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60.83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、机关事业单位基本养老保险缴费、职工基本医疗保险缴费、其他社会保险缴费、住房公积金、医疗费、对个人和家庭的补助、退休费、生活补助、医疗费补助、奖励金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抚恤金、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其他对个人和家庭的补助。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782.32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39.17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费、印刷费、咨询费、水费、电费、邮电费、物业管理费、差旅费、维修（护）费、培训费、公务接待费、专用燃料费、劳务费、业务委托费、工会经费、福利费、公务用车运行维护费、其他交通费用、其他商品和服务支出、专用设备购置办公设备购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2024年度政府性基金预算财政拨款收入0万元；年初结转和结余0万元；支出0万元，其中基本支出0万元，项目支出0万元；年末结转和结余0万元。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2024年度政府性基金预算财政拨款收入0万元；年初结转和结余0万元；支出0万元，其中基本支出0万元，项目支出0万元；年末结转和结余0万元。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“三公”经费财政拨款支出预算为19.65万元，支出决算为19.65万元，完成预算的100%；与上年相比减少5.81万元，减少29.27%。决算数等于预算数的主要原因是本年合理安排三公经费相关预算。减少的主要原因是我单位严格遵守厉行节约原则。</w:t>
      </w:r>
    </w:p>
    <w:p>
      <w:pPr>
        <w:pStyle w:val="12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因公出国（境）费支出预算为0万元，支出决算为0万元，决算数等于预算数，主要原因是我单位严格按预算执行决算；与上年一致，无增减变动，主要原因是未安排因公出国（境）活动。2024年度安排因公出国（境）团组0个，累计0人次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2.公务用车购置费及运行维护费支出预算为18.69万元，支出决算为18.96万元，完成预算的100%；与上年相比增加5.34万元，增长39.21%。其中：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公务用车购置费支出预算为0万元，支出决算为0万元，决算数等于预算数，主要原因是我单位严格按预算执行决算；与上年一致，无增减变动，主要原因是两年均未购置公务用车。本单位更新公务用车0辆。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公务用车运行维护费支出预算为18.96万元，支出决算为18.96万元，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公务车维修费、油费及公务船油费、维修费支出，完成预算的100%；与上年相比增加5.34万元，增长（降低）39.21%。决算数等于预算数的主要原因是预算执行决算。决算数大于上年数的主要原因是2024年支付部分2023年未支付公务用车运行维护费。截止到2024年12月31日，我单位开支财政拨款的公务用车保有量为0辆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费支出预算为0.69万元，支出决算为0.69万元，完成预算的100%；与上年相比增加0.27万元，增长65.77%。决算数等于预算数的主要原因是预算执行决算。决算数大于上年数的主要原因是本年度召开安全生产、安全巡查等会议导致本年度公务接待费用增加。2024年度共接待来访团组7个、来宾59人次，主要是召开安全生产、安全巡查等会议发生的接待支出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ind w:firstLine="709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年度机关运行经费支出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782.32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较上年降低349.28万元，降低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30.87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%。主要原因是：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1、本年度未开展“长江--洞庭湖应急综合演练”费用，节省开支150万元；2、因2023年度多支付了2022上半年未结清船舶污染物转运、处置经费181万元，故导致2023年公用经费虚高181万元。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、一般性支出情况说明</w:t>
      </w:r>
    </w:p>
    <w:p>
      <w:pPr>
        <w:pStyle w:val="1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年度，会议费年初预算0.5万元，支出决算为0万元，完成年初预算的0%。本单位本年度安排会议均于本单位会议室开展，未产生相关会议费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培训费年初预算0.5万元，支出决算为0.06万元，完成年初预算的12%。用于开展船员培训及新进职工培训，人数200人，内容为安全、船检、船舶等知识更新。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本单位无举办节庆、晚会、论坛、赛事等活动的预算和支出决算数。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、关于政府采购支出说明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616.16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223.53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392.63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616.16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616.16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织对2024年度本部门（单位）整体支出开展绩效自评，涉及项目1个，共涉及资金1997.19万元。其中，一般公共预算项目0个0万元，占一般公共预算支出总额的0%；政府性基金预算项目0个0万元，占政府性基金预算支出总额的0%；国有资本经营预算项目0个0万元，占国有资本经营预算支出总额的0%；社会保险基金预算项目0 个0万元，占社会保险基金预算支出总额的0%。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我单位以习近平新时代中国特色社会主义思想为指导，全面贯彻“交通强国”及“三高四新”战略，凝心聚力、真抓实干，全力保障水运各项工作有序推进，全市水运工作呈现水运经济运行平稳、水运安全畅通保障有力、水域环境保护持续强化、服务水平不断提升的良好局面。在2024年度整体支出绩效目标上，完成情况良好。在整体支出绩效运行中细化指标。共设置一级指标3个，二级指标9个，三级指标14个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本单位为二级预算单位，部门评价开展情况可详见上级部门决算公开说明。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事前绩效评估开展情况。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本单位为二级预算单位，事前绩效评估开展情况可详见上级部门决算公开说明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2024年度本部门（单位）整体支出全年预算数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 w:bidi="ar-SA"/>
        </w:rPr>
        <w:t>2205.13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万元，执行数1997.19万元，完成预算的91.94%，绩效自评得分97.29分，评价等级为“良好”。绩效目标完成情况：一是效益指标方面：2024年我单位助力水运经济实现稳步增长，固定资产投资持续增长，岳阳港在建码头项目年内完成固定资产投资31.65亿元，较上年增长7.2%，港口辐射能力进一步增强，集装箱铁水联运量6.4万标箱，同比增长43.2%。水域防污管理持续增强，全市接收处置船舶垃圾389吨，生活污染28091吨，含油污水3534吨。事务性服务能力不断提升，完成港口危险货物作业申报3167次、运营船舶检验719艘、产品检验20批次，完成建造检验船舶9艘，在建船舶15艘。搜集上报52艘老旧船舶拆解资金申请资料，积极推动水路运力结构调整政策落实。二是产出指标方面：我单位在2024年日常巡查频次增强，共开展如企、岸线巡查420余次，发现问题隐患227处，整治无证趸船共21艘。7月华容团州出现决堤险情，参与协调启用北门战备渡口、道仁矶战备渡口、沙窝、汨罗营田转运点，作为支援华容块石的通道，组织近30艘次共3万余吨块石驰援团州坑封堵决口堤段。妥善处置“2.10”湖南省远洋集装箱船舶触礁事故，历时15天完成该事故救捞清污工作。定期展开安全教育工作，使水上人民安全意识提高。在成本指标方面，我单位在预算内完成所有工作，未对社会及生态环境产生负面影响。三是满意度指标方面：水上群众满意度达90%以上。发现的主要问题及原因：一是对本单位整体支出绩效运行监控力度仍需加强，及时发现绩效目标偏差和管理漏洞，采取有针对性措施予以纠正。二是因为部分款项支付手续不齐全等原因，部分款项无法在规定时间内支付，导致预算执行完成度变低。三是部分预算填报预估不精准，对预算资金的绩效自评不完善。下一步改进措施：一是进一步严格执行绩效目标，完善考核指标，完善项目资金的绩效自评工作，加大对相关人员绩效评价培训，确保预算资金的有效使用；二是加强财务管理及监督体系建设，进一步加强财务报账、审核体系，优化报账流程，提高报账效率，加强财务监督环境，加强资金使用过程中的绩效自评工作及资金使用后绩效自评工作，为下一年预算编制提供科学依据，不断改进、加强绩效管理和自评工作。</w:t>
      </w:r>
      <w:bookmarkStart w:id="0" w:name="_GoBack"/>
      <w:bookmarkEnd w:id="0"/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本单位为二级预算单位，部门评价结果可详见上级部门决算公开说明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本单位为二级预算单位，事前绩效评估结果可详见上级部门决算公开说明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3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请根据2024年度绩效自评结果、部门评价结果、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事前绩效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评价结果对本部门2025年度预算安排，支出结构调整，资金管理，制度建设等方面结果运用进行简要说明。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>
      <w:pPr>
        <w:pStyle w:val="12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  <w:t>（名词解释应包含本部门专有名词，如省财政厅应有对“财政事务”科目的解释，可参考中央相关部门的名词解释）</w:t>
      </w:r>
    </w:p>
    <w:p>
      <w:pPr>
        <w:pStyle w:val="1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/>
    <w:p>
      <w:pPr>
        <w:pStyle w:val="2"/>
      </w:pPr>
    </w:p>
    <w:p>
      <w:pPr>
        <w:pStyle w:val="12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2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2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DECFEA"/>
    <w:multiLevelType w:val="singleLevel"/>
    <w:tmpl w:val="FBDECFEA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6C857E7"/>
    <w:rsid w:val="08C24A73"/>
    <w:rsid w:val="0FAF458F"/>
    <w:rsid w:val="11944E2C"/>
    <w:rsid w:val="12583BA5"/>
    <w:rsid w:val="13BA5B9C"/>
    <w:rsid w:val="1D97DEFF"/>
    <w:rsid w:val="1DFF72E5"/>
    <w:rsid w:val="1EFC6F07"/>
    <w:rsid w:val="1F0527A6"/>
    <w:rsid w:val="22AC03C2"/>
    <w:rsid w:val="283B15FE"/>
    <w:rsid w:val="2FDF85B8"/>
    <w:rsid w:val="2FFFEE04"/>
    <w:rsid w:val="31C95635"/>
    <w:rsid w:val="34DF85B0"/>
    <w:rsid w:val="3B8F36BC"/>
    <w:rsid w:val="3EF7C9AA"/>
    <w:rsid w:val="3FD842F5"/>
    <w:rsid w:val="43EB5BA5"/>
    <w:rsid w:val="491FF225"/>
    <w:rsid w:val="4EC310A1"/>
    <w:rsid w:val="4FFD214C"/>
    <w:rsid w:val="5352765A"/>
    <w:rsid w:val="5777D4F5"/>
    <w:rsid w:val="57F22B6F"/>
    <w:rsid w:val="59DD8326"/>
    <w:rsid w:val="5CFFD586"/>
    <w:rsid w:val="5DEF592A"/>
    <w:rsid w:val="5FC6BB1E"/>
    <w:rsid w:val="5FF720F1"/>
    <w:rsid w:val="622964C1"/>
    <w:rsid w:val="67FF5C0B"/>
    <w:rsid w:val="6BAA4A2F"/>
    <w:rsid w:val="6DDEC5C0"/>
    <w:rsid w:val="6EFC0924"/>
    <w:rsid w:val="6FB74722"/>
    <w:rsid w:val="6FEF8B7E"/>
    <w:rsid w:val="717FE77F"/>
    <w:rsid w:val="71A6591B"/>
    <w:rsid w:val="737D59BA"/>
    <w:rsid w:val="737F32B1"/>
    <w:rsid w:val="73BD3FCA"/>
    <w:rsid w:val="776BDA01"/>
    <w:rsid w:val="77C37683"/>
    <w:rsid w:val="79FF515B"/>
    <w:rsid w:val="7DFBFF20"/>
    <w:rsid w:val="7E9E1962"/>
    <w:rsid w:val="7E9F11B4"/>
    <w:rsid w:val="7F37EC1E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BA7B23C6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7DECC66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8D8631"/>
    <w:rsid w:val="FFBF595A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1347</Words>
  <Characters>7679</Characters>
  <Lines>63</Lines>
  <Paragraphs>18</Paragraphs>
  <TotalTime>11</TotalTime>
  <ScaleCrop>false</ScaleCrop>
  <LinksUpToDate>false</LinksUpToDate>
  <CharactersWithSpaces>9008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2020-07-12T10:32:00Z</dcterms:created>
  <dc:creator>李航 null</dc:creator>
  <cp:lastModifiedBy>xjkp</cp:lastModifiedBy>
  <cp:lastPrinted>2024-08-12T18:20:00Z</cp:lastPrinted>
  <dcterms:modified xsi:type="dcterms:W3CDTF">2025-09-22T09:00:36Z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98623D6660B449428EB8E073C6C952EA</vt:lpwstr>
  </property>
</Properties>
</file>